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青韵智控答辩基础报告</w:t>
      </w:r>
    </w:p>
    <w:p>
      <w:r>
        <w:t>项目全称：青韵智控——凤凰单丛做青多模态感知与自适应控制系统</w:t>
      </w:r>
    </w:p>
    <w:p>
      <w:r>
        <w:t>分析日期：2026年10月9日</w:t>
      </w:r>
    </w:p>
    <w:p>
      <w:r>
        <w:t>报告版本：表格结果版（第二次更新）</w:t>
      </w:r>
    </w:p>
    <w:p>
      <w:r>
        <w:t>用途：答辩准备、成果口径统一、证据备查和团队分工讨论</w:t>
      </w:r>
    </w:p>
    <w:p>
      <w:r>
        <w:t>分析范围：项目文件、Git远程主分支、数据结果.xlsx和本次软件复验。硬件结果以表格文件为准。未新增真实做茶、控制试验或市场调研；未独立认证历史工程测试。</w:t>
      </w:r>
    </w:p>
    <w:p>
      <w:pPr>
        <w:pStyle w:val="Heading1"/>
      </w:pPr>
      <w:r>
        <w:t>1 当前状态与核心判断</w:t>
      </w:r>
    </w:p>
    <w:p>
      <w:pPr>
        <w:keepNext/>
      </w:pPr>
      <w:r/>
      <w:r>
        <w:rPr>
          <w:b/>
        </w:rPr>
        <w:t>项目已形成采集、存档、回放和工程分析的软件基础，并有数据结果.xlsx中的多参数工程测试处理结果。当前最适合答辩的定位是“面向凤凰单丛做青的实验室感知与数据追溯原型”。跨批次状态识别、自适应摇青和成茶品质改善仍属于后续验证目标。</w:t>
      </w:r>
      <w:r/>
    </w:p>
    <w:p>
      <w:r>
        <w:t>项目要回答的核心问题是：如何将制茶师傅对鲜叶状态的综合判断转化为连续、可复盘的数据，再检验这些数据能否帮助工艺决策。按照已有设计，摇青时机、转速、持续时间和静置间隔是未来决策对象；本次报告不将这些设计目标表述为已完成能力。[S1、S3]</w:t>
      </w:r>
    </w:p>
    <w:p>
      <w:r>
        <w:t>当前成果分为三类：代码已有实现；软件历史测试或本次复验；数据结果.xlsx中的硬件测试处理结果。这三类证据的含义不同，不能合并成“整机全部验收通过”。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579"/>
        <w:gridCol w:w="3859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当前可确认的状态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答辩时的定位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软件平台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串口采集、批次与事件、标签、原始记录、回放、工程报告已有实现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已开发的数据平台功能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硬件工程指标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数据结果.xlsx含MOS、双SHT31、HX711、480分钟与120分钟处理结果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表格已归档、缓存算式已核对；使用标记保留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状态识别与控制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主分支未形成经真实独立批次验证的模型和工艺效果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总体设计与后续研究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应用与商业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台账未提供可核查试用、订单、营收及付费验证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应用假设与验证计划</w:t>
            </w:r>
          </w:p>
        </w:tc>
      </w:tr>
    </w:tbl>
    <w:p>
      <w:pPr>
        <w:spacing w:after="20"/>
      </w:pPr>
    </w:p>
    <w:p>
      <w:r/>
      <w:r>
        <w:rPr>
          <w:b/>
        </w:rPr>
        <w:t>Git状态。</w:t>
      </w:r>
      <w:r>
        <w:t xml:space="preserve"> 本次核对的项目基线main与origin/main均为3d07a06，数据结果.xlsx及DEFENSE-20261009-v2冻结资料已提交GitHub。远程特征工程、分批次模型和影子建议分支未纳入当前main，不计为稳定答辩版已交付功能。后续报告提交产生的新提交号仅表示文档更新，不改变本报告引用的工程基线。</w:t>
      </w:r>
    </w:p>
    <w:p>
      <w:r/>
      <w:r>
        <w:rPr>
          <w:b/>
        </w:rPr>
        <w:t>项目范围。</w:t>
      </w:r>
      <w:r>
        <w:t xml:space="preserve"> 本地实机联调、接线指引及相关临时记录已移出项目目录，单独保存为个人本地资料，不提交GitHub，也不列为本项目成果或答辩证据。项目保留采集固件、软件平台与设计资料；硬件测试结论只以已归档的《数据结果.xlsx》为依据。软件本机复验用于说明演示环境准备情况，不作为硬件测试结论。</w:t>
      </w:r>
    </w:p>
    <w:p>
      <w:r>
        <w:t>本报告的完成度判断：软件基础较充分，处理结果表已归档，表外原始日志和完整安全验收仍待补齐，工艺有效性与商业验证仍缺核心证据。该判断用于确定答辩重点，不代表竞赛获奖或评分预测。</w:t>
      </w:r>
    </w:p>
    <w:p>
      <w:pPr>
        <w:pStyle w:val="Heading1"/>
      </w:pPr>
      <w:r>
        <w:t>2 技术基础与工程数据</w:t>
      </w:r>
    </w:p>
    <w:p>
      <w:r/>
      <w:r>
        <w:rPr>
          <w:b/>
        </w:rPr>
        <w:t>总体技术路线。</w:t>
      </w:r>
      <w:r>
        <w:t xml:space="preserve"> 多参数感知进入ESP32-S3，设备按约1 Hz输出JSONL传感帧；上位机记录MCU与主机时间、批次、工艺事件和质量标志，并支持回放与离线分析。状态估计、建议、人工确认、受限执行和品质反馈属于分阶段扩展路线。[S1、S4]</w:t>
      </w:r>
    </w:p>
    <w:p>
      <w:r>
        <w:t>稳定技术基线为QY-HW-0.2-N8R8、QY-FW-0.4.0、JSONL-v0.3与host_mvp-v0.9.0。目标板为ESP32-S3 N8R8；型号与构建配置不单独证明PSRAM已在实板启动并验收。多路传感器为顺序读取与统一记录，不宜称为硬件严格同步测量。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579"/>
        <w:gridCol w:w="3859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部件或功能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已有基础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仍需证明的事项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环境与采样腔SHT31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表格有5组、双测点的处理结果和参考偏差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参考仪表身份、溯源记录及更多工况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气敏通道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表格有TGS2600、TGS2602、TGS2603及BME688四通道响应、重复性和漂移结果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湿度补偿、跨样品区分能力与更多工况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HX711称重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表格有500—5000 g、10点各5次的静态标定结果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标定持久化、长期漂移与动态工况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叶温与视觉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MLX90614及主机相机接口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实际接入、叶温标定、光照与色卡控制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气路与滚筒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受限命令、状态机和软件测试记录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阀位、流量、转速及独立安全链实机验收</w:t>
            </w:r>
          </w:p>
        </w:tc>
      </w:tr>
    </w:tbl>
    <w:p>
      <w:pPr>
        <w:spacing w:after="20"/>
      </w:pPr>
    </w:p>
    <w:p>
      <w:r/>
      <w:r>
        <w:rPr>
          <w:b/>
        </w:rPr>
        <w:t>硬件结果来源。</w:t>
      </w:r>
      <w:r>
        <w:t xml:space="preserve"> 数据结果.xlsx有7张工作表，覆盖配置、电子鼻、双SHT31、称重、整机稳定性、静置样品联合采集和申报摘要。文件原样归档，硬件测试结果直接引用其处理结果，四通道对应关系已在电子鼻表B5:B8确认。[S2]</w:t>
      </w:r>
    </w:p>
    <w:p>
      <w:r>
        <w:t>表格中SHT31有TH1—TH5共5组，每组环境与采样腔两行；称重有10点、每点5次；整机最长试验为2026年9月27日的RUN10；联合采集为JOINT01—JOINT10共120分钟。处理表不等于完整逐秒日志，也不证明全部设备安全验收。</w:t>
      </w:r>
    </w:p>
    <w:p>
      <w:pPr>
        <w:pStyle w:val="Heading1"/>
      </w:pPr>
      <w:r>
        <w:t>3 工程指标与本次复验</w:t>
      </w:r>
    </w:p>
    <w:p>
      <w:r/>
      <w:r>
        <w:rPr>
          <w:b/>
        </w:rPr>
        <w:t>下表均以数据结果.xlsx为准，并已挂接v2冻结JSON。</w:t>
      </w:r>
      <w:r>
        <w:t xml:space="preserve"> 本次核对表内处理结果及可复算缓存，不将其称为第三方认证或完整原始日志验证。[S1、S3]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5184"/>
        <w:gridCol w:w="3427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测试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表格处理结果</w:t>
            </w:r>
          </w:p>
        </w:tc>
        <w:tc>
          <w:tcPr>
            <w:tcW w:type="dxa" w:w="3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适用范围与证据限制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气敏重复性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4有效响应通道；响应39.16%—67.36%；58.6—97.4 s；平均CV 6.18%，最大8.19%；短期漂移3.73%</w:t>
            </w:r>
          </w:p>
        </w:tc>
        <w:tc>
          <w:tcPr>
            <w:tcW w:type="dxa" w:w="3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同样品重复测试；三路TGS电压加BME688电阻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SHT31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5组×30 min，1 Hz；最低完整率99.72%；最大温度偏差0.197 ℃、湿度偏差1.506 %RH</w:t>
            </w:r>
          </w:p>
        </w:tc>
        <w:tc>
          <w:tcPr>
            <w:tcW w:type="dxa" w:w="3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空气温湿度；处理表含参考值；参考仪表身份及溯源记录待补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HX711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500—5000 g，10点×5次；平均相对误差0.162%，最大0.285%；最大CV 0.204%；R² 0.99999986</w:t>
            </w:r>
          </w:p>
        </w:tc>
        <w:tc>
          <w:tcPr>
            <w:tcW w:type="dxa" w:w="3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静态标定范围内，不能延伸为鲜叶含水率精度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连续记录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480 min；28777/28800，99.92%；异常重启0，最长缺失12 s</w:t>
            </w:r>
          </w:p>
        </w:tc>
        <w:tc>
          <w:tcPr>
            <w:tcW w:type="dxa" w:w="3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该次记录指标，不等于全部8小时联合验收通过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静置样品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120 min，10窗口×12 min；7194/7200，99.92%；4004.705→3906.172 g</w:t>
            </w:r>
          </w:p>
        </w:tc>
        <w:tc>
          <w:tcPr>
            <w:tcW w:type="dxa" w:w="3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静置联合记录，不是完整摇青与静置循环</w:t>
            </w:r>
          </w:p>
        </w:tc>
      </w:tr>
    </w:tbl>
    <w:p>
      <w:pPr>
        <w:spacing w:after="20"/>
      </w:pPr>
    </w:p>
    <w:p>
      <w:r>
        <w:t>本次运行v2核对脚本：文件SHA256、33项工作表指标映射、121个表内缓存算式及4个材料派生算式均核对通过。两个完整率四舍五入均为99.92%；起末质量相减为98.533 g，除以起始质量约为2.46%。脚本明确返回physical_validation=false，说明算术一致不等于实验真实性已验证。</w:t>
      </w:r>
    </w:p>
    <w:p>
      <w:r/>
      <w:r>
        <w:rPr>
          <w:b/>
        </w:rPr>
        <w:t>这些结果支持的结论。</w:t>
      </w:r>
      <w:r>
        <w:t xml:space="preserve"> 在表格列出的试验条件下，四个气敏通道有可量化的响应与重复性记录，双测点空气温湿度有参考偏差结果，称重有静态标定结果，连续记录和静置联合采集有完整率结果。这些指标构成感知与记录原型的工程基础；它们没有给出茶叶状态识别准确率、完整做青控制效果或成茶品质增益。答辩应围绕已有工程结果展开，再说明后续工艺验证路线。</w:t>
      </w:r>
    </w:p>
    <w:p>
      <w:r/>
      <w:r>
        <w:rPr>
          <w:b/>
        </w:rPr>
        <w:t>软件历史记录与当前环境结果。</w:t>
      </w:r>
      <w:r>
        <w:t xml:space="preserve"> 2026年9月22日验证文件记录host v0.9的60项测试通过、三种固件构建与C++策略测试通过。它们是软件和编译证据，不能替代机械动作或电气安全验收。[S4]</w:t>
      </w:r>
    </w:p>
    <w:p>
      <w:r>
        <w:t>2026年10月9日，本次在项目已有虚拟环境重新运行主机60项测试：59项通过，1项错误，耗时26.142秒。失败用例为工程报告导出可复现性检查，报错原因是缺少matplotlib。另有多处子进程日志读取的GBK解码异常；相关用例虽显示通过，现场相机、日志和报告演示仍应先复查。这次结果属于本地环境与演示准备问题，不能直接推断算法或硬件故障。该次复验未修改采集软件或安装依赖。</w:t>
      </w:r>
    </w:p>
    <w:p>
      <w:r>
        <w:t>目前可写“历史版本有60项软件测试通过记录”；不可写“当前本机复验60项全部通过”。演示前应补齐既定依赖、确认UTF-8日志处理，并重新验证报告与相机相关流程。</w:t>
      </w:r>
    </w:p>
    <w:p>
      <w:pPr>
        <w:pStyle w:val="Heading1"/>
      </w:pPr>
      <w:r>
        <w:t>4 材料差异与答辩风险</w:t>
      </w:r>
    </w:p>
    <w:p>
      <w:r/>
      <w:r>
        <w:rPr>
          <w:b/>
        </w:rPr>
        <w:t>最高优先级是统一现有材料。</w:t>
      </w:r>
      <w:r>
        <w:t xml:space="preserve"> 最新v2冻结已将硬件结果统一到数据表，但已生成PPT仍有容易被理解为已实现状态估计或闭环的表述。应先解决表达与证据不一致，再扩大成果叙述。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579"/>
        <w:gridCol w:w="3859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本次发现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建议处理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PPT将目标写成现状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第6页写全流程闭环；第9页描述状态判断；第10页描述动态控制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标注总体设计、待验证；完成层仅列采集与追溯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表格使用标记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申报材料摘要E4:E14均为“否”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保留原标记，明确旧标记或实际使用限制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计数口径差异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RUN10理论与有效数差23，但丢包数为20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完整率按有效数/理论数；丢包字段保留原值并查明定义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本机演示不完整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工程报告用例缺matplotlib，出现编码警告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完成环境整改与演练后再展示该流程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通道概念混淆</w:t>
            </w:r>
          </w:p>
        </w:tc>
        <w:tc>
          <w:tcPr>
            <w:tcW w:type="dxa" w:w="45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表格4有效通道为3路TGS加BME688</w:t>
            </w:r>
          </w:p>
        </w:tc>
        <w:tc>
          <w:tcPr>
            <w:tcW w:type="dxa" w:w="385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已核对映射；不能称四路TGS模拟输入</w:t>
            </w:r>
          </w:p>
        </w:tc>
      </w:tr>
    </w:tbl>
    <w:p>
      <w:pPr>
        <w:spacing w:after="20"/>
      </w:pPr>
    </w:p>
    <w:p>
      <w:r/>
      <w:r>
        <w:rPr>
          <w:b/>
        </w:rPr>
        <w:t>PPT核对范围。</w:t>
      </w:r>
      <w:r>
        <w:t xml:space="preserve"> 本次读取了现有可编辑PPT的文字内容，确认其有17页；重点检查第6、8、9、10、12页，未对全部页面进行视觉排版验收。第8页主要仍为工程措施与目标，尚未见冻结指标替换；第12页仍以第一批真实做青准备为主线。冻结清单已存在，但不能据此认定PPT本体已完成更新。[S5]</w:t>
      </w:r>
    </w:p>
    <w:p>
      <w:r/>
      <w:r>
        <w:rPr>
          <w:b/>
        </w:rPr>
        <w:t>三个容易被追问的测量边界。</w:t>
      </w:r>
      <w:r>
        <w:t xml:space="preserve"> SHT31测的是测点空气温湿度，不能作为叶温；称重变化是相对质量变化，不能直接当作绝对含水率；MOS记录交叉敏感响应指纹，不能作为某一种香气分子的定量浓度。模型输出准确率、工艺改善和品质改善也应分别验证，不能互相替代。</w:t>
      </w:r>
    </w:p>
    <w:p>
      <w:r/>
      <w:r>
        <w:rPr>
          <w:b/>
        </w:rPr>
        <w:t>旧台账需按时间解释。</w:t>
      </w:r>
      <w:r>
        <w:t xml:space="preserve"> 参赛证据台账仍保留早期页码映射，例如团队页，与当前17页且不设团队正文页的方案不一致。引用台账时优先使用最新冻结单和逐页清单；保留历史记录，不静默覆盖原始指标。若补录证据改变冻结状态，应建立新版本说明差异。</w:t>
      </w:r>
    </w:p>
    <w:p>
      <w:pPr>
        <w:pStyle w:val="Heading1"/>
      </w:pPr>
      <w:r>
        <w:t>5 技术价值与创新表述</w:t>
      </w:r>
    </w:p>
    <w:p>
      <w:r/>
      <w:r>
        <w:rPr>
          <w:b/>
        </w:rPr>
        <w:t>当前可以讲清楚的技术价值，是为后续工艺研究提供连续记录与追溯基础。</w:t>
      </w:r>
      <w:r>
        <w:t xml:space="preserve"> 批次元数据、原始帧、时间序列、工艺事件、人工标签和照片索引可以组织在同一档案中；回放和报告能够保留来源、参数与哈希。软件已有实现，真实生产条件下的可用性仍需后续验收。</w:t>
      </w:r>
    </w:p>
    <w:p>
      <w:r>
        <w:t>答辩可围绕三个方向介绍设计特色，但需明确哪些已有实现，哪些仍待验证。</w:t>
      </w:r>
    </w:p>
    <w:p>
      <w:r/>
      <w:r>
        <w:rPr>
          <w:b/>
        </w:rPr>
        <w:t>多参数联合表征。</w:t>
      </w:r>
      <w:r>
        <w:t xml:space="preserve"> 设计结合气敏响应、温湿度和质量变化，并预留叶温与视觉。潜在价值是让不同观测量相互补充；是否比单模态更准确、更稳定，要通过真实批次消融实验检验。不能因传感器数量增加就宣称识别增益。</w:t>
      </w:r>
    </w:p>
    <w:p>
      <w:r/>
      <w:r>
        <w:rPr>
          <w:b/>
        </w:rPr>
        <w:t>可追溯的工程数据。</w:t>
      </w:r>
      <w:r>
        <w:t xml:space="preserve"> 现有平台不仅显示数值，还记录设备身份、序号、质量标记、事件和分析参数。这是当前更容易用软件演示和代码证明的部分。长期采集、故障恢复和测量质量仍需实机记录支撑。</w:t>
      </w:r>
    </w:p>
    <w:p>
      <w:r/>
      <w:r>
        <w:rPr>
          <w:b/>
        </w:rPr>
        <w:t>逐步走向状态驱动决策。</w:t>
      </w:r>
      <w:r>
        <w:t xml:space="preserve"> 后续先以规则和可解释模型形成建议，经人工确认，再进入受限执行。闭环设计的价值应以独立批次性能、建议可用性和A/B/C品质对照来证明，当前不能称已经优于固定程序或老师傅。[S6]</w:t>
      </w:r>
    </w:p>
    <w:p>
      <w:r>
        <w:t>建议表述：“本项目的工程特色是面向做青过程组织多参数采集与可追溯数据，并为状态估计及人工确认决策预留扩展路径。多模态增益、跨批次稳定性和最终品质效果是下一阶段的验证重点。”</w:t>
      </w:r>
    </w:p>
    <w:p>
      <w:r/>
      <w:r>
        <w:rPr>
          <w:b/>
        </w:rPr>
        <w:t>商业定位。</w:t>
      </w:r>
      <w:r>
        <w:t xml:space="preserve"> 当前较合理的首阶段方向是监测与记录辅助系统，可面向茶企过程记录或科研教学平台；改造版、半自动和闭环版均应作为规划。台账未提供已完成的客户访谈、真实付费、订单、营收和应用证明，不能写商业模式已成熟。[S7]</w:t>
      </w:r>
    </w:p>
    <w:p>
      <w:r>
        <w:t>现阶段价值主张可写“支持过程记录与批次复盘”；降本、节省人工、提升品质及售价均需试用和成本数据。1000—3000元的早期预研预算不能替代实际整机BOM或商业报价。团队姓名、分工、指导关系与知识产权状态应以正式证明为准，不从计划稿补写成果。</w:t>
      </w:r>
    </w:p>
    <w:p>
      <w:pPr>
        <w:pStyle w:val="Heading1"/>
      </w:pPr>
      <w:r>
        <w:t>6 答辩陈述与页面重点</w:t>
      </w:r>
    </w:p>
    <w:p>
      <w:pPr>
        <w:keepNext/>
      </w:pPr>
      <w:r/>
      <w:r>
        <w:rPr>
          <w:b/>
        </w:rPr>
        <w:t>建议开场陈述。</w:t>
      </w:r>
      <w:r/>
    </w:p>
    <w:p>
      <w:r>
        <w:t>“青韵智控面向凤凰单丛做青过程，研究如何把鲜叶与环境的变化转化为连续记录，并逐步用于工艺判断。我们目前形成了ESP32-S3采集固件和上位机数据平台，实现批次管理、原始数据存储、事件记录、回放及工程分析。硬件测试处理表记录了气敏、温湿度、称重和长时采集指标，目前文件及对应工作表位置已经归档，结果以表格为准。当前成果定位在感知和数据平台，状态识别、自适应控制及成茶品质改善将通过后续独立试验验证。”</w:t>
      </w:r>
    </w:p>
    <w:p>
      <w:r>
        <w:t>答辩主线可按“问题与目标—当前作品—可展示证据—技术边界—下一步验证”展开。先解释实际做出的采集与记录功能，再讲未来系统，避免用完整闭环示意图代替已完成功能证据。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4320"/>
        <w:gridCol w:w="4622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建议重点</w:t>
            </w:r>
          </w:p>
        </w:tc>
        <w:tc>
          <w:tcPr>
            <w:tcW w:type="dxa" w:w="46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DF0"/>
          </w:tcPr>
          <w:p>
            <w:pPr>
              <w:spacing w:after="40" w:line="276" w:lineRule="auto"/>
            </w:pPr>
            <w:r>
              <w:rPr>
                <w:b/>
                <w:sz w:val="20"/>
              </w:rPr>
              <w:t>必须明确的限定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P5—P6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总体架构、当前固件与软件、表格配置及记录</w:t>
            </w:r>
          </w:p>
        </w:tc>
        <w:tc>
          <w:tcPr>
            <w:tcW w:type="dxa" w:w="46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当前完成层与总体设计分开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P7—P8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四个气敏通道、重复性与标定、长时采集指标</w:t>
            </w:r>
          </w:p>
        </w:tc>
        <w:tc>
          <w:tcPr>
            <w:tcW w:type="dxa" w:w="46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指标按表格条件解释，不外推工艺效果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P9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批次记录、标签结构、回放和分析</w:t>
            </w:r>
          </w:p>
        </w:tc>
        <w:tc>
          <w:tcPr>
            <w:tcW w:type="dxa" w:w="46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状态模型尚无可信真实批次性能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P10—P11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人工接口、约束设计、拟验证的技术增量</w:t>
            </w:r>
          </w:p>
        </w:tc>
        <w:tc>
          <w:tcPr>
            <w:tcW w:type="dxa" w:w="46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闭环控制未完成实机与品质验证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P12—P13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工程证据等级、未来A/B/C对照</w:t>
            </w:r>
          </w:p>
        </w:tc>
        <w:tc>
          <w:tcPr>
            <w:tcW w:type="dxa" w:w="46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静置采样不等于完整做青，ABC未开展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P14—P16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首阶段应用方向、风险与路线</w:t>
            </w:r>
          </w:p>
        </w:tc>
        <w:tc>
          <w:tcPr>
            <w:tcW w:type="dxa" w:w="46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20"/>
              </w:rPr>
              <w:t>商业收益与品质提升为待验证假设</w:t>
            </w:r>
          </w:p>
        </w:tc>
      </w:tr>
    </w:tbl>
    <w:p>
      <w:pPr>
        <w:spacing w:after="20"/>
      </w:pPr>
    </w:p>
    <w:p>
      <w:r>
        <w:t>保持17页结构，不新增团队正文页；团队主体性可在口述、备查或问答中说明。姓名、具体分工和已完成工作必须有真实记录。</w:t>
      </w:r>
    </w:p>
    <w:p>
      <w:r/>
      <w:r>
        <w:rPr>
          <w:b/>
        </w:rPr>
        <w:t>演示安排。</w:t>
      </w:r>
      <w:r>
        <w:t xml:space="preserve"> 硬件结果展示数据表的配置、测点、重复值及对应指标，不调用隔离的本地实机资料。软件界面采用明确标注的模拟模式，展示批次、事件和回放；模拟曲线与图片不作为茶样实验结果。当前缺少绘图库，报告导出应整改并演练后再纳入现场流程。准备表格截图及模拟软件录屏作为演示备份。</w:t>
      </w:r>
    </w:p>
    <w:p>
      <w:pPr>
        <w:pStyle w:val="Heading1"/>
      </w:pPr>
      <w:r>
        <w:t>7 常见追问与回答基础</w:t>
      </w:r>
    </w:p>
    <w:p>
      <w:pPr>
        <w:pStyle w:val="Heading2"/>
      </w:pPr>
      <w:r>
        <w:t>你们现在到底完成了什么</w:t>
      </w:r>
    </w:p>
    <w:p>
      <w:r>
        <w:t>已完成采集固件和上位机数据平台的开发，涵盖批次、原始记录、事件、标签、回放和工程分析。项目已归档数据结果.xlsx，硬件指标以表内多模块、标定与采集处理结果为准，能追溯到工作表位置。当前未宣称完成自主摇青或品质改善。</w:t>
      </w:r>
    </w:p>
    <w:p>
      <w:pPr>
        <w:pStyle w:val="Heading2"/>
      </w:pPr>
      <w:r>
        <w:t>这是不是普通传感器加一个界面</w:t>
      </w:r>
    </w:p>
    <w:p>
      <w:r>
        <w:t>传感器和显示本身不能构成核心创新。当前工程工作重点是把多参数、质量标记、事件和批次组织成可追溯过程记录；更强的研究增量，需要后续用多模态消融、跨批次验证和工艺对照证明。现阶段不把接口集成等同于原创算法突破。</w:t>
      </w:r>
    </w:p>
    <w:p>
      <w:pPr>
        <w:pStyle w:val="Heading2"/>
      </w:pPr>
      <w:r>
        <w:t>AI识别准确率是多少</w:t>
      </w:r>
    </w:p>
    <w:p>
      <w:r>
        <w:t>当前稳定主分支没有经过真实独立做青批次验证的识别准确率。已实现的是数据记录和工程分析基础，远程开发分支存在特征、分组评估与影子建议代码，但未计入本次冻结成果。未来按独立批次划分数据，避免同一批次秒级样本泄漏造成虚高结果。</w:t>
      </w:r>
    </w:p>
    <w:p>
      <w:pPr>
        <w:pStyle w:val="Heading2"/>
      </w:pPr>
      <w:r>
        <w:t>四个气敏通道怎样对应硬件</w:t>
      </w:r>
    </w:p>
    <w:p>
      <w:r>
        <w:t>固定方案是三路TGS模拟输入及一个独立BME688气体电阻输入；数据表B5:B8已明确四个有效通道的对应关系。现场按表格单位解释，不将BME688当成第四路TGS模拟通道。</w:t>
      </w:r>
    </w:p>
    <w:p>
      <w:pPr>
        <w:pStyle w:val="Heading2"/>
      </w:pPr>
      <w:r>
        <w:t>480分钟是否证明整机可靠</w:t>
      </w:r>
    </w:p>
    <w:p>
      <w:r>
        <w:t>数据表RUN10报告该次采集的完整率99.92%、无异常重启，处理表及完整率算式已核对。这些数值只覆盖对应试验条件，不能替代急停、失联、相机、标定持久化和故障恢复等完整验收项目。</w:t>
      </w:r>
    </w:p>
    <w:p>
      <w:pPr>
        <w:pStyle w:val="Heading2"/>
      </w:pPr>
      <w:r>
        <w:t>2.46百分比是不是含水率变化</w:t>
      </w:r>
    </w:p>
    <w:p>
      <w:r>
        <w:t>它是起末质量减少98.533 g占起始质量4004.705 g的比例。没有独立含水率测定和其他质量变化因素的校核，不能直接称为含水率变化，也不能说明完整做青效果。</w:t>
      </w:r>
    </w:p>
    <w:p>
      <w:pPr>
        <w:pStyle w:val="Heading2"/>
      </w:pPr>
      <w:r>
        <w:t>设备能自动摇青了吗 品质提高了多少</w:t>
      </w:r>
    </w:p>
    <w:p>
      <w:r>
        <w:t>已有受限命令与人工控制的软件接口和策略测试，实体滚筒、编码器与独立安全链验收未确认。未提供A/B/C成茶品质对照，因此目前没有可信品质提升百分比，也不以模型或模拟结果替代品质证据。</w:t>
      </w:r>
    </w:p>
    <w:p>
      <w:pPr>
        <w:pStyle w:val="Heading2"/>
      </w:pPr>
      <w:r>
        <w:t>没有完整做青试验 为什么具有研究价值</w:t>
      </w:r>
    </w:p>
    <w:p>
      <w:r>
        <w:t>当前成果是后续工艺研究所需的采集与追溯原型。完整做青、师傅标注和品质对照是明确的下一阶段门槛。可以说明平台设计和工程进展，同时承认对实际工艺有效性的验证尚未完成。</w:t>
      </w:r>
    </w:p>
    <w:p>
      <w:pPr>
        <w:pStyle w:val="Heading1"/>
      </w:pPr>
      <w:r>
        <w:t>8 优先准备事项与证据索引</w:t>
      </w:r>
    </w:p>
    <w:p>
      <w:r/>
      <w:r>
        <w:rPr>
          <w:b/>
        </w:rPr>
        <w:t>答辩前优先完成的工作。</w:t>
      </w:r>
      <w:r>
        <w:t xml:space="preserve"> 第一，按v2冻结口径修改PPT本体，尤其P6、P9、P10。第二，明确表格“是否可写”列的含义；原标记为否，本次没有静默改为是。第三，核对部分整机试验“记录数差”与“丢包数”的口径，不擅改原表。第四，补齐软件既定依赖并复验报告、相机与日志流程。第五，准备处理表截图、模拟软件演示和团队分工记录。</w:t>
      </w:r>
    </w:p>
    <w:p>
      <w:r>
        <w:t>硬件结果的公开来源为data/hardware_tests/数据结果.xlsx，SHA256及33项单元格映射已登记。处理表未包含的原始时序、参考仪表身份、现场照片和全系统安全验收属于后续证据补充；不替换表内现有测试结果，也不据表内“达标”自动延伸为全部工艺或品质通过。</w:t>
      </w:r>
    </w:p>
    <w:p>
      <w:r/>
      <w:r>
        <w:rPr>
          <w:b/>
        </w:rPr>
        <w:t>后续研发门槛。</w:t>
      </w:r>
      <w:r>
        <w:t xml:space="preserve"> 按现有路线依次完成G0实物与证据复核、G1长时及环境鲁棒性、G2完整做青与专家标注、G3分批次模型和消融、G4影子建议及人工确认、G5受限执行安全验收、G6品质对照、G7现场试用。进入下一阶段以验收证据为依据。它是研发规划，不是本次已经开展的试验。[S6]</w:t>
      </w:r>
    </w:p>
    <w:p>
      <w:r/>
      <w:r>
        <w:rPr>
          <w:b/>
        </w:rPr>
        <w:t>本次证据位置。</w:t>
      </w:r>
      <w:r>
        <w:t xml:space="preserve"> 以下路径均相对于D:\tiaozhan；S1—S7为本报告的来源标记。</w:t>
      </w:r>
    </w:p>
    <w:p>
      <w:r>
        <w:t>表格备查顺序为：填写说明A4:H13核对配置；电子鼻_处理结果B5:P8及S8:S10核对通道与重复性；SHT31_处理结果A5:Q14及T5:T7核对组数与偏差；HX711_标定结果A5:K14及P5:P8核对重复值与拟合；整机稳定性A5:N14核对RUN10；联合采集汇总A5:P14核对120分钟记录与质量变化；申报材料摘要A3:E14核对摘要和使用标记。</w:t>
      </w:r>
    </w:p>
    <w:p>
      <w:r>
        <w:rPr>
          <w:sz w:val="18"/>
        </w:rPr>
        <w:t>S1：docs/14_答辩软硬件与工程数据冻结单_20261009.md；docs/defense_freeze/metrics_20261009_v2.json；scripts/verify_defense_metrics.py。</w:t>
      </w:r>
    </w:p>
    <w:p>
      <w:r>
        <w:rPr>
          <w:sz w:val="18"/>
        </w:rPr>
        <w:t>S2：data/hardware_tests/数据结果.xlsx及同目录README.md；docs/defense_freeze/metrics_20261009_v2.json。</w:t>
      </w:r>
    </w:p>
    <w:p>
      <w:r>
        <w:rPr>
          <w:sz w:val="18"/>
        </w:rPr>
        <w:t>S3：submission/03_作品说明书/青韵智控_作品说明书主稿.md，尤其第3章。</w:t>
      </w:r>
    </w:p>
    <w:p>
      <w:r>
        <w:rPr>
          <w:sz w:val="18"/>
        </w:rPr>
        <w:t>S4：software/host_mvp/README.md、VALIDATION.md、HANDOFF.md；hardware/esp32_s3_mvp/VALIDATION.md。当前软件复验结果见本报告第3节。</w:t>
      </w:r>
    </w:p>
    <w:p>
      <w:r>
        <w:rPr>
          <w:sz w:val="18"/>
        </w:rPr>
        <w:t>S5：submission/04_路演PPT/青韵智控_17页_可编辑.pptx；同目录PPT_答辩数据替换与演示清单_20261009.md。</w:t>
      </w:r>
    </w:p>
    <w:p>
      <w:r>
        <w:rPr>
          <w:sz w:val="18"/>
        </w:rPr>
        <w:t>S6：docs/13_硬件测试后完整研发路线与验收标准.md。</w:t>
      </w:r>
    </w:p>
    <w:p>
      <w:r>
        <w:rPr>
          <w:sz w:val="18"/>
        </w:rPr>
        <w:t>S7：docs/08_参赛证据台账.md；docs/07_市场调研与商业验证计划.md。</w:t>
      </w:r>
    </w:p>
    <w:p>
      <w:r>
        <w:t>数据结果.xlsx的SHA256：93ee36892fc3daf214bf5d4f01eeb80dd4a6aca8d9c66c9a180458fda2f76897。</w:t>
      </w:r>
    </w:p>
    <w:p>
      <w:r>
        <w:t>本版报告已按GitHub归档表格和v2冻结更新，并明确本地实机资料在项目范围之外。PPT本体尚未执行逐页替换；正式使用遵循表格标记及v2冻结说明，未开展新的真实做茶或执行器试验。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2026年10月9日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青韵智控  答辩准备基础资料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93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93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青韵智控答辩基础报告</dc:title>
  <dc:subject>当前状态分析与答辩准备</dc:subject>
  <dc:creator>青韵智控项目资料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