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lully 1661 — Website Requirements (Round 2)</w:t>
      </w:r>
    </w:p>
    <w:p>
      <w:pPr>
        <w:jc w:val="center"/>
      </w:pPr>
      <w:r>
        <w:rPr>
          <w:i/>
          <w:color w:val="555555"/>
          <w:sz w:val="24"/>
        </w:rPr>
        <w:t>A short follow-up based on your Round 1 answers</w:t>
      </w:r>
    </w:p>
    <w:p>
      <w:pPr>
        <w:jc w:val="center"/>
      </w:pPr>
      <w:r>
        <w:rPr>
          <w:color w:val="888888"/>
          <w:sz w:val="20"/>
        </w:rPr>
        <w:t>Prepared 2026-04-16</w:t>
      </w:r>
    </w:p>
    <w:p/>
    <w:p>
      <w:pPr>
        <w:pStyle w:val="Heading1"/>
      </w:pPr>
      <w:r>
        <w:rPr>
          <w:color w:val="1A1A1A"/>
        </w:rPr>
        <w:t>Thank you</w:t>
      </w:r>
    </w:p>
    <w:p>
      <w:r>
        <w:rPr>
          <w:b w:val="0"/>
          <w:i w:val="0"/>
          <w:sz w:val="22"/>
        </w:rPr>
        <w:t>Your Round 1 answers unblocked most of the work. Ten of fifteen questions are fully resolved, and we have started on the scope &amp; sitemap v1 and the platform recommendation in parallel.</w:t>
      </w:r>
    </w:p>
    <w:p>
      <w:pPr>
        <w:pStyle w:val="Heading2"/>
      </w:pPr>
      <w:r>
        <w:rPr>
          <w:color w:val="1A1A1A"/>
        </w:rPr>
        <w:t>Already resolved from Round 1</w:t>
      </w:r>
    </w:p>
    <w:p>
      <w:pPr>
        <w:pStyle w:val="ListBullet"/>
      </w:pPr>
      <w:r>
        <w:rPr>
          <w:sz w:val="22"/>
        </w:rPr>
        <w:t>Brand spelling: lully 1661 (double L). Repository will be renamed.</w:t>
      </w:r>
    </w:p>
    <w:p>
      <w:pPr>
        <w:pStyle w:val="ListBullet"/>
      </w:pPr>
      <w:r>
        <w:rPr>
          <w:sz w:val="22"/>
        </w:rPr>
        <w:t>Languages: PT + EN, PT default, /pt/ and /en/ subpaths.</w:t>
      </w:r>
    </w:p>
    <w:p>
      <w:pPr>
        <w:pStyle w:val="ListBullet"/>
      </w:pPr>
      <w:r>
        <w:rPr>
          <w:sz w:val="22"/>
        </w:rPr>
        <w:t>Payments: Multibanco + credit cards (Visa / Mastercard).</w:t>
      </w:r>
    </w:p>
    <w:p>
      <w:pPr>
        <w:pStyle w:val="ListBullet"/>
      </w:pPr>
      <w:r>
        <w:rPr>
          <w:sz w:val="22"/>
        </w:rPr>
        <w:t>Reservations: The Fork, with email fallback.</w:t>
      </w:r>
    </w:p>
    <w:p>
      <w:pPr>
        <w:pStyle w:val="ListBullet"/>
      </w:pPr>
      <w:r>
        <w:rPr>
          <w:sz w:val="22"/>
        </w:rPr>
        <w:t>B2B: a showcase page with an email enquiry form.</w:t>
      </w:r>
    </w:p>
    <w:p>
      <w:pPr>
        <w:pStyle w:val="ListBullet"/>
      </w:pPr>
      <w:r>
        <w:rPr>
          <w:sz w:val="22"/>
        </w:rPr>
        <w:t>Recruitment: simple email-based applications.</w:t>
      </w:r>
    </w:p>
    <w:p>
      <w:pPr>
        <w:pStyle w:val="ListBullet"/>
      </w:pPr>
      <w:r>
        <w:rPr>
          <w:sz w:val="22"/>
        </w:rPr>
        <w:t>Brand guidelines: none formal yet — we will propose during design.</w:t>
      </w:r>
    </w:p>
    <w:p>
      <w:pPr>
        <w:pStyle w:val="ListBullet"/>
      </w:pPr>
      <w:r>
        <w:rPr>
          <w:sz w:val="22"/>
        </w:rPr>
        <w:t>Vector logos: received (black + grey .ai files).</w:t>
      </w:r>
    </w:p>
    <w:p>
      <w:pPr>
        <w:pStyle w:val="ListBullet"/>
      </w:pPr>
      <w:r>
        <w:rPr>
          <w:sz w:val="22"/>
        </w:rPr>
        <w:t>Copy and imagery: supplied by you.</w:t>
      </w:r>
    </w:p>
    <w:p>
      <w:pPr>
        <w:pStyle w:val="ListBullet"/>
      </w:pPr>
      <w:r>
        <w:rPr>
          <w:sz w:val="22"/>
        </w:rPr>
        <w:t>Ambient audio: user-triggered, off during shop/checkout.</w:t>
      </w:r>
    </w:p>
    <w:p>
      <w:pPr>
        <w:pStyle w:val="Heading2"/>
      </w:pPr>
      <w:r>
        <w:rPr>
          <w:color w:val="1A1A1A"/>
        </w:rPr>
        <w:t>What we took on ourselves</w:t>
      </w:r>
    </w:p>
    <w:p>
      <w:r>
        <w:rPr>
          <w:b w:val="0"/>
          <w:i w:val="0"/>
          <w:sz w:val="22"/>
        </w:rPr>
        <w:t>On Q3 (platform) you left the choice to us. We will come back with a recommendation (Shopify vs. headless) alongside the sitemap v1 — you do not need to answer that here.</w:t>
      </w:r>
    </w:p>
    <w:p>
      <w:r>
        <w:br w:type="page"/>
      </w:r>
    </w:p>
    <w:p>
      <w:pPr>
        <w:pStyle w:val="Heading1"/>
      </w:pPr>
      <w:r>
        <w:rPr>
          <w:color w:val="1A1A1A"/>
        </w:rPr>
        <w:t>Round 2 — we need a bit more detail</w:t>
      </w:r>
    </w:p>
    <w:p>
      <w:r>
        <w:rPr>
          <w:b w:val="0"/>
          <w:i/>
          <w:sz w:val="22"/>
        </w:rPr>
        <w:t>Seven short questions, most of them came up from your Round 1 answers. Amber cells below are waiting for your answer.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1A1A1A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5953"/>
            <w:shd w:val="clear" w:color="auto" w:fill="1A1A1A"/>
          </w:tcPr>
          <w:p>
            <w:r/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118"/>
            <w:shd w:val="clear" w:color="auto" w:fill="1A1A1A"/>
          </w:tcPr>
          <w:p>
            <w:r/>
            <w:r>
              <w:rPr>
                <w:b/>
                <w:color w:val="FFFFFF"/>
                <w:sz w:val="20"/>
              </w:rPr>
              <w:t>Your answer / decision</w:t>
            </w:r>
          </w:p>
        </w:tc>
      </w:tr>
      <w:tr>
        <w:tc>
          <w:tcPr>
            <w:tcW w:type="dxa" w:w="907"/>
            <w:shd w:val="clear" w:color="auto" w:fill="FFF8E1"/>
          </w:tcPr>
          <w:p>
            <w:r/>
            <w:r>
              <w:rPr>
                <w:sz w:val="20"/>
              </w:rPr>
              <w:t>F1</w:t>
            </w:r>
          </w:p>
        </w:tc>
        <w:tc>
          <w:tcPr>
            <w:tcW w:type="dxa" w:w="5953"/>
            <w:shd w:val="clear" w:color="auto" w:fill="FFF8E1"/>
          </w:tcPr>
          <w:p>
            <w:r/>
            <w:r>
              <w:rPr>
                <w:sz w:val="20"/>
              </w:rPr>
              <w:t>Stores — you mentioned three Lisbon outlets open Tue–Sun. Please share each store’s address, neighborhood, and opening hours. Is there a “flagship” we should feature first?</w:t>
            </w:r>
          </w:p>
        </w:tc>
        <w:tc>
          <w:tcPr>
            <w:tcW w:type="dxa" w:w="3118"/>
            <w:shd w:val="clear" w:color="auto" w:fill="FFF8E1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907"/>
            <w:shd w:val="clear" w:color="auto" w:fill="FFF8E1"/>
          </w:tcPr>
          <w:p>
            <w:r/>
            <w:r>
              <w:rPr>
                <w:sz w:val="20"/>
              </w:rPr>
              <w:t>F2</w:t>
            </w:r>
          </w:p>
        </w:tc>
        <w:tc>
          <w:tcPr>
            <w:tcW w:type="dxa" w:w="5953"/>
            <w:shd w:val="clear" w:color="auto" w:fill="FFF8E1"/>
          </w:tcPr>
          <w:p>
            <w:r/>
            <w:r>
              <w:rPr>
                <w:sz w:val="20"/>
              </w:rPr>
              <w:t>Go-live target — “ASAP” helps us prioritize, but to plan we need a target month. Is there a press moment, anniversary, or campaign the site should launch alongside? (e.g. June 2026, July 2026, before summer holidays, etc.)</w:t>
            </w:r>
          </w:p>
        </w:tc>
        <w:tc>
          <w:tcPr>
            <w:tcW w:type="dxa" w:w="3118"/>
            <w:shd w:val="clear" w:color="auto" w:fill="FFF8E1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907"/>
            <w:shd w:val="clear" w:color="auto" w:fill="FFF8E1"/>
          </w:tcPr>
          <w:p>
            <w:r/>
            <w:r>
              <w:rPr>
                <w:sz w:val="20"/>
              </w:rPr>
              <w:t>F3</w:t>
            </w:r>
          </w:p>
        </w:tc>
        <w:tc>
          <w:tcPr>
            <w:tcW w:type="dxa" w:w="5953"/>
            <w:shd w:val="clear" w:color="auto" w:fill="FFF8E1"/>
          </w:tcPr>
          <w:p>
            <w:r/>
            <w:r>
              <w:rPr>
                <w:sz w:val="20"/>
              </w:rPr>
              <w:t>Click &amp; collect cutoff — what is the latest order time for same-day pickup? Typical bakery pattern is “order before 14:00 for same-day pickup, after that it becomes next-day.” Do breads need an earlier cutoff than pastries?</w:t>
            </w:r>
          </w:p>
        </w:tc>
        <w:tc>
          <w:tcPr>
            <w:tcW w:type="dxa" w:w="3118"/>
            <w:shd w:val="clear" w:color="auto" w:fill="FFF8E1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907"/>
            <w:shd w:val="clear" w:color="auto" w:fill="FFF8E1"/>
          </w:tcPr>
          <w:p>
            <w:r/>
            <w:r>
              <w:rPr>
                <w:sz w:val="20"/>
              </w:rPr>
              <w:t>F4</w:t>
            </w:r>
          </w:p>
        </w:tc>
        <w:tc>
          <w:tcPr>
            <w:tcW w:type="dxa" w:w="5953"/>
            <w:shd w:val="clear" w:color="auto" w:fill="FFF8E1"/>
          </w:tcPr>
          <w:p>
            <w:r/>
            <w:r>
              <w:rPr>
                <w:sz w:val="20"/>
              </w:rPr>
              <w:t>Your Q15 answer describes a section for festive products + events you organize or supply. Your original brief also has a “Special Orders” section. We read these as the same thing and propose merging into “Festive &amp; Bespoke Orders”. Please confirm or correct.</w:t>
            </w:r>
          </w:p>
        </w:tc>
        <w:tc>
          <w:tcPr>
            <w:tcW w:type="dxa" w:w="3118"/>
            <w:shd w:val="clear" w:color="auto" w:fill="FFF8E1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907"/>
            <w:shd w:val="clear" w:color="auto" w:fill="FFF8E1"/>
          </w:tcPr>
          <w:p>
            <w:r/>
            <w:r>
              <w:rPr>
                <w:sz w:val="20"/>
              </w:rPr>
              <w:t>F5</w:t>
            </w:r>
          </w:p>
        </w:tc>
        <w:tc>
          <w:tcPr>
            <w:tcW w:type="dxa" w:w="5953"/>
            <w:shd w:val="clear" w:color="auto" w:fill="FFF8E1"/>
          </w:tcPr>
          <w:p>
            <w:r/>
            <w:r>
              <w:rPr>
                <w:sz w:val="20"/>
              </w:rPr>
              <w:t>Vector versions of the three Baroque sub-marks (Meunier / Pâtissière / Caffetier) — are there .ai / .eps / .svg files? We only have JPEG raster files today, which limits how flexibly we can compose them in the Gareth × Sezin flyer style.</w:t>
            </w:r>
          </w:p>
        </w:tc>
        <w:tc>
          <w:tcPr>
            <w:tcW w:type="dxa" w:w="3118"/>
            <w:shd w:val="clear" w:color="auto" w:fill="FFF8E1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907"/>
            <w:shd w:val="clear" w:color="auto" w:fill="FFF8E1"/>
          </w:tcPr>
          <w:p>
            <w:r/>
            <w:r>
              <w:rPr>
                <w:sz w:val="20"/>
              </w:rPr>
              <w:t>F6</w:t>
            </w:r>
          </w:p>
        </w:tc>
        <w:tc>
          <w:tcPr>
            <w:tcW w:type="dxa" w:w="5953"/>
            <w:shd w:val="clear" w:color="auto" w:fill="FFF8E1"/>
          </w:tcPr>
          <w:p>
            <w:r/>
            <w:r>
              <w:rPr>
                <w:sz w:val="20"/>
              </w:rPr>
              <w:t>Existing web presence — any current website, Instagram, or press coverage we should migrate content from, link from the new site, or cite as “as seen in”?</w:t>
            </w:r>
          </w:p>
        </w:tc>
        <w:tc>
          <w:tcPr>
            <w:tcW w:type="dxa" w:w="3118"/>
            <w:shd w:val="clear" w:color="auto" w:fill="FFF8E1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907"/>
            <w:shd w:val="clear" w:color="auto" w:fill="FFF8E1"/>
          </w:tcPr>
          <w:p>
            <w:r/>
            <w:r>
              <w:rPr>
                <w:sz w:val="20"/>
              </w:rPr>
              <w:t>F7</w:t>
            </w:r>
          </w:p>
        </w:tc>
        <w:tc>
          <w:tcPr>
            <w:tcW w:type="dxa" w:w="5953"/>
            <w:shd w:val="clear" w:color="auto" w:fill="FFF8E1"/>
          </w:tcPr>
          <w:p>
            <w:r/>
            <w:r>
              <w:rPr>
                <w:sz w:val="20"/>
              </w:rPr>
              <w:t>B2B partners — any existing chefs / brands you’d like us to name on the “Lully Inside” page at launch? Or should that page launch as descriptive-only until first deals close?</w:t>
            </w:r>
          </w:p>
        </w:tc>
        <w:tc>
          <w:tcPr>
            <w:tcW w:type="dxa" w:w="3118"/>
            <w:shd w:val="clear" w:color="auto" w:fill="FFF8E1"/>
          </w:tcPr>
          <w:p>
            <w:r/>
            <w:r>
              <w:rPr>
                <w:sz w:val="20"/>
              </w:rPr>
            </w:r>
          </w:p>
        </w:tc>
      </w:tr>
    </w:tbl>
    <w:p/>
    <w:p>
      <w:r>
        <w:rPr>
          <w:b w:val="0"/>
          <w:i/>
          <w:sz w:val="22"/>
        </w:rPr>
        <w:t>Reply in the cells above — this Google Doc is editable. Once you are done we will move to wireframes and a concrete phase-1 scope proposal.</w:t>
      </w:r>
    </w:p>
    <w:p/>
    <w:p>
      <w:r>
        <w:rPr>
          <w:b w:val="0"/>
          <w:i/>
          <w:sz w:val="22"/>
        </w:rPr>
        <w:t>Thank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