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E62FF6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E62FF6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E62FF6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E62FF6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E62FF6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E62FF6">
        <w:rPr>
          <w:color w:val="FF0000"/>
          <w:u w:val="single"/>
          <w:lang w:val="es-ES"/>
        </w:rPr>
        <w:t>3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66CD5"/>
    <w:rsid w:val="00480D38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F46BE"/>
    <w:rsid w:val="00B5022A"/>
    <w:rsid w:val="00B51CA1"/>
    <w:rsid w:val="00BB7333"/>
    <w:rsid w:val="00DA4EB9"/>
    <w:rsid w:val="00DD6DB5"/>
    <w:rsid w:val="00DF268E"/>
    <w:rsid w:val="00E0345B"/>
    <w:rsid w:val="00E1540E"/>
    <w:rsid w:val="00E62FF6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F748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21</cp:revision>
  <dcterms:created xsi:type="dcterms:W3CDTF">2020-05-19T02:46:00Z</dcterms:created>
  <dcterms:modified xsi:type="dcterms:W3CDTF">2020-08-08T21:16:00Z</dcterms:modified>
</cp:coreProperties>
</file>