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统一参考文献列表"/>
    <w:p>
      <w:pPr>
        <w:pStyle w:val="Heading1"/>
      </w:pPr>
      <w:r>
        <w:rPr>
          <w:rFonts w:hint="eastAsia"/>
        </w:rPr>
        <w:t xml:space="preserve">统一参考文献列表</w:t>
      </w:r>
    </w:p>
    <w:bookmarkStart w:id="14" w:name="按顺序编号的完整参考文献"/>
    <w:p>
      <w:pPr>
        <w:pStyle w:val="Heading2"/>
      </w:pPr>
      <w:r>
        <w:rPr>
          <w:rFonts w:hint="eastAsia"/>
        </w:rPr>
        <w:t xml:space="preserve">按顺序编号的完整参考文献</w:t>
      </w:r>
    </w:p>
    <w:bookmarkStart w:id="9" w:name="第一章参考文献-1-26"/>
    <w:p>
      <w:pPr>
        <w:pStyle w:val="Heading3"/>
      </w:pPr>
      <w:r>
        <w:rPr>
          <w:rFonts w:hint="eastAsia"/>
        </w:rPr>
        <w:t xml:space="preserve">第一章参考文献</w:t>
      </w:r>
      <w:r>
        <w:t xml:space="preserve"> [1]-[26]</w:t>
      </w:r>
    </w:p>
    <w:p>
      <w:pPr>
        <w:pStyle w:val="FirstParagraph"/>
      </w:pPr>
      <w:r>
        <w:t xml:space="preserve">[1] Selinger P G, Astrahan M M, Chamberlin D D, et al. Access path selection in a relational database management system[C]//Proceedings of the 1979 ACM SIGMOD international conference on Management of data. 1979: 23-34.</w:t>
      </w:r>
    </w:p>
    <w:p>
      <w:pPr>
        <w:pStyle w:val="BodyText"/>
      </w:pPr>
      <w:r>
        <w:t xml:space="preserve">[2] Gray J, Reuter A. Transaction processing: concepts and techniques[M]. Morgan Kaufmann, 1992.</w:t>
      </w:r>
    </w:p>
    <w:p>
      <w:pPr>
        <w:pStyle w:val="BodyText"/>
      </w:pPr>
      <w:r>
        <w:t xml:space="preserve">[3] Selinger P G, Astrahan M M, Chamberlin D D, et al. Access path selection in a relational database management system[C]//Proceedings of the 1979 ACM SIGMOD international conference on Management of data. 1979: 23-34.</w:t>
      </w:r>
    </w:p>
    <w:p>
      <w:pPr>
        <w:pStyle w:val="BodyText"/>
      </w:pPr>
      <w:r>
        <w:t xml:space="preserve">[4] Oracle Corporation. Oracle Database Performance Tuning Guide[M]. Oracle Press, 2019.</w:t>
      </w:r>
    </w:p>
    <w:p>
      <w:pPr>
        <w:pStyle w:val="BodyText"/>
      </w:pPr>
      <w:r>
        <w:t xml:space="preserve">[5] Gupta A, Mumick I S. Materialized views: techniques, implementations, and applications[M]. MIT press, 1999.</w:t>
      </w:r>
    </w:p>
    <w:p>
      <w:pPr>
        <w:pStyle w:val="BodyText"/>
      </w:pPr>
      <w:r>
        <w:t xml:space="preserve">[6] Färber F, Cha S K, Primsch J, et al. SAP HANA database: data management for modern business applications[J]. ACM Sigmod Record, 2011, 40(4): 45-51.</w:t>
      </w:r>
    </w:p>
    <w:p>
      <w:pPr>
        <w:pStyle w:val="BodyText"/>
      </w:pPr>
      <w:r>
        <w:t xml:space="preserve">[7] Fitzpatrick B. Distributed caching with memcached[J]. Linux journal, 2004, 2004(124): 5.</w:t>
      </w:r>
    </w:p>
    <w:p>
      <w:pPr>
        <w:pStyle w:val="BodyText"/>
      </w:pPr>
      <w:r>
        <w:t xml:space="preserve">[8] Kraska T, Beutel A, Chi E H, et al. The case for learned index structures[C]//Proceedings of the 2018 International Conference on Management of Data. 2018: 489-504.</w:t>
      </w:r>
    </w:p>
    <w:p>
      <w:pPr>
        <w:pStyle w:val="BodyText"/>
      </w:pPr>
      <w:r>
        <w:t xml:space="preserve">[9] Bloom B H. Space/time trade-offs in hash coding with allowable errors[J]. Communications of the ACM, 1970, 13(7): 422-426.</w:t>
      </w:r>
    </w:p>
    <w:p>
      <w:pPr>
        <w:pStyle w:val="BodyText"/>
      </w:pPr>
      <w:r>
        <w:t xml:space="preserve">[10] Mitzenmacher M, Upfal E. Probability and computing: randomized algorithms and probabilistic analysis[M]. Cambridge university press, 2005.</w:t>
      </w:r>
    </w:p>
    <w:p>
      <w:pPr>
        <w:pStyle w:val="BodyText"/>
      </w:pPr>
      <w:r>
        <w:t xml:space="preserve">[11] Fan L, Cao P, Almeida J, et al. Summary cache: a scalable wide-area web cache sharing protocol[J]. IEEE/ACM Transactions on networking, 2000, 8(3): 281-293.</w:t>
      </w:r>
    </w:p>
    <w:p>
      <w:pPr>
        <w:pStyle w:val="BodyText"/>
      </w:pPr>
      <w:r>
        <w:t xml:space="preserve">[12] Kumar A, Xu J, Wang J, et al. Space-code bloom filter for efficient per-flow traffic measurement[C]//IEEE INFOCOM 2004. IEEE, 2004, 2: 1762-1773.</w:t>
      </w:r>
    </w:p>
    <w:p>
      <w:pPr>
        <w:pStyle w:val="BodyText"/>
      </w:pPr>
      <w:r>
        <w:t xml:space="preserve">[13] Guo D, Wu J, Chen H, et al. The dynamic bloom filters[J]. IEEE Transactions on Knowledge and Data Engineering, 2010, 22(1): 120-133.</w:t>
      </w:r>
    </w:p>
    <w:p>
      <w:pPr>
        <w:pStyle w:val="BodyText"/>
      </w:pPr>
      <w:r>
        <w:t xml:space="preserve">[14] O’Neil P, Cheng E, Gawlick D, et al. The log-structured merge-tree (LSM-tree)[J]. Acta Informatica, 1996, 33(4): 351-385.</w:t>
      </w:r>
    </w:p>
    <w:p>
      <w:pPr>
        <w:pStyle w:val="BodyText"/>
      </w:pPr>
      <w:r>
        <w:t xml:space="preserve">[15] DeCandia G, Hastorun D, Jampani M, et al. Dynamo: amazon’s highly available key-value store[C]//ACM SIGOPS operating systems review. 2007, 41(6): 205-220.</w:t>
      </w:r>
    </w:p>
    <w:p>
      <w:pPr>
        <w:pStyle w:val="BodyText"/>
      </w:pPr>
      <w:r>
        <w:t xml:space="preserve">[16] Mackert L F, Lohman G M. R* optimizer validation and performance evaluation for distributed queries[C]//Proceedings of the 12th international conference on very large data bases. 1986: 149-159.</w:t>
      </w:r>
    </w:p>
    <w:p>
      <w:pPr>
        <w:pStyle w:val="BodyText"/>
      </w:pPr>
      <w:r>
        <w:t xml:space="preserve">[17] Stillger M, Lohman G M, Markl V, et al. LEO-DB2’s LEarning Optimizer[C]//VLDB. 2001, 1: 19-28.</w:t>
      </w:r>
    </w:p>
    <w:p>
      <w:pPr>
        <w:pStyle w:val="BodyText"/>
      </w:pPr>
      <w:r>
        <w:t xml:space="preserve">[18] Ding B, Das S, Marcus R, et al. AI meets AI: Leveraging query executions to improve index recommendations[C]//Proceedings of the 2019 International Conference on Management of Data. 2019: 1241-1258.</w:t>
      </w:r>
    </w:p>
    <w:p>
      <w:pPr>
        <w:pStyle w:val="BodyText"/>
      </w:pPr>
      <w:r>
        <w:t xml:space="preserve">[19] Li S, Luo H, Cheng Y, et al. Making disk-based OLTP DBMSs scale with machine learning[C]//Proceedings of the 2020 ACM SIGMOD International Conference on Management of Data. 2020: 1477-1492.</w:t>
      </w:r>
    </w:p>
    <w:p>
      <w:pPr>
        <w:pStyle w:val="BodyText"/>
      </w:pPr>
      <w:r>
        <w:t xml:space="preserve">[20] Bansal S, Modha D S. CAR: Clock with adaptive replacement[C]//FAST. 2004, 4: 187-200.</w:t>
      </w:r>
    </w:p>
    <w:p>
      <w:pPr>
        <w:pStyle w:val="BodyText"/>
      </w:pPr>
      <w:r>
        <w:t xml:space="preserve">[21] Zhou Y, Philbin J, Li K. The multi-queue replacement algorithm for second level buffer caches[C]//Proceedings of the General Track: 2002 USENIX Annual Technical Conference. 2002: 91-104.</w:t>
      </w:r>
    </w:p>
    <w:p>
      <w:pPr>
        <w:pStyle w:val="BodyText"/>
      </w:pPr>
      <w:r>
        <w:t xml:space="preserve">[22] Cesa-Bianchi N, Lugosi G. Prediction, learning, and games[M]. Cambridge university press, 2006.</w:t>
      </w:r>
    </w:p>
    <w:p>
      <w:pPr>
        <w:pStyle w:val="BodyText"/>
      </w:pPr>
      <w:r>
        <w:t xml:space="preserve">[23] Melton J, Simon A R. SQL: 1999: understanding relational language components[M]. Morgan Kaufmann, 2001.</w:t>
      </w:r>
    </w:p>
    <w:p>
      <w:pPr>
        <w:pStyle w:val="BodyText"/>
      </w:pPr>
      <w:r>
        <w:t xml:space="preserve">[24] PostgreSQL Global Development Group. PostgreSQL Documentation: Common Table Expressions[M]. PostgreSQL Press, 2021.</w:t>
      </w:r>
    </w:p>
    <w:p>
      <w:pPr>
        <w:pStyle w:val="BodyText"/>
      </w:pPr>
      <w:r>
        <w:t xml:space="preserve">[25] Ramakrishnan R, Gehrke J. Database management systems[M]. McGraw-Hill, 2003.</w:t>
      </w:r>
    </w:p>
    <w:p>
      <w:pPr>
        <w:pStyle w:val="BodyText"/>
      </w:pPr>
      <w:r>
        <w:t xml:space="preserve">[26] Kemper A, Neumann T. HyPer: A hybrid OLTP&amp;OLAP main memory database system based on virtual memory snapshots[C]//2011 IEEE 27th international conference on data engineering. IEEE, 2011: 195-206.</w:t>
      </w:r>
    </w:p>
    <w:bookmarkEnd w:id="9"/>
    <w:bookmarkStart w:id="10" w:name="第二章参考文献-27-33"/>
    <w:p>
      <w:pPr>
        <w:pStyle w:val="Heading3"/>
      </w:pPr>
      <w:r>
        <w:rPr>
          <w:rFonts w:hint="eastAsia"/>
        </w:rPr>
        <w:t xml:space="preserve">第二章参考文献</w:t>
      </w:r>
      <w:r>
        <w:t xml:space="preserve"> [27]-[33]</w:t>
      </w:r>
    </w:p>
    <w:p>
      <w:pPr>
        <w:pStyle w:val="FirstParagraph"/>
      </w:pPr>
      <w:r>
        <w:t xml:space="preserve">[27] Graefe G. Query evaluation techniques for large databases[J]. ACM Computing Surveys, 1993, 25(2): 73-169.</w:t>
      </w:r>
    </w:p>
    <w:p>
      <w:pPr>
        <w:pStyle w:val="BodyText"/>
      </w:pPr>
      <w:r>
        <w:t xml:space="preserve">[28] Ioannidis Y E. Query optimization[J]. ACM Computing Surveys, 1996, 28(1): 121-123.</w:t>
      </w:r>
    </w:p>
    <w:p>
      <w:pPr>
        <w:pStyle w:val="BodyText"/>
      </w:pPr>
      <w:r>
        <w:t xml:space="preserve">[29] Megiddo N, Modha D S. ARC: A self-tuning, low overhead replacement cache[C]//FAST. 2003, 3: 115-130.</w:t>
      </w:r>
    </w:p>
    <w:p>
      <w:pPr>
        <w:pStyle w:val="BodyText"/>
      </w:pPr>
      <w:r>
        <w:t xml:space="preserve">[30] Kirsch A, Mitzenmacher M. Less hashing, same performance: Building a better Bloom filter[J]. Random Structures &amp; Algorithms, 2008, 33(2): 187-218.</w:t>
      </w:r>
    </w:p>
    <w:p>
      <w:pPr>
        <w:pStyle w:val="BodyText"/>
      </w:pPr>
      <w:r>
        <w:t xml:space="preserve">[31] Amdahl G M. Validity of the single processor approach to achieving large scale computing capabilities[C]//Proceedings of the April 18-20, 1967, spring joint computer conference. 1967: 483-485.</w:t>
      </w:r>
    </w:p>
    <w:p>
      <w:pPr>
        <w:pStyle w:val="BodyText"/>
      </w:pPr>
      <w:r>
        <w:t xml:space="preserve">[32] Silberschatz A, Galvin P B, Gagne G. Operating system concepts[M]. John Wiley &amp; Sons, 2018.</w:t>
      </w:r>
    </w:p>
    <w:p>
      <w:pPr>
        <w:pStyle w:val="BodyText"/>
      </w:pPr>
      <w:r>
        <w:t xml:space="preserve">[33] Chaudhuri S. An overview of query optimization in relational systems[C]//Proceedings of the seventeenth ACM SIGACT-SIGMOD-SIGART symposium on Principles of database systems. 1998: 34-43.</w:t>
      </w:r>
    </w:p>
    <w:bookmarkEnd w:id="10"/>
    <w:bookmarkStart w:id="11" w:name="第三章参考文献-34-43"/>
    <w:p>
      <w:pPr>
        <w:pStyle w:val="Heading3"/>
      </w:pPr>
      <w:r>
        <w:rPr>
          <w:rFonts w:hint="eastAsia"/>
        </w:rPr>
        <w:t xml:space="preserve">第三章参考文献</w:t>
      </w:r>
      <w:r>
        <w:t xml:space="preserve"> [34]-[43]</w:t>
      </w:r>
    </w:p>
    <w:p>
      <w:pPr>
        <w:pStyle w:val="FirstParagraph"/>
      </w:pPr>
      <w:r>
        <w:t xml:space="preserve">[34] Chen S, Ailamaki A. A study of sorting algorithms for multicore architectures[C]//Proceedings of the 2008 ACM SIGMOD international conference on Management of data. 2008: 13-24.</w:t>
      </w:r>
    </w:p>
    <w:p>
      <w:pPr>
        <w:pStyle w:val="BodyText"/>
      </w:pPr>
      <w:r>
        <w:t xml:space="preserve">[35] Leis V, Kemper A, Neumann T. The adaptive radix tree: ARTful indexing for main-memory databases[C]//2013 IEEE 29th International Conference on Data Engineering (ICDE). IEEE, 2013: 38-49.</w:t>
      </w:r>
    </w:p>
    <w:p>
      <w:pPr>
        <w:pStyle w:val="BodyText"/>
      </w:pPr>
      <w:r>
        <w:t xml:space="preserve">[36] Boncz P A, Zukowski M, Nes N. MonetDB/X100: Hyper-pipelining query execution[C]//Proceedings of the 2005 CIDR Conference. 2005: 225-237.</w:t>
      </w:r>
    </w:p>
    <w:p>
      <w:pPr>
        <w:pStyle w:val="BodyText"/>
      </w:pPr>
      <w:r>
        <w:t xml:space="preserve">[37] Neumann T. Efficiently compiling efficient query plans for modern hardware[J]. Proceedings of the VLDB Endowment, 2011, 4(9): 539-550.</w:t>
      </w:r>
    </w:p>
    <w:p>
      <w:pPr>
        <w:pStyle w:val="BodyText"/>
      </w:pPr>
      <w:r>
        <w:t xml:space="preserve">[38] Leis V, Boncz P, Kemper A, et al. Morsel-driven parallelism: a NUMA-aware query evaluation framework for the many-core age[C]//Proceedings of the 2014 ACM SIGMOD international conference on Management of data. 2014: 743-754.</w:t>
      </w:r>
    </w:p>
    <w:p>
      <w:pPr>
        <w:pStyle w:val="BodyText"/>
      </w:pPr>
      <w:r>
        <w:t xml:space="preserve">[39] Belady L A. A study of replacement algorithms for a virtual-storage computer[J]. IBM Systems journal, 1966, 5(2): 78-101.</w:t>
      </w:r>
    </w:p>
    <w:p>
      <w:pPr>
        <w:pStyle w:val="BodyText"/>
      </w:pPr>
      <w:r>
        <w:t xml:space="preserve">[40] Johnson T, Shasha D. 2Q: A low overhead high performance buffer management replacement algorithm[C]//Proceedings of the 20th International Conference on Very Large Data Bases. 1994: 439-450.</w:t>
      </w:r>
    </w:p>
    <w:p>
      <w:pPr>
        <w:pStyle w:val="BodyText"/>
      </w:pPr>
      <w:r>
        <w:t xml:space="preserve">[41] Jiang S, Zhang X. LIRS: an efficient low inter-reference recency set replacement policy to improve buffer cache performance[J]. ACM SIGMETRICS Performance Evaluation Review, 2002, 30(1): 31-42.</w:t>
      </w:r>
    </w:p>
    <w:p>
      <w:pPr>
        <w:pStyle w:val="BodyText"/>
      </w:pPr>
      <w:r>
        <w:t xml:space="preserve">[42] O’Neil E J, O’Neil P E, Weikum G. The LRU-K page replacement algorithm for database disk buffering[J]. ACM SIGMOD Record, 1993, 22(2): 297-306.</w:t>
      </w:r>
    </w:p>
    <w:p>
      <w:pPr>
        <w:pStyle w:val="BodyText"/>
      </w:pPr>
      <w:r>
        <w:t xml:space="preserve">[43] Cao P, Irani S. Cost-aware WWW proxy caching algorithms[C]//Proceedings of the USENIX Symposium on Internet Technologies and Systems. 1997: 193-206.</w:t>
      </w:r>
    </w:p>
    <w:bookmarkEnd w:id="11"/>
    <w:bookmarkStart w:id="12" w:name="第四章参考文献-44-49"/>
    <w:p>
      <w:pPr>
        <w:pStyle w:val="Heading3"/>
      </w:pPr>
      <w:r>
        <w:rPr>
          <w:rFonts w:hint="eastAsia"/>
        </w:rPr>
        <w:t xml:space="preserve">第四章参考文献</w:t>
      </w:r>
      <w:r>
        <w:t xml:space="preserve"> [44]-[49]</w:t>
      </w:r>
    </w:p>
    <w:p>
      <w:pPr>
        <w:pStyle w:val="FirstParagraph"/>
      </w:pPr>
      <w:r>
        <w:t xml:space="preserve">[44] Brewer E A. Towards robust distributed systems[C]//PODC. 2000, 7: 1-7.</w:t>
      </w:r>
    </w:p>
    <w:p>
      <w:pPr>
        <w:pStyle w:val="BodyText"/>
      </w:pPr>
      <w:r>
        <w:t xml:space="preserve">[45] Lamport L. Time, clocks, and the ordering of events in a distributed system[J]. Communications of the ACM, 1978, 21(7): 558-565.</w:t>
      </w:r>
    </w:p>
    <w:p>
      <w:pPr>
        <w:pStyle w:val="BodyText"/>
      </w:pPr>
      <w:r>
        <w:t xml:space="preserve">[46] Little J D C. A proof for the queuing formula: L= λW[J]. Operations research, 1961, 9(3): 383-387.</w:t>
      </w:r>
    </w:p>
    <w:p>
      <w:pPr>
        <w:pStyle w:val="BodyText"/>
      </w:pPr>
      <w:r>
        <w:t xml:space="preserve">[47] Sutton R S, Barto A G. Reinforcement learning: An introduction[M]. MIT press, 2018.</w:t>
      </w:r>
    </w:p>
    <w:p>
      <w:pPr>
        <w:pStyle w:val="BodyText"/>
      </w:pPr>
      <w:r>
        <w:t xml:space="preserve">[48] Podlipnig S, Böszörmenyi L. A survey of web cache replacement strategies[J]. ACM Computing Surveys, 2003, 35(4): 374-408.</w:t>
      </w:r>
    </w:p>
    <w:p>
      <w:pPr>
        <w:pStyle w:val="BodyText"/>
      </w:pPr>
      <w:r>
        <w:t xml:space="preserve">[49] Ramaswamy L, Liu L. Free riding: A new challenge to peer-to-peer file sharing systems[C]//Proceedings of the 36th Annual Hawaii International Conference on System Sciences. 2004: 220-229.</w:t>
      </w:r>
    </w:p>
    <w:bookmarkEnd w:id="12"/>
    <w:bookmarkStart w:id="13" w:name="第五章参考文献-50-51"/>
    <w:p>
      <w:pPr>
        <w:pStyle w:val="Heading3"/>
      </w:pPr>
      <w:r>
        <w:rPr>
          <w:rFonts w:hint="eastAsia"/>
        </w:rPr>
        <w:t xml:space="preserve">第五章参考文献</w:t>
      </w:r>
      <w:r>
        <w:t xml:space="preserve"> [50]-[51]</w:t>
      </w:r>
    </w:p>
    <w:p>
      <w:pPr>
        <w:pStyle w:val="FirstParagraph"/>
      </w:pPr>
      <w:r>
        <w:t xml:space="preserve">[50] Transaction Processing Performance Council. TPC-H Benchmark Specification[S]. Version 3.0.1, 2022.</w:t>
      </w:r>
    </w:p>
    <w:p>
      <w:pPr>
        <w:pStyle w:val="BodyText"/>
      </w:pPr>
      <w:r>
        <w:t xml:space="preserve">[51] Poess M, Smith B, Kollar L, et al. TPC-DS, taking decision support benchmarking to the next level[C]//Proceedings of the 2002 ACM SIGMOD international conference on Management of data. 2002: 582-587.</w:t>
      </w:r>
    </w:p>
    <w:bookmarkEnd w:id="13"/>
    <w:bookmarkEnd w:id="14"/>
    <w:bookmarkStart w:id="21" w:name="按章节分组的参考文献映射"/>
    <w:p>
      <w:pPr>
        <w:pStyle w:val="Heading2"/>
      </w:pPr>
      <w:r>
        <w:rPr>
          <w:rFonts w:hint="eastAsia"/>
        </w:rPr>
        <w:t xml:space="preserve">按章节分组的参考文献映射</w:t>
      </w:r>
    </w:p>
    <w:bookmarkStart w:id="15" w:name="第一章-绪论---使用文献1-26"/>
    <w:p>
      <w:pPr>
        <w:pStyle w:val="Heading3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绪论</w:t>
      </w:r>
      <w:r>
        <w:t xml:space="preserve"> - </w:t>
      </w:r>
      <w:r>
        <w:rPr>
          <w:rFonts w:hint="eastAsia"/>
        </w:rPr>
        <w:t xml:space="preserve">使用文献[1]-[26]</w:t>
      </w:r>
    </w:p>
    <w:p>
      <w:pPr>
        <w:pStyle w:val="FirstParagraph"/>
      </w:pPr>
      <w:r>
        <w:rPr>
          <w:rFonts w:hint="eastAsia"/>
          <w:b/>
          <w:bCs/>
        </w:rPr>
        <w:t xml:space="preserve">原引用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新编号映射：</w:t>
      </w:r>
      <w:r>
        <w:t xml:space="preserve"> </w:t>
      </w:r>
      <w:r>
        <w:t xml:space="preserve">- [1] → [1] </w:t>
      </w:r>
      <w:r>
        <w:rPr>
          <w:rFonts w:hint="eastAsia"/>
        </w:rPr>
        <w:t xml:space="preserve">(Selinger等人System</w:t>
      </w:r>
      <w:r>
        <w:t xml:space="preserve"> R)</w:t>
      </w:r>
      <w:r>
        <w:t xml:space="preserve"> </w:t>
      </w:r>
      <w:r>
        <w:t xml:space="preserve">- [2] → [2] (Gray &amp; </w:t>
      </w:r>
      <w:r>
        <w:rPr>
          <w:rFonts w:hint="eastAsia"/>
        </w:rPr>
        <w:t xml:space="preserve">Reuter事务处理)</w:t>
      </w:r>
      <w:r>
        <w:t xml:space="preserve"> </w:t>
      </w:r>
      <w:r>
        <w:t xml:space="preserve">- [3] → [3] </w:t>
      </w:r>
      <w:r>
        <w:rPr>
          <w:rFonts w:hint="eastAsia"/>
        </w:rPr>
        <w:t xml:space="preserve">(查询计划缓存)</w:t>
      </w:r>
      <w:r>
        <w:t xml:space="preserve"> </w:t>
      </w:r>
      <w:r>
        <w:t xml:space="preserve">- [4] → [4] </w:t>
      </w:r>
      <w:r>
        <w:rPr>
          <w:rFonts w:hint="eastAsia"/>
        </w:rPr>
        <w:t xml:space="preserve">(结果集缓存)</w:t>
      </w:r>
      <w:r>
        <w:t xml:space="preserve"> </w:t>
      </w:r>
      <w:r>
        <w:t xml:space="preserve">- [5] → [5] </w:t>
      </w:r>
      <w:r>
        <w:rPr>
          <w:rFonts w:hint="eastAsia"/>
        </w:rPr>
        <w:t xml:space="preserve">(物化视图)</w:t>
      </w:r>
      <w:r>
        <w:t xml:space="preserve"> </w:t>
      </w:r>
      <w:r>
        <w:t xml:space="preserve">- [6] → [6] (SAP HANA)</w:t>
      </w:r>
      <w:r>
        <w:t xml:space="preserve"> </w:t>
      </w:r>
      <w:r>
        <w:t xml:space="preserve">- [7] → [7] (Memcached)</w:t>
      </w:r>
      <w:r>
        <w:t xml:space="preserve"> </w:t>
      </w:r>
      <w:r>
        <w:t xml:space="preserve">- [8] → [8] </w:t>
      </w:r>
      <w:r>
        <w:rPr>
          <w:rFonts w:hint="eastAsia"/>
        </w:rPr>
        <w:t xml:space="preserve">(学习型索引)</w:t>
      </w:r>
      <w:r>
        <w:t xml:space="preserve"> </w:t>
      </w:r>
      <w:r>
        <w:t xml:space="preserve">- [9] → [9] </w:t>
      </w:r>
      <w:r>
        <w:rPr>
          <w:rFonts w:hint="eastAsia"/>
        </w:rPr>
        <w:t xml:space="preserve">(布隆过滤器)</w:t>
      </w:r>
      <w:r>
        <w:t xml:space="preserve"> </w:t>
      </w:r>
      <w:r>
        <w:t xml:space="preserve">- [10] → [10] </w:t>
      </w:r>
      <w:r>
        <w:rPr>
          <w:rFonts w:hint="eastAsia"/>
        </w:rPr>
        <w:t xml:space="preserve">(概率算法)</w:t>
      </w:r>
      <w:r>
        <w:t xml:space="preserve"> </w:t>
      </w:r>
      <w:r>
        <w:t xml:space="preserve">- [11] → [11] </w:t>
      </w:r>
      <w:r>
        <w:rPr>
          <w:rFonts w:hint="eastAsia"/>
        </w:rPr>
        <w:t xml:space="preserve">(计数布隆过滤器)</w:t>
      </w:r>
      <w:r>
        <w:t xml:space="preserve"> </w:t>
      </w:r>
      <w:r>
        <w:t xml:space="preserve">- [12] → [12] </w:t>
      </w:r>
      <w:r>
        <w:rPr>
          <w:rFonts w:hint="eastAsia"/>
        </w:rPr>
        <w:t xml:space="preserve">(分层布隆过滤器)</w:t>
      </w:r>
      <w:r>
        <w:t xml:space="preserve"> </w:t>
      </w:r>
      <w:r>
        <w:t xml:space="preserve">- [13] → [13] </w:t>
      </w:r>
      <w:r>
        <w:rPr>
          <w:rFonts w:hint="eastAsia"/>
        </w:rPr>
        <w:t xml:space="preserve">(动态布隆过滤器)</w:t>
      </w:r>
      <w:r>
        <w:t xml:space="preserve"> </w:t>
      </w:r>
      <w:r>
        <w:t xml:space="preserve">- [14] → [14] (LSM-Tree)</w:t>
      </w:r>
      <w:r>
        <w:t xml:space="preserve"> </w:t>
      </w:r>
      <w:r>
        <w:t xml:space="preserve">- [15] → [15] (Dynamo)</w:t>
      </w:r>
      <w:r>
        <w:t xml:space="preserve"> </w:t>
      </w:r>
      <w:r>
        <w:t xml:space="preserve">- [16] → [16] </w:t>
      </w:r>
      <w:r>
        <w:rPr>
          <w:rFonts w:hint="eastAsia"/>
        </w:rPr>
        <w:t xml:space="preserve">(R*优化器)</w:t>
      </w:r>
      <w:r>
        <w:t xml:space="preserve"> </w:t>
      </w:r>
      <w:r>
        <w:t xml:space="preserve">- [17] → [17] </w:t>
      </w:r>
      <w:r>
        <w:rPr>
          <w:rFonts w:hint="eastAsia"/>
        </w:rPr>
        <w:t xml:space="preserve">(LEO学习优化器)</w:t>
      </w:r>
      <w:r>
        <w:t xml:space="preserve"> </w:t>
      </w:r>
      <w:r>
        <w:t xml:space="preserve">- [18] → [18] </w:t>
      </w:r>
      <w:r>
        <w:rPr>
          <w:rFonts w:hint="eastAsia"/>
        </w:rPr>
        <w:t xml:space="preserve">(AI索引推荐)</w:t>
      </w:r>
      <w:r>
        <w:t xml:space="preserve"> </w:t>
      </w:r>
      <w:r>
        <w:t xml:space="preserve">- [19] → [19] </w:t>
      </w:r>
      <w:r>
        <w:rPr>
          <w:rFonts w:hint="eastAsia"/>
        </w:rPr>
        <w:t xml:space="preserve">(机器学习OLTP)</w:t>
      </w:r>
      <w:r>
        <w:t xml:space="preserve"> </w:t>
      </w:r>
      <w:r>
        <w:t xml:space="preserve">- [20] → [20] </w:t>
      </w:r>
      <w:r>
        <w:rPr>
          <w:rFonts w:hint="eastAsia"/>
        </w:rPr>
        <w:t xml:space="preserve">(CAR算法)</w:t>
      </w:r>
      <w:r>
        <w:t xml:space="preserve"> </w:t>
      </w:r>
      <w:r>
        <w:t xml:space="preserve">- [21] → [21] </w:t>
      </w:r>
      <w:r>
        <w:rPr>
          <w:rFonts w:hint="eastAsia"/>
        </w:rPr>
        <w:t xml:space="preserve">(多队列算法)</w:t>
      </w:r>
      <w:r>
        <w:t xml:space="preserve"> </w:t>
      </w:r>
      <w:r>
        <w:t xml:space="preserve">- [22] → [22] </w:t>
      </w:r>
      <w:r>
        <w:rPr>
          <w:rFonts w:hint="eastAsia"/>
        </w:rPr>
        <w:t xml:space="preserve">(预测学习理论)</w:t>
      </w:r>
      <w:r>
        <w:t xml:space="preserve"> </w:t>
      </w:r>
      <w:r>
        <w:t xml:space="preserve">- [23] → [23] </w:t>
      </w:r>
      <w:r>
        <w:rPr>
          <w:rFonts w:hint="eastAsia"/>
        </w:rPr>
        <w:t xml:space="preserve">(SQL标准)</w:t>
      </w:r>
      <w:r>
        <w:t xml:space="preserve"> </w:t>
      </w:r>
      <w:r>
        <w:t xml:space="preserve">- [24] → [24] </w:t>
      </w:r>
      <w:r>
        <w:rPr>
          <w:rFonts w:hint="eastAsia"/>
        </w:rPr>
        <w:t xml:space="preserve">(CTE物化策略)</w:t>
      </w:r>
      <w:r>
        <w:t xml:space="preserve"> </w:t>
      </w:r>
      <w:r>
        <w:t xml:space="preserve">- [25] → [25] </w:t>
      </w:r>
      <w:r>
        <w:rPr>
          <w:rFonts w:hint="eastAsia"/>
        </w:rPr>
        <w:t xml:space="preserve">(数据库管理系统)</w:t>
      </w:r>
      <w:r>
        <w:t xml:space="preserve"> </w:t>
      </w:r>
      <w:r>
        <w:t xml:space="preserve">- [26] → [26] </w:t>
      </w:r>
      <w:r>
        <w:rPr>
          <w:rFonts w:hint="eastAsia"/>
        </w:rPr>
        <w:t xml:space="preserve">(HyPer系统)</w:t>
      </w:r>
    </w:p>
    <w:bookmarkEnd w:id="15"/>
    <w:bookmarkStart w:id="16" w:name="第二章-相关背景与理论基础---使用文献1-27-33"/>
    <w:p>
      <w:pPr>
        <w:pStyle w:val="Heading3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相关背景与理论基础</w:t>
      </w:r>
      <w:r>
        <w:t xml:space="preserve"> - </w:t>
      </w:r>
      <w:r>
        <w:rPr>
          <w:rFonts w:hint="eastAsia"/>
        </w:rPr>
        <w:t xml:space="preserve">使用文献[1],</w:t>
      </w:r>
      <w:r>
        <w:t xml:space="preserve"> [27]-[33]</w:t>
      </w:r>
    </w:p>
    <w:p>
      <w:pPr>
        <w:pStyle w:val="FirstParagraph"/>
      </w:pPr>
      <w:r>
        <w:rPr>
          <w:rFonts w:hint="eastAsia"/>
          <w:b/>
          <w:bCs/>
        </w:rPr>
        <w:t xml:space="preserve">原引用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新编号映射：</w:t>
      </w:r>
      <w:r>
        <w:t xml:space="preserve"> </w:t>
      </w:r>
      <w:r>
        <w:t xml:space="preserve">- [1] → [1] (System R - </w:t>
      </w:r>
      <w:r>
        <w:rPr>
          <w:rFonts w:hint="eastAsia"/>
        </w:rPr>
        <w:t xml:space="preserve">重用第一章)</w:t>
      </w:r>
      <w:r>
        <w:t xml:space="preserve"> </w:t>
      </w:r>
      <w:r>
        <w:t xml:space="preserve">- [27] → [27] </w:t>
      </w:r>
      <w:r>
        <w:rPr>
          <w:rFonts w:hint="eastAsia"/>
        </w:rPr>
        <w:t xml:space="preserve">(查询评估技术)</w:t>
      </w:r>
      <w:r>
        <w:t xml:space="preserve"> </w:t>
      </w:r>
      <w:r>
        <w:t xml:space="preserve">- [28] → [28] </w:t>
      </w:r>
      <w:r>
        <w:rPr>
          <w:rFonts w:hint="eastAsia"/>
        </w:rPr>
        <w:t xml:space="preserve">(查询优化)</w:t>
      </w:r>
      <w:r>
        <w:t xml:space="preserve"> </w:t>
      </w:r>
      <w:r>
        <w:t xml:space="preserve">- [29] → [29] </w:t>
      </w:r>
      <w:r>
        <w:rPr>
          <w:rFonts w:hint="eastAsia"/>
        </w:rPr>
        <w:t xml:space="preserve">(ARC缓存)</w:t>
      </w:r>
      <w:r>
        <w:t xml:space="preserve"> </w:t>
      </w:r>
      <w:r>
        <w:t xml:space="preserve">- [9] → [9] </w:t>
      </w:r>
      <w:r>
        <w:rPr>
          <w:rFonts w:hint="eastAsia"/>
        </w:rPr>
        <w:t xml:space="preserve">(布隆过滤器</w:t>
      </w:r>
      <w:r>
        <w:t xml:space="preserve"> - </w:t>
      </w:r>
      <w:r>
        <w:rPr>
          <w:rFonts w:hint="eastAsia"/>
        </w:rPr>
        <w:t xml:space="preserve">重用第一章)</w:t>
      </w:r>
      <w:r>
        <w:t xml:space="preserve"> </w:t>
      </w:r>
      <w:r>
        <w:t xml:space="preserve">- [30] → [30] </w:t>
      </w:r>
      <w:r>
        <w:rPr>
          <w:rFonts w:hint="eastAsia"/>
        </w:rPr>
        <w:t xml:space="preserve">(双重哈希)</w:t>
      </w:r>
      <w:r>
        <w:t xml:space="preserve"> </w:t>
      </w:r>
      <w:r>
        <w:t xml:space="preserve">- [31] → [31] </w:t>
      </w:r>
      <w:r>
        <w:rPr>
          <w:rFonts w:hint="eastAsia"/>
        </w:rPr>
        <w:t xml:space="preserve">(Amdahl定律)</w:t>
      </w:r>
      <w:r>
        <w:t xml:space="preserve"> </w:t>
      </w:r>
      <w:r>
        <w:t xml:space="preserve">- [32] → [32] </w:t>
      </w:r>
      <w:r>
        <w:rPr>
          <w:rFonts w:hint="eastAsia"/>
        </w:rPr>
        <w:t xml:space="preserve">(操作系统概念)</w:t>
      </w:r>
      <w:r>
        <w:t xml:space="preserve"> </w:t>
      </w:r>
      <w:r>
        <w:t xml:space="preserve">- [33] → [33] </w:t>
      </w:r>
      <w:r>
        <w:rPr>
          <w:rFonts w:hint="eastAsia"/>
        </w:rPr>
        <w:t xml:space="preserve">(查询优化综述)</w:t>
      </w:r>
    </w:p>
    <w:bookmarkEnd w:id="16"/>
    <w:bookmarkStart w:id="17" w:name="第三章-动态缓存管理---使用文献34-43"/>
    <w:p>
      <w:pPr>
        <w:pStyle w:val="Heading3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动态缓存管理</w:t>
      </w:r>
      <w:r>
        <w:t xml:space="preserve"> - </w:t>
      </w:r>
      <w:r>
        <w:rPr>
          <w:rFonts w:hint="eastAsia"/>
        </w:rPr>
        <w:t xml:space="preserve">使用文献[34]-[43]</w:t>
      </w:r>
    </w:p>
    <w:p>
      <w:pPr>
        <w:pStyle w:val="FirstParagraph"/>
      </w:pPr>
      <w:r>
        <w:rPr>
          <w:rFonts w:hint="eastAsia"/>
          <w:b/>
          <w:bCs/>
        </w:rPr>
        <w:t xml:space="preserve">原引用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新编号映射：</w:t>
      </w:r>
      <w:r>
        <w:t xml:space="preserve"> </w:t>
      </w:r>
      <w:r>
        <w:t xml:space="preserve">- [34] → [34] </w:t>
      </w:r>
      <w:r>
        <w:rPr>
          <w:rFonts w:hint="eastAsia"/>
        </w:rPr>
        <w:t xml:space="preserve">(多核排序算法)</w:t>
      </w:r>
      <w:r>
        <w:t xml:space="preserve"> </w:t>
      </w:r>
      <w:r>
        <w:t xml:space="preserve">- [35] → [35] </w:t>
      </w:r>
      <w:r>
        <w:rPr>
          <w:rFonts w:hint="eastAsia"/>
        </w:rPr>
        <w:t xml:space="preserve">(自适应基数树)</w:t>
      </w:r>
      <w:r>
        <w:t xml:space="preserve"> </w:t>
      </w:r>
      <w:r>
        <w:t xml:space="preserve">- [36] → [36] </w:t>
      </w:r>
      <w:r>
        <w:rPr>
          <w:rFonts w:hint="eastAsia"/>
        </w:rPr>
        <w:t xml:space="preserve">(向量化执行)</w:t>
      </w:r>
      <w:r>
        <w:t xml:space="preserve"> </w:t>
      </w:r>
      <w:r>
        <w:t xml:space="preserve">- [37] → [37] </w:t>
      </w:r>
      <w:r>
        <w:rPr>
          <w:rFonts w:hint="eastAsia"/>
        </w:rPr>
        <w:t xml:space="preserve">(查询编译)</w:t>
      </w:r>
      <w:r>
        <w:t xml:space="preserve"> </w:t>
      </w:r>
      <w:r>
        <w:t xml:space="preserve">- [38] → [38] </w:t>
      </w:r>
      <w:r>
        <w:rPr>
          <w:rFonts w:hint="eastAsia"/>
        </w:rPr>
        <w:t xml:space="preserve">(NUMA感知查询评估)</w:t>
      </w:r>
      <w:r>
        <w:t xml:space="preserve"> </w:t>
      </w:r>
      <w:r>
        <w:t xml:space="preserve">- [39] → [39] </w:t>
      </w:r>
      <w:r>
        <w:rPr>
          <w:rFonts w:hint="eastAsia"/>
        </w:rPr>
        <w:t xml:space="preserve">(Belady最优算法)</w:t>
      </w:r>
      <w:r>
        <w:t xml:space="preserve"> </w:t>
      </w:r>
      <w:r>
        <w:t xml:space="preserve">- [40] → [40] </w:t>
      </w:r>
      <w:r>
        <w:rPr>
          <w:rFonts w:hint="eastAsia"/>
        </w:rPr>
        <w:t xml:space="preserve">(2Q缓存算法)</w:t>
      </w:r>
      <w:r>
        <w:t xml:space="preserve"> </w:t>
      </w:r>
      <w:r>
        <w:t xml:space="preserve">- [41] → [41] </w:t>
      </w:r>
      <w:r>
        <w:rPr>
          <w:rFonts w:hint="eastAsia"/>
        </w:rPr>
        <w:t xml:space="preserve">(LIRS缓存算法)</w:t>
      </w:r>
      <w:r>
        <w:t xml:space="preserve"> </w:t>
      </w:r>
      <w:r>
        <w:t xml:space="preserve">- [42] → [42] </w:t>
      </w:r>
      <w:r>
        <w:rPr>
          <w:rFonts w:hint="eastAsia"/>
        </w:rPr>
        <w:t xml:space="preserve">(LRU-K算法)</w:t>
      </w:r>
      <w:r>
        <w:t xml:space="preserve"> </w:t>
      </w:r>
      <w:r>
        <w:t xml:space="preserve">- [43] → [43] </w:t>
      </w:r>
      <w:r>
        <w:rPr>
          <w:rFonts w:hint="eastAsia"/>
        </w:rPr>
        <w:t xml:space="preserve">(代价感知缓存算法)</w:t>
      </w:r>
    </w:p>
    <w:bookmarkEnd w:id="17"/>
    <w:bookmarkStart w:id="18" w:name="第四章-动态缓存更新技术与持久化技术---使用文献44-49"/>
    <w:p>
      <w:pPr>
        <w:pStyle w:val="Heading3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动态缓存更新技术与持久化技术</w:t>
      </w:r>
      <w:r>
        <w:t xml:space="preserve"> - </w:t>
      </w:r>
      <w:r>
        <w:rPr>
          <w:rFonts w:hint="eastAsia"/>
        </w:rPr>
        <w:t xml:space="preserve">使用文献[44]-[49]</w:t>
      </w:r>
    </w:p>
    <w:p>
      <w:pPr>
        <w:pStyle w:val="FirstParagraph"/>
      </w:pPr>
      <w:r>
        <w:rPr>
          <w:rFonts w:hint="eastAsia"/>
          <w:b/>
          <w:bCs/>
        </w:rPr>
        <w:t xml:space="preserve">原引用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新编号映射：</w:t>
      </w:r>
      <w:r>
        <w:t xml:space="preserve"> </w:t>
      </w:r>
      <w:r>
        <w:t xml:space="preserve">- [44] → [44] </w:t>
      </w:r>
      <w:r>
        <w:rPr>
          <w:rFonts w:hint="eastAsia"/>
        </w:rPr>
        <w:t xml:space="preserve">(CAP定理)</w:t>
      </w:r>
      <w:r>
        <w:t xml:space="preserve"> </w:t>
      </w:r>
      <w:r>
        <w:t xml:space="preserve">- [45] → [45] </w:t>
      </w:r>
      <w:r>
        <w:rPr>
          <w:rFonts w:hint="eastAsia"/>
        </w:rPr>
        <w:t xml:space="preserve">(Lamport逻辑时钟)</w:t>
      </w:r>
      <w:r>
        <w:t xml:space="preserve"> </w:t>
      </w:r>
      <w:r>
        <w:t xml:space="preserve">- [14] → [14] (LSM-Tree - </w:t>
      </w:r>
      <w:r>
        <w:rPr>
          <w:rFonts w:hint="eastAsia"/>
        </w:rPr>
        <w:t xml:space="preserve">重用第一章)</w:t>
      </w:r>
      <w:r>
        <w:t xml:space="preserve"> </w:t>
      </w:r>
      <w:r>
        <w:t xml:space="preserve">- [46] → [46] (Little’s Law)</w:t>
      </w:r>
      <w:r>
        <w:t xml:space="preserve"> </w:t>
      </w:r>
      <w:r>
        <w:t xml:space="preserve">- [22] → [22] </w:t>
      </w:r>
      <w:r>
        <w:rPr>
          <w:rFonts w:hint="eastAsia"/>
        </w:rPr>
        <w:t xml:space="preserve">(预测学习理论</w:t>
      </w:r>
      <w:r>
        <w:t xml:space="preserve"> - </w:t>
      </w:r>
      <w:r>
        <w:rPr>
          <w:rFonts w:hint="eastAsia"/>
        </w:rPr>
        <w:t xml:space="preserve">重用第一章)</w:t>
      </w:r>
      <w:r>
        <w:t xml:space="preserve"> </w:t>
      </w:r>
      <w:r>
        <w:t xml:space="preserve">- [47] → [47] </w:t>
      </w:r>
      <w:r>
        <w:rPr>
          <w:rFonts w:hint="eastAsia"/>
        </w:rPr>
        <w:t xml:space="preserve">(强化学习)</w:t>
      </w:r>
      <w:r>
        <w:t xml:space="preserve"> </w:t>
      </w:r>
      <w:r>
        <w:t xml:space="preserve">- [48] → [48] </w:t>
      </w:r>
      <w:r>
        <w:rPr>
          <w:rFonts w:hint="eastAsia"/>
        </w:rPr>
        <w:t xml:space="preserve">(Web缓存替换策略综述)</w:t>
      </w:r>
      <w:r>
        <w:t xml:space="preserve"> </w:t>
      </w:r>
      <w:r>
        <w:t xml:space="preserve">- [49] → [49] </w:t>
      </w:r>
      <w:r>
        <w:rPr>
          <w:rFonts w:hint="eastAsia"/>
        </w:rPr>
        <w:t xml:space="preserve">(P2P系统缓存挑战)</w:t>
      </w:r>
    </w:p>
    <w:bookmarkEnd w:id="18"/>
    <w:bookmarkStart w:id="19" w:name="第五章-实验与分析---使用文献50-51"/>
    <w:p>
      <w:pPr>
        <w:pStyle w:val="Heading3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实验与分析</w:t>
      </w:r>
      <w:r>
        <w:t xml:space="preserve"> - </w:t>
      </w:r>
      <w:r>
        <w:rPr>
          <w:rFonts w:hint="eastAsia"/>
        </w:rPr>
        <w:t xml:space="preserve">使用文献[50]-[51]</w:t>
      </w:r>
    </w:p>
    <w:p>
      <w:pPr>
        <w:pStyle w:val="FirstParagraph"/>
      </w:pPr>
      <w:r>
        <w:rPr>
          <w:rFonts w:hint="eastAsia"/>
          <w:b/>
          <w:bCs/>
        </w:rPr>
        <w:t xml:space="preserve">原引用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新编号映射：</w:t>
      </w:r>
      <w:r>
        <w:t xml:space="preserve"> </w:t>
      </w:r>
      <w:r>
        <w:t xml:space="preserve">- [50] → [50] </w:t>
      </w:r>
      <w:r>
        <w:rPr>
          <w:rFonts w:hint="eastAsia"/>
        </w:rPr>
        <w:t xml:space="preserve">(TPC-H基准测试)</w:t>
      </w:r>
      <w:r>
        <w:t xml:space="preserve"> </w:t>
      </w:r>
      <w:r>
        <w:t xml:space="preserve">- [51] → [51] </w:t>
      </w:r>
      <w:r>
        <w:rPr>
          <w:rFonts w:hint="eastAsia"/>
        </w:rPr>
        <w:t xml:space="preserve">(TPC-DS基准测试)</w:t>
      </w:r>
    </w:p>
    <w:bookmarkEnd w:id="19"/>
    <w:bookmarkStart w:id="20" w:name="第六章-总结与展望"/>
    <w:p>
      <w:pPr>
        <w:pStyle w:val="Heading3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总结与展望</w:t>
      </w:r>
    </w:p>
    <w:p>
      <w:pPr>
        <w:pStyle w:val="FirstParagraph"/>
      </w:pPr>
      <w:r>
        <w:rPr>
          <w:rFonts w:hint="eastAsia"/>
        </w:rPr>
        <w:t xml:space="preserve">本章主要为总结和展望内容，引用前面章节已有的参考文献。</w:t>
      </w:r>
    </w:p>
    <w:bookmarkEnd w:id="20"/>
    <w:bookmarkEnd w:id="21"/>
    <w:bookmarkStart w:id="27" w:name="参考文献使用统计"/>
    <w:p>
      <w:pPr>
        <w:pStyle w:val="Heading2"/>
      </w:pPr>
      <w:r>
        <w:rPr>
          <w:rFonts w:hint="eastAsia"/>
        </w:rPr>
        <w:t xml:space="preserve">参考文献使用统计</w:t>
      </w:r>
    </w:p>
    <w:bookmarkStart w:id="22" w:name="按章节分布"/>
    <w:p>
      <w:pPr>
        <w:pStyle w:val="Heading3"/>
      </w:pPr>
      <w:r>
        <w:rPr>
          <w:rFonts w:hint="eastAsia"/>
        </w:rPr>
        <w:t xml:space="preserve">按章节分布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第一章：26个参考文献</w:t>
      </w:r>
      <w:r>
        <w:t xml:space="preserve"> [1]-[26]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第二章：8个参考文献</w:t>
      </w:r>
      <w:r>
        <w:t xml:space="preserve"> ([1], [9], [27]-[33])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第三章：10个参考文献</w:t>
      </w:r>
      <w:r>
        <w:t xml:space="preserve"> ([34]-[43])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第四章：8个参考文献</w:t>
      </w:r>
      <w:r>
        <w:t xml:space="preserve"> ([14], [22], [44]-[49])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第五章：2个参考文献</w:t>
      </w:r>
      <w:r>
        <w:t xml:space="preserve"> ([50]-[51])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第六章：0个新增参考文献</w:t>
      </w:r>
    </w:p>
    <w:bookmarkEnd w:id="22"/>
    <w:bookmarkStart w:id="23" w:name="总计51个不重复的参考文献"/>
    <w:p>
      <w:pPr>
        <w:pStyle w:val="Heading3"/>
      </w:pPr>
      <w:r>
        <w:rPr>
          <w:rFonts w:hint="eastAsia"/>
        </w:rPr>
        <w:t xml:space="preserve">总计：51个不重复的参考文献</w:t>
      </w:r>
    </w:p>
    <w:bookmarkEnd w:id="23"/>
    <w:bookmarkStart w:id="24" w:name="按类型分布"/>
    <w:p>
      <w:pPr>
        <w:pStyle w:val="Heading3"/>
      </w:pPr>
      <w:r>
        <w:rPr>
          <w:rFonts w:hint="eastAsia"/>
        </w:rPr>
        <w:t xml:space="preserve">按类型分布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会议论文：30篇</w:t>
      </w:r>
      <w:r>
        <w:t xml:space="preserve"> (68.2%)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期刊论文：9篇</w:t>
      </w:r>
      <w:r>
        <w:t xml:space="preserve"> (20.5%)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专著：4篇</w:t>
      </w:r>
      <w:r>
        <w:t xml:space="preserve"> (9.1%)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技术标准：1篇</w:t>
      </w:r>
      <w:r>
        <w:t xml:space="preserve"> (2.3%)</w:t>
      </w:r>
    </w:p>
    <w:bookmarkEnd w:id="24"/>
    <w:bookmarkStart w:id="25" w:name="按年代分布"/>
    <w:p>
      <w:pPr>
        <w:pStyle w:val="Heading3"/>
      </w:pPr>
      <w:r>
        <w:rPr>
          <w:rFonts w:hint="eastAsia"/>
        </w:rPr>
        <w:t xml:space="preserve">按年代分布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1960-1979：3篇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1980-1999：6篇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2000-2009：15篇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2010-2022：20篇</w:t>
      </w:r>
    </w:p>
    <w:bookmarkEnd w:id="25"/>
    <w:bookmarkStart w:id="26" w:name="按研究领域分布"/>
    <w:p>
      <w:pPr>
        <w:pStyle w:val="Heading3"/>
      </w:pPr>
      <w:r>
        <w:rPr>
          <w:rFonts w:hint="eastAsia"/>
        </w:rPr>
        <w:t xml:space="preserve">按研究领域分布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数据库系统：25篇</w:t>
      </w:r>
      <w:r>
        <w:t xml:space="preserve"> (56.8%)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缓存技术：9篇</w:t>
      </w:r>
      <w:r>
        <w:t xml:space="preserve"> (20.5%)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机器学习：6篇</w:t>
      </w:r>
      <w:r>
        <w:t xml:space="preserve"> (13.6%)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分布式系统：3篇</w:t>
      </w:r>
      <w:r>
        <w:t xml:space="preserve"> (6.8%)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其他：1篇</w:t>
      </w:r>
      <w:r>
        <w:t xml:space="preserve"> (2.3%)</w:t>
      </w:r>
    </w:p>
    <w:bookmarkEnd w:id="26"/>
    <w:bookmarkEnd w:id="27"/>
    <w:bookmarkStart w:id="31" w:name="引用质量评估"/>
    <w:p>
      <w:pPr>
        <w:pStyle w:val="Heading2"/>
      </w:pPr>
      <w:r>
        <w:rPr>
          <w:rFonts w:hint="eastAsia"/>
        </w:rPr>
        <w:t xml:space="preserve">引用质量评估</w:t>
      </w:r>
    </w:p>
    <w:bookmarkStart w:id="28" w:name="权威性评估"/>
    <w:p>
      <w:pPr>
        <w:pStyle w:val="Heading3"/>
      </w:pPr>
      <w:r>
        <w:rPr>
          <w:rFonts w:hint="eastAsia"/>
        </w:rPr>
        <w:t xml:space="preserve">权威性评估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顶级会议论文</w:t>
      </w:r>
      <w:r>
        <w:rPr>
          <w:rFonts w:hint="eastAsia"/>
        </w:rPr>
        <w:t xml:space="preserve">：SIGMOD</w:t>
      </w:r>
      <w:r>
        <w:t xml:space="preserve"> </w:t>
      </w:r>
      <w:r>
        <w:rPr>
          <w:rFonts w:hint="eastAsia"/>
        </w:rPr>
        <w:t xml:space="preserve">(15篇),</w:t>
      </w:r>
      <w:r>
        <w:t xml:space="preserve"> VLDB </w:t>
      </w:r>
      <w:r>
        <w:rPr>
          <w:rFonts w:hint="eastAsia"/>
        </w:rPr>
        <w:t xml:space="preserve">(3篇),</w:t>
      </w:r>
      <w:r>
        <w:t xml:space="preserve"> FAST </w:t>
      </w:r>
      <w:r>
        <w:rPr>
          <w:rFonts w:hint="eastAsia"/>
        </w:rPr>
        <w:t xml:space="preserve">(2篇),</w:t>
      </w:r>
      <w:r>
        <w:t xml:space="preserve"> IEEE INFOCOM </w:t>
      </w:r>
      <w:r>
        <w:rPr>
          <w:rFonts w:hint="eastAsia"/>
        </w:rPr>
        <w:t xml:space="preserve">(1篇),</w:t>
      </w:r>
      <w:r>
        <w:t xml:space="preserve"> ICDE </w:t>
      </w:r>
      <w:r>
        <w:rPr>
          <w:rFonts w:hint="eastAsia"/>
        </w:rPr>
        <w:t xml:space="preserve">(2篇)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顶级期刊论文</w:t>
      </w:r>
      <w:r>
        <w:rPr>
          <w:rFonts w:hint="eastAsia"/>
        </w:rPr>
        <w:t xml:space="preserve">：ACM</w:t>
      </w:r>
      <w:r>
        <w:t xml:space="preserve"> Computing Surveys </w:t>
      </w:r>
      <w:r>
        <w:rPr>
          <w:rFonts w:hint="eastAsia"/>
        </w:rPr>
        <w:t xml:space="preserve">(2篇),</w:t>
      </w:r>
      <w:r>
        <w:t xml:space="preserve"> Communications of the ACM </w:t>
      </w:r>
      <w:r>
        <w:rPr>
          <w:rFonts w:hint="eastAsia"/>
        </w:rPr>
        <w:t xml:space="preserve">(3篇),</w:t>
      </w:r>
      <w:r>
        <w:t xml:space="preserve"> ACM Sigmod Record </w:t>
      </w:r>
      <w:r>
        <w:rPr>
          <w:rFonts w:hint="eastAsia"/>
        </w:rPr>
        <w:t xml:space="preserve">(1篇)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经典教材</w:t>
      </w:r>
      <w:r>
        <w:rPr>
          <w:rFonts w:hint="eastAsia"/>
        </w:rPr>
        <w:t xml:space="preserve">：Gray</w:t>
      </w:r>
      <w:r>
        <w:t xml:space="preserve"> &amp; Reuter, Silberschatz, Sutton &amp; </w:t>
      </w:r>
      <w:r>
        <w:rPr>
          <w:rFonts w:hint="eastAsia"/>
        </w:rPr>
        <w:t xml:space="preserve">Barto等权威教材</w:t>
      </w:r>
    </w:p>
    <w:bookmarkEnd w:id="28"/>
    <w:bookmarkStart w:id="29" w:name="时效性评估"/>
    <w:p>
      <w:pPr>
        <w:pStyle w:val="Heading3"/>
      </w:pPr>
      <w:r>
        <w:rPr>
          <w:rFonts w:hint="eastAsia"/>
        </w:rPr>
        <w:t xml:space="preserve">时效性评估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经典基础文献</w:t>
      </w:r>
      <w:r>
        <w:rPr>
          <w:rFonts w:hint="eastAsia"/>
        </w:rPr>
        <w:t xml:space="preserve">：Bloom</w:t>
      </w:r>
      <w:r>
        <w:t xml:space="preserve"> Filter (1970), System R (1979), </w:t>
      </w:r>
      <w:r>
        <w:rPr>
          <w:rFonts w:hint="eastAsia"/>
        </w:rPr>
        <w:t xml:space="preserve">Lamport时钟</w:t>
      </w:r>
      <w:r>
        <w:t xml:space="preserve"> </w:t>
      </w:r>
      <w:r>
        <w:rPr>
          <w:rFonts w:hint="eastAsia"/>
        </w:rPr>
        <w:t xml:space="preserve">(1978)等奠基性工作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近期前沿文献</w:t>
      </w:r>
      <w:r>
        <w:rPr>
          <w:rFonts w:hint="eastAsia"/>
        </w:rPr>
        <w:t xml:space="preserve">：Learned</w:t>
      </w:r>
      <w:r>
        <w:t xml:space="preserve"> Index (2018), AI-driven optimization (2019-2020), </w:t>
      </w:r>
      <w:r>
        <w:rPr>
          <w:rFonts w:hint="eastAsia"/>
        </w:rPr>
        <w:t xml:space="preserve">TPC标准更新</w:t>
      </w:r>
      <w:r>
        <w:t xml:space="preserve"> (2022)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平均发表年份</w:t>
      </w:r>
      <w:r>
        <w:rPr>
          <w:rFonts w:hint="eastAsia"/>
        </w:rPr>
        <w:t xml:space="preserve">：2005年，体现了经典理论与现代技术的结合</w:t>
      </w:r>
    </w:p>
    <w:bookmarkEnd w:id="29"/>
    <w:bookmarkStart w:id="30" w:name="相关性评估"/>
    <w:p>
      <w:pPr>
        <w:pStyle w:val="Heading3"/>
      </w:pPr>
      <w:r>
        <w:rPr>
          <w:rFonts w:hint="eastAsia"/>
        </w:rPr>
        <w:t xml:space="preserve">相关性评估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直接相关</w:t>
      </w:r>
      <w:r>
        <w:rPr>
          <w:rFonts w:hint="eastAsia"/>
        </w:rPr>
        <w:t xml:space="preserve">：38篇</w:t>
      </w:r>
      <w:r>
        <w:t xml:space="preserve"> </w:t>
      </w:r>
      <w:r>
        <w:rPr>
          <w:rFonts w:hint="eastAsia"/>
        </w:rPr>
        <w:t xml:space="preserve">(86.4%)，直接支撑论文核心技术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间接相关</w:t>
      </w:r>
      <w:r>
        <w:rPr>
          <w:rFonts w:hint="eastAsia"/>
        </w:rPr>
        <w:t xml:space="preserve">：6篇</w:t>
      </w:r>
      <w:r>
        <w:t xml:space="preserve"> </w:t>
      </w:r>
      <w:r>
        <w:rPr>
          <w:rFonts w:hint="eastAsia"/>
        </w:rPr>
        <w:t xml:space="preserve">(13.6%)，提供理论基础和背景知识</w:t>
      </w:r>
    </w:p>
    <w:bookmarkEnd w:id="30"/>
    <w:bookmarkEnd w:id="31"/>
    <w:bookmarkStart w:id="35" w:name="引用规范性检查"/>
    <w:p>
      <w:pPr>
        <w:pStyle w:val="Heading2"/>
      </w:pPr>
      <w:r>
        <w:rPr>
          <w:rFonts w:hint="eastAsia"/>
        </w:rPr>
        <w:t xml:space="preserve">引用规范性检查</w:t>
      </w:r>
    </w:p>
    <w:bookmarkStart w:id="32" w:name="格式规范"/>
    <w:p>
      <w:pPr>
        <w:pStyle w:val="Heading3"/>
      </w:pPr>
      <w:r>
        <w:rPr>
          <w:rFonts w:hint="eastAsia"/>
        </w:rPr>
        <w:t xml:space="preserve">格式规范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统一采用GB/T</w:t>
      </w:r>
      <w:r>
        <w:t xml:space="preserve"> </w:t>
      </w:r>
      <w:r>
        <w:rPr>
          <w:rFonts w:hint="eastAsia"/>
        </w:rPr>
        <w:t xml:space="preserve">7714-2015标准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作者姓名格式统一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期刊/会议名称完整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页码信息完整</w:t>
      </w:r>
    </w:p>
    <w:bookmarkEnd w:id="32"/>
    <w:bookmarkStart w:id="33" w:name="引用完整性"/>
    <w:p>
      <w:pPr>
        <w:pStyle w:val="Heading3"/>
      </w:pPr>
      <w:r>
        <w:rPr>
          <w:rFonts w:hint="eastAsia"/>
        </w:rPr>
        <w:t xml:space="preserve">引用完整性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所有引用文献均可查证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DOI信息可获取（现代文献）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出版信息准确完整</w:t>
      </w:r>
    </w:p>
    <w:bookmarkEnd w:id="33"/>
    <w:bookmarkStart w:id="34" w:name="学术诚信"/>
    <w:p>
      <w:pPr>
        <w:pStyle w:val="Heading3"/>
      </w:pPr>
      <w:r>
        <w:rPr>
          <w:rFonts w:hint="eastAsia"/>
        </w:rPr>
        <w:t xml:space="preserve">学术诚信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无重复引用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无虚假引用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引用与内容匹配度高</w:t>
      </w:r>
    </w:p>
    <w:bookmarkEnd w:id="34"/>
    <w:bookmarkEnd w:id="35"/>
    <w:bookmarkStart w:id="38" w:name="新版章节参考文献更新说明"/>
    <w:p>
      <w:pPr>
        <w:pStyle w:val="Heading2"/>
      </w:pPr>
      <w:r>
        <w:rPr>
          <w:rFonts w:hint="eastAsia"/>
        </w:rPr>
        <w:t xml:space="preserve">新版章节参考文献更新说明</w:t>
      </w:r>
    </w:p>
    <w:bookmarkStart w:id="36" w:name="主要更新内容"/>
    <w:p>
      <w:pPr>
        <w:pStyle w:val="Heading3"/>
      </w:pPr>
      <w:r>
        <w:rPr>
          <w:rFonts w:hint="eastAsia"/>
        </w:rPr>
        <w:t xml:space="preserve">主要更新内容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新增第三章专用文献</w:t>
      </w:r>
      <w:r>
        <w:rPr>
          <w:rFonts w:hint="eastAsia"/>
        </w:rPr>
        <w:t xml:space="preserve">：增加了多核算法、向量化执行、查询编译等现代数据库技术相关文献[34]-[38]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新增第四章专用文献</w:t>
      </w:r>
      <w:r>
        <w:rPr>
          <w:rFonts w:hint="eastAsia"/>
        </w:rPr>
        <w:t xml:space="preserve">：增加了分布式系统、机器学习、持久化技术相关文献[39]-[42]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保持文献连续性</w:t>
      </w:r>
      <w:r>
        <w:rPr>
          <w:rFonts w:hint="eastAsia"/>
        </w:rPr>
        <w:t xml:space="preserve">：确保所有章节的参考文献编号连续，避免重复和遗漏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增强技术覆盖</w:t>
      </w:r>
      <w:r>
        <w:rPr>
          <w:rFonts w:hint="eastAsia"/>
        </w:rPr>
        <w:t xml:space="preserve">：新增文献更好地支撑了动态缓存管理和持久化技术的理论基础</w:t>
      </w:r>
    </w:p>
    <w:bookmarkEnd w:id="36"/>
    <w:bookmarkStart w:id="37" w:name="文献质量提升"/>
    <w:p>
      <w:pPr>
        <w:pStyle w:val="Heading3"/>
      </w:pPr>
      <w:r>
        <w:rPr>
          <w:rFonts w:hint="eastAsia"/>
        </w:rPr>
        <w:t xml:space="preserve">文献质量提升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权威性</w:t>
      </w:r>
      <w:r>
        <w:rPr>
          <w:rFonts w:hint="eastAsia"/>
        </w:rPr>
        <w:t xml:space="preserve">：新增文献均来自顶级会议和期刊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时效性</w:t>
      </w:r>
      <w:r>
        <w:rPr>
          <w:rFonts w:hint="eastAsia"/>
        </w:rPr>
        <w:t xml:space="preserve">：包含了2010年后的前沿研究成果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相关性</w:t>
      </w:r>
      <w:r>
        <w:rPr>
          <w:rFonts w:hint="eastAsia"/>
        </w:rPr>
        <w:t xml:space="preserve">：与论文技术内容高度相关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完整性</w:t>
      </w:r>
      <w:r>
        <w:rPr>
          <w:rFonts w:hint="eastAsia"/>
        </w:rPr>
        <w:t xml:space="preserve">：形成了完整的理论支撑体系</w:t>
      </w:r>
    </w:p>
    <w:p>
      <w:pPr>
        <w:pStyle w:val="FirstParagraph"/>
      </w:pPr>
      <w:r>
        <w:rPr>
          <w:rFonts w:hint="eastAsia"/>
        </w:rPr>
        <w:t xml:space="preserve">通过本次更新，参考文献列表更好地支撑了新版章节的技术内容，为读者提供了更全面的理论背景和技术参考。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2025-09-16T14:11:01Z</dcterms:created>
  <dcterms:modified xsi:type="dcterms:W3CDTF">2025-09-16T14:11:01Z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