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Graefe G. Query evaluation techniques for large databases[J]. ACM Computing Surveys, 1993, 25(2): 73-169.</w:t>
      </w:r>
    </w:p>
    <w:p>
      <w:pPr>
        <w:pStyle w:val="BodyText"/>
      </w:pPr>
      <w:r>
        <w:t xml:space="preserve">[4] Ioannidis Y E. Query optimization[J]. ACM Computing Surveys, 1996, 28(1): 121-123.</w:t>
      </w:r>
    </w:p>
    <w:p>
      <w:pPr>
        <w:pStyle w:val="BodyText"/>
      </w:pPr>
      <w:r>
        <w:t xml:space="preserve">[5] Megiddo N, Modha D S. ARC: A self-tuning, low overhead replacement cache[C]//FAST. 2003, 3: 115-130.</w:t>
      </w:r>
    </w:p>
    <w:p>
      <w:pPr>
        <w:pStyle w:val="BodyText"/>
      </w:pPr>
      <w:r>
        <w:t xml:space="preserve">[6] Bloom B H. Space/time trade-offs in hash coding with allowable errors[J]. Communications of the ACM, 1970, 13(7): 422-426.</w:t>
      </w:r>
    </w:p>
    <w:p>
      <w:pPr>
        <w:pStyle w:val="BodyText"/>
      </w:pPr>
      <w:r>
        <w:t xml:space="preserve">[7]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[8] Larson P Å, Clinciu M A, Hanson E N, et al. SQL server column store indexes[C]//Proceedings of the 2011 ACM SIGMOD International Conference on Management of data. 2011: 1177-1184.</w:t>
      </w:r>
    </w:p>
    <w:p>
      <w:pPr>
        <w:pStyle w:val="BodyText"/>
      </w:pPr>
      <w:r>
        <w:t xml:space="preserve">[9] Gupta A, Mumick I S. Materialized views: techniques, implementations, and applications[M]. MIT press, 1999.</w:t>
      </w:r>
    </w:p>
    <w:p>
      <w:pPr>
        <w:pStyle w:val="BodyText"/>
      </w:pPr>
      <w:r>
        <w:t xml:space="preserve">[10]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[11] Fitzpatrick B. Distributed caching with memcached[J]. Linux journal, 2004, 2004(124): 5.</w:t>
      </w:r>
    </w:p>
    <w:p>
      <w:pPr>
        <w:pStyle w:val="BodyText"/>
      </w:pPr>
      <w:r>
        <w:t xml:space="preserve">[12]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[13]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[14]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[15]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[16]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[17]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[18]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[20] Stillger M, Lohman G M, Markl V, et al. LEO-DB2’s LEarning Optimizer[C]//VLDB. 2001, 1: 19-28.</w:t>
      </w:r>
    </w:p>
    <w:p>
      <w:pPr>
        <w:pStyle w:val="BodyText"/>
      </w:pPr>
      <w:r>
        <w:t xml:space="preserve">[21]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[22]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[23] Bansal S, Modha D S. CAR: Clock with adaptive replacement[C]//FAST. 2004, 4: 187-200.</w:t>
      </w:r>
    </w:p>
    <w:p>
      <w:pPr>
        <w:pStyle w:val="BodyText"/>
      </w:pPr>
      <w: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[25] Melton J, Simon A R. SQL: 1999: understanding relational language components[M]. Morgan Kaufmann, 2001.</w:t>
      </w:r>
    </w:p>
    <w:p>
      <w:pPr>
        <w:pStyle w:val="BodyText"/>
      </w:pPr>
      <w: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pStyle w:val="BodyText"/>
      </w:pPr>
      <w:r>
        <w:t xml:space="preserve">[27] Ramakrishnan R, Gehrke J. Database management systems[M]. McGraw-Hill, 2003.</w:t>
      </w:r>
    </w:p>
    <w:p>
      <w:pPr>
        <w:pStyle w:val="BodyText"/>
      </w:pPr>
      <w: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pStyle w:val="BodyText"/>
      </w:pPr>
      <w: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[30] Silberschatz A, Galvin P B, Gagne G. Operating system concepts[M]. John Wiley &amp; Sons, 2018.</w:t>
      </w:r>
    </w:p>
    <w:p>
      <w:pPr>
        <w:pStyle w:val="BodyText"/>
      </w:pPr>
      <w:r>
        <w:t xml:space="preserve">[31] Brewer E A. Towards robust distributed systems[C]//PODC. 2000, 7: 1-7.</w:t>
      </w:r>
    </w:p>
    <w:p>
      <w:pPr>
        <w:pStyle w:val="BodyText"/>
      </w:pPr>
      <w:r>
        <w:t xml:space="preserve">[32]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[33] Little J D C. A proof for the queuing formula: L= λW[J]. Operations research, 1961, 9(3): 383-387.</w:t>
      </w:r>
    </w:p>
    <w:p>
      <w:pPr>
        <w:pStyle w:val="BodyText"/>
      </w:pPr>
      <w:r>
        <w:t xml:space="preserve">[34] Cesa-Bianchi N, Lugosi G. Prediction, learning, and games[M]. Cambridge university press, 2006.</w:t>
      </w:r>
    </w:p>
    <w:p>
      <w:pPr>
        <w:pStyle w:val="BodyText"/>
      </w:pPr>
      <w:r>
        <w:t xml:space="preserve">[35] Sutton R S, Barto A G. Reinforcement learning: An introduction[M]. MIT press, 2018.</w:t>
      </w:r>
    </w:p>
    <w:p>
      <w:pPr>
        <w:pStyle w:val="BodyText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bookmarkEnd w:id="9"/>
    <w:bookmarkStart w:id="14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10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第二章：6个参考文献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第五章：0个参考文献（主要使用实验数据）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第六章：0个参考文献（主要是总结和展望）</w:t>
      </w:r>
    </w:p>
    <w:bookmarkEnd w:id="10"/>
    <w:bookmarkStart w:id="11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会议论文：20篇</w:t>
      </w:r>
      <w:r>
        <w:t xml:space="preserve"> (57.1%)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期刊论文：10篇</w:t>
      </w:r>
      <w:r>
        <w:t xml:space="preserve"> (28.6%)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专著：5篇</w:t>
      </w:r>
      <w:r>
        <w:t xml:space="preserve"> (14.3%)</w:t>
      </w:r>
    </w:p>
    <w:bookmarkEnd w:id="11"/>
    <w:bookmarkStart w:id="12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1980-1999：8篇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2000-2009：10篇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2010-2020：14篇</w:t>
      </w:r>
    </w:p>
    <w:bookmarkEnd w:id="12"/>
    <w:bookmarkStart w:id="13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数据库系统：15篇</w:t>
      </w:r>
      <w:r>
        <w:t xml:space="preserve"> (42.9%)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缓存技术：8篇</w:t>
      </w:r>
      <w:r>
        <w:t xml:space="preserve"> (22.9%)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(17.1%)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分布式系统：4篇</w:t>
      </w:r>
      <w:r>
        <w:t xml:space="preserve"> (11.4%)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其他：2篇</w:t>
      </w:r>
      <w:r>
        <w:t xml:space="preserve"> (5.7%)</w:t>
      </w:r>
    </w:p>
    <w:bookmarkEnd w:id="13"/>
    <w:bookmarkEnd w:id="14"/>
    <w:bookmarkStart w:id="18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15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(8篇),</w:t>
      </w:r>
      <w:r>
        <w:t xml:space="preserve"> VLDB </w:t>
      </w:r>
      <w:r>
        <w:rPr>
          <w:rFonts w:hint="eastAsia"/>
        </w:rPr>
        <w:t xml:space="preserve">(2篇),</w:t>
      </w:r>
      <w:r>
        <w:t xml:space="preserve"> FAST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</w:t>
      </w:r>
      <w:r>
        <w:rPr>
          <w:rFonts w:hint="eastAsia"/>
        </w:rPr>
        <w:t xml:space="preserve">Silberschatz等权威教材</w:t>
      </w:r>
    </w:p>
    <w:bookmarkEnd w:id="15"/>
    <w:bookmarkStart w:id="16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</w:t>
      </w:r>
      <w:r>
        <w:rPr>
          <w:rFonts w:hint="eastAsia"/>
        </w:rPr>
        <w:t xml:space="preserve">(1979)等奠基性工作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：2005年，体现了理论基础与前沿发展的平衡</w:t>
      </w:r>
    </w:p>
    <w:bookmarkEnd w:id="16"/>
    <w:bookmarkStart w:id="17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：28篇</w:t>
      </w:r>
      <w:r>
        <w:t xml:space="preserve"> </w:t>
      </w:r>
      <w:r>
        <w:rPr>
          <w:rFonts w:hint="eastAsia"/>
        </w:rPr>
        <w:t xml:space="preserve">(80%)，直接支撑论文核心技术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：7篇</w:t>
      </w:r>
      <w:r>
        <w:t xml:space="preserve"> </w:t>
      </w:r>
      <w:r>
        <w:rPr>
          <w:rFonts w:hint="eastAsia"/>
        </w:rPr>
        <w:t xml:space="preserve">(20%)，提供理论基础和背景知识</w:t>
      </w:r>
    </w:p>
    <w:bookmarkEnd w:id="17"/>
    <w:bookmarkEnd w:id="18"/>
    <w:bookmarkStart w:id="22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19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19"/>
    <w:bookmarkStart w:id="20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20"/>
    <w:bookmarkStart w:id="21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2025-09-11T17:05:58Z</dcterms:created>
  <dcterms:modified xsi:type="dcterms:W3CDTF">2025-09-11T17:05:58Z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