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91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114.png" ContentType="image/png"/>
  <Override PartName="/word/media/rId120.png" ContentType="image/png"/>
  <Override PartName="/word/media/rId126.png" ContentType="image/png"/>
  <Override PartName="/word/media/rId133.png" ContentType="image/png"/>
  <Override PartName="/word/media/rId139.png" ContentType="image/png"/>
  <Override PartName="/word/media/rId1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7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为了确保实验结果的可靠性和可重复性，本研究构建了标准化的测试环境。硬件配置参考了TPC-H和TPC-DS基准测试的推荐规格[39]。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5.10_布隆过滤器检测结果分布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0.9.0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with</w:t>
      </w:r>
      <w:r>
        <w:rPr>
          <w:rStyle w:val="NormalTok"/>
        </w:rPr>
        <w:t xml:space="preserve"> custom cache extensions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SQLite:</w:t>
      </w:r>
      <w:r>
        <w:rPr>
          <w:rStyle w:val="NormalTok"/>
        </w:rPr>
        <w:t xml:space="preserve"> 3.43.2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PostgreSQL:</w:t>
      </w:r>
      <w:r>
        <w:rPr>
          <w:rStyle w:val="NormalTok"/>
        </w:rPr>
        <w:t xml:space="preserve"> 14.9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TPC-H是业界标准的决策支持系统基准测试，包含8个表和22个查询[39]。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/images/5.11_SQL标准化成功率统计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TPC-DS模拟零售业务场景，包含24个表和99个查询，复杂度更高[40]。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 Factor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</w:t>
            </w:r>
          </w:p>
        </w:tc>
        <w:tc>
          <w:tcPr/>
          <w:p>
            <w:pPr>
              <w:pStyle w:val="Compact"/>
            </w:pPr>
            <w:r>
              <w:t xml:space="preserve">10GB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</w:t>
            </w:r>
          </w:p>
        </w:tc>
        <w:tc>
          <w:tcPr/>
          <w:p>
            <w:pPr>
              <w:pStyle w:val="Compact"/>
            </w:pPr>
            <w:r>
              <w:t xml:space="preserve">100GB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SF=1000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48小时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真实企业数据集</w:t>
      </w:r>
    </w:p>
    <w:p>
      <w:pPr>
        <w:pStyle w:val="BodyText"/>
      </w:pPr>
      <w:r>
        <w:rPr>
          <w:rFonts w:hint="eastAsia"/>
        </w:rPr>
        <w:t xml:space="preserve">为了验证系统在真实场景下的表现，我们收集了三个不同行业的企业数据集：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电商数据集</w:t>
      </w:r>
      <w:r>
        <w:rPr>
          <w:rFonts w:hint="eastAsia"/>
        </w:rPr>
        <w:t xml:space="preserve">：包含用户行为、订单、商品等数据，总量150GB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金融数据集</w:t>
      </w:r>
      <w:r>
        <w:rPr>
          <w:rFonts w:hint="eastAsia"/>
        </w:rPr>
        <w:t xml:space="preserve">：包含交易记录、风控数据等，总量200GB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物联网数据集</w:t>
      </w:r>
      <w:r>
        <w:rPr>
          <w:rFonts w:hint="eastAsia"/>
        </w:rPr>
        <w:t xml:space="preserve">：包含传感器数据、设备状态等，总量300GB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/images/5.12_复杂度评分与执行时间相关性分析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5.13_不同类型CTE的识别准确率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/images/5.14_不同CTE缓存粒度的性能提升效果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/images/5.15_LRU策略命中率分析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5.16_TTL设置的权衡分析蓝线命中率红线数据新鲜度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/images/5.17_混合策略决策因子权重分布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5.18_ML模型训练过程中预测准确率变化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/images/5.19_在线学习与离线学习命中率对比蓝线在线学习红线离线学习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/images/5.1_实验平台硬件架构图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/images/5.20_WAL持久化写入性能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/images/5.21_不同查询类型的物化视图创建时间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/images/5.22_不同持久化策略的选择分布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13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0" w:name="基于lru的测试与性能评估"/>
    <w:p>
      <w:pPr>
        <w:pStyle w:val="Heading3"/>
      </w:pPr>
      <w:r>
        <w:t xml:space="preserve">5.6.1 </w:t>
      </w:r>
      <w:r>
        <w:rPr>
          <w:rFonts w:hint="eastAsia"/>
        </w:rPr>
        <w:t xml:space="preserve">基于LRU的测试与性能评估</w:t>
      </w:r>
    </w:p>
    <w:bookmarkStart w:id="88" w:name="lru策略基准测试"/>
    <w:p>
      <w:pPr>
        <w:pStyle w:val="Heading4"/>
      </w:pPr>
      <w:r>
        <w:t xml:space="preserve">5.6.1.1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5.23_TPC-H查询性能对比蓝本系统红缓存系统绿PostgreSQ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88"/>
    <w:bookmarkStart w:id="89" w:name="加权lru优化效果"/>
    <w:p>
      <w:pPr>
        <w:pStyle w:val="Heading4"/>
      </w:pPr>
      <w:r>
        <w:t xml:space="preserve">5.6.1.2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89"/>
    <w:bookmarkEnd w:id="90"/>
    <w:bookmarkStart w:id="96" w:name="基于ttl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基于TTL的测试与性能评估</w:t>
      </w:r>
    </w:p>
    <w:bookmarkStart w:id="94" w:name="ttl策略参数优化"/>
    <w:p>
      <w:pPr>
        <w:pStyle w:val="Heading4"/>
      </w:pPr>
      <w:r>
        <w:t xml:space="preserve">5.6.2.1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2" name="Picture"/>
            <a:graphic>
              <a:graphicData uri="http://schemas.openxmlformats.org/drawingml/2006/picture">
                <pic:pic>
                  <pic:nvPicPr>
                    <pic:cNvPr descr="/Users/max/src/duckdb/md/images/5.24_数据量扩展性测试蓝线无缓存红线有缓存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94"/>
    <w:bookmarkStart w:id="95" w:name="自适应ttl效果"/>
    <w:p>
      <w:pPr>
        <w:pStyle w:val="Heading4"/>
      </w:pPr>
      <w:r>
        <w:t xml:space="preserve">5.6.2.2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95"/>
    <w:bookmarkEnd w:id="96"/>
    <w:bookmarkStart w:id="102" w:name="混合策略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混合策略的测试与性能评估</w:t>
      </w:r>
    </w:p>
    <w:bookmarkStart w:id="100" w:name="多策略融合效果"/>
    <w:p>
      <w:pPr>
        <w:pStyle w:val="Heading4"/>
      </w:pPr>
      <w:r>
        <w:t xml:space="preserve">5.6.3.1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/images/5.25_硬件成本分布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00"/>
    <w:bookmarkStart w:id="101" w:name="策略切换效果"/>
    <w:p>
      <w:pPr>
        <w:pStyle w:val="Heading4"/>
      </w:pPr>
      <w:r>
        <w:t xml:space="preserve">5.6.3.2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01"/>
    <w:bookmarkEnd w:id="102"/>
    <w:bookmarkStart w:id="112" w:name="基于机器学习策略的动态缓存管理技术"/>
    <w:p>
      <w:pPr>
        <w:pStyle w:val="Heading3"/>
      </w:pPr>
      <w:r>
        <w:t xml:space="preserve">5.6.4 </w:t>
      </w:r>
      <w:r>
        <w:rPr>
          <w:rFonts w:hint="eastAsia"/>
        </w:rPr>
        <w:t xml:space="preserve">基于机器学习策略的动态缓存管理技术</w:t>
      </w:r>
    </w:p>
    <w:bookmarkStart w:id="106" w:name="机器学习模型训练效果"/>
    <w:p>
      <w:pPr>
        <w:pStyle w:val="Heading4"/>
      </w:pPr>
      <w:r>
        <w:t xml:space="preserve">5.6.4.1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04" name="Picture"/>
            <a:graphic>
              <a:graphicData uri="http://schemas.openxmlformats.org/drawingml/2006/picture">
                <pic:pic>
                  <pic:nvPicPr>
                    <pic:cNvPr descr="/Users/max/src/duckdb/md/images/5.2_TPC-H数据集生成流程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06"/>
    <w:bookmarkStart w:id="107" w:name="特征重要性分析"/>
    <w:p>
      <w:pPr>
        <w:pStyle w:val="Heading4"/>
      </w:pPr>
      <w:r>
        <w:t xml:space="preserve">5.6.4.2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07"/>
    <w:bookmarkStart w:id="111" w:name="在线学习效果"/>
    <w:p>
      <w:pPr>
        <w:pStyle w:val="Heading4"/>
      </w:pPr>
      <w:r>
        <w:t xml:space="preserve">5.6.4.3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9" name="Picture"/>
            <a:graphic>
              <a:graphicData uri="http://schemas.openxmlformats.org/drawingml/2006/picture">
                <pic:pic>
                  <pic:nvPicPr>
                    <pic:cNvPr descr="/Users/max/src/duckdb/md/images/5.3_不同复杂度查询的响应时间对比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11"/>
    <w:bookmarkEnd w:id="112"/>
    <w:bookmarkEnd w:id="113"/>
    <w:bookmarkStart w:id="132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19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17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5" name="Picture"/>
            <a:graphic>
              <a:graphicData uri="http://schemas.openxmlformats.org/drawingml/2006/picture">
                <pic:pic>
                  <pic:nvPicPr>
                    <pic:cNvPr descr="/Users/max/src/duckdb/md/images/5.4_并发性能对比蓝线缓存系统红线基线系统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17"/>
    <w:bookmarkStart w:id="118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18"/>
    <w:bookmarkEnd w:id="119"/>
    <w:bookmarkStart w:id="125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23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121" name="Picture"/>
            <a:graphic>
              <a:graphicData uri="http://schemas.openxmlformats.org/drawingml/2006/picture">
                <pic:pic>
                  <pic:nvPicPr>
                    <pic:cNvPr descr="/Users/max/src/duckdb/md/images/5.5_系统资源消耗分布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23"/>
    <w:bookmarkStart w:id="124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24"/>
    <w:bookmarkEnd w:id="125"/>
    <w:bookmarkStart w:id="131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29" w:name="策略选择准确性"/>
    <w:p>
      <w:pPr>
        <w:pStyle w:val="Heading4"/>
      </w:pPr>
      <w:r>
        <w:t xml:space="preserve">5.7.3.1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7" name="Picture"/>
            <a:graphic>
              <a:graphicData uri="http://schemas.openxmlformats.org/drawingml/2006/picture">
                <pic:pic>
                  <pic:nvPicPr>
                    <pic:cNvPr descr="/Users/max/src/duckdb/md/images/5.6_24小时内存使用变化曲线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29"/>
    <w:bookmarkStart w:id="130" w:name="性能综合对比"/>
    <w:p>
      <w:pPr>
        <w:pStyle w:val="Heading4"/>
      </w:pPr>
      <w:r>
        <w:t xml:space="preserve">5.7.3.2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30"/>
    <w:bookmarkEnd w:id="131"/>
    <w:bookmarkEnd w:id="132"/>
    <w:bookmarkStart w:id="15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38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36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/images/5.7_缓存命中率随运行时间变化小时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36"/>
    <w:bookmarkStart w:id="137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37"/>
    <w:bookmarkEnd w:id="138"/>
    <w:bookmarkStart w:id="144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42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0" name="Picture"/>
            <a:graphic>
              <a:graphicData uri="http://schemas.openxmlformats.org/drawingml/2006/picture">
                <pic:pic>
                  <pic:nvPicPr>
                    <pic:cNvPr descr="/Users/max/src/duckdb/md/images/5.8_不同假阳性率下的内存使用情况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42"/>
    <w:bookmarkStart w:id="143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43"/>
    <w:bookmarkEnd w:id="144"/>
    <w:bookmarkStart w:id="150" w:name="成本效益分析"/>
    <w:p>
      <w:pPr>
        <w:pStyle w:val="Heading3"/>
      </w:pPr>
      <w:r>
        <w:t xml:space="preserve">5.8.3 </w:t>
      </w:r>
      <w:r>
        <w:rPr>
          <w:rFonts w:hint="eastAsia"/>
        </w:rPr>
        <w:t xml:space="preserve">成本效益分析</w:t>
      </w:r>
    </w:p>
    <w:bookmarkStart w:id="148" w:name="硬件成本分析"/>
    <w:p>
      <w:pPr>
        <w:pStyle w:val="Heading4"/>
      </w:pPr>
      <w:r>
        <w:t xml:space="preserve">5.8.3.1 </w:t>
      </w:r>
      <w:r>
        <w:rPr>
          <w:rFonts w:hint="eastAsia"/>
        </w:rPr>
        <w:t xml:space="preserve">硬件成本分析</w:t>
      </w:r>
    </w:p>
    <w:p>
      <w:pPr>
        <w:pStyle w:val="FirstParagraph"/>
      </w:pPr>
      <w:r>
        <w:rPr>
          <w:rFonts w:hint="eastAsia"/>
        </w:rPr>
        <w:t xml:space="preserve">缓存系统对硬件资源的需求分析：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6" name="Picture"/>
            <a:graphic>
              <a:graphicData uri="http://schemas.openxmlformats.org/drawingml/2006/picture">
                <pic:pic>
                  <pic:nvPicPr>
                    <pic:cNvPr descr="/Users/max/src/duckdb/md/images/5.9_自适应调优带来的性能改善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硬件成本分布</w:t>
      </w:r>
    </w:p>
    <w:bookmarkEnd w:id="148"/>
    <w:bookmarkStart w:id="149" w:name="运维成本对比"/>
    <w:p>
      <w:pPr>
        <w:pStyle w:val="Heading4"/>
      </w:pPr>
      <w:r>
        <w:t xml:space="preserve">5.8.3.2 </w:t>
      </w:r>
      <w:r>
        <w:rPr>
          <w:rFonts w:hint="eastAsia"/>
        </w:rPr>
        <w:t xml:space="preserve">运维成本对比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硬件成本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$65,000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电力成本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$8,000/年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$6,500/年</w:t>
            </w:r>
          </w:p>
        </w:tc>
        <w:tc>
          <w:tcPr/>
          <w:p>
            <w:pPr>
              <w:pStyle w:val="Compact"/>
            </w:pPr>
            <w:r>
              <w:t xml:space="preserve">18.8%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$25,000/年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$20,000/年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总体TCO</w:t>
            </w:r>
          </w:p>
        </w:tc>
        <w:tc>
          <w:tcPr/>
          <w:p>
            <w:pPr>
              <w:pStyle w:val="Compact"/>
            </w:pPr>
            <w:r>
              <w:t xml:space="preserve">$108,000</w:t>
            </w:r>
          </w:p>
        </w:tc>
        <w:tc>
          <w:tcPr/>
          <w:p>
            <w:pPr>
              <w:pStyle w:val="Compact"/>
            </w:pPr>
            <w:r>
              <w:t xml:space="preserve">$111,500</w:t>
            </w:r>
          </w:p>
        </w:tc>
        <w:tc>
          <w:tcPr/>
          <w:p>
            <w:pPr>
              <w:pStyle w:val="Compact"/>
            </w:pPr>
            <w:r>
              <w:t xml:space="preserve">-3.2%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注：负值表示成本增加，正值表示成本节省</w:t>
      </w:r>
    </w:p>
    <w:bookmarkEnd w:id="149"/>
    <w:bookmarkEnd w:id="150"/>
    <w:bookmarkEnd w:id="151"/>
    <w:bookmarkStart w:id="15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5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52"/>
    <w:bookmarkStart w:id="15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53"/>
    <w:bookmarkStart w:id="15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54"/>
    <w:bookmarkStart w:id="15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5" Target="media/rId1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2025-09-11T18:06:13Z</dcterms:created>
  <dcterms:modified xsi:type="dcterms:W3CDTF">2025-09-11T18:06:13Z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