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Query </w:t>
      </w:r>
      <w:r>
        <w:rPr>
          <w:rFonts w:ascii="Times New Roman" w:hAnsi="Times New Roman" w:cs="Times New Roman" w:eastAsia="Times New Roman"/>
          <w:sz w:val="24"/>
          <w:szCs w:val="24"/>
        </w:rPr>
        <w:t>Cache、PostgreSQL等系统都提供了结果集缓存功能[5]。该方案能够完全避免查询执行开销，响应速度最快，但缓存失效策略复杂，内存消耗大，且难以处理参数化查询。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r>
        <w:rPr>
          <w:rFonts w:ascii="Times New Roman" w:hAnsi="Times New Roman" w:cs="Times New Roman" w:eastAsia="Times New Roman"/>
          <w:sz w:val="24"/>
          <w:szCs w:val="24"/>
        </w:rPr>
        <w:t>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r>
        <w:rPr>
          <w:rFonts w:ascii="Times New Roman" w:hAnsi="Times New Roman" w:cs="Times New Roman" w:eastAsia="Times New Roman"/>
          <w:sz w:val="24"/>
          <w:szCs w:val="24"/>
        </w:rPr>
        <w:t>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p>
    <w:p>
      <w:pPr/>
      <w:r>
        <w:rPr>
          <w:rFonts w:ascii="Times New Roman" w:hAnsi="Times New Roman" w:cs="Times New Roman" w:eastAsia="Times New Roman"/>
          <w:sz w:val="24"/>
          <w:szCs w:val="24"/>
        </w:rPr>
        <w:t>本章详细介绍了基于布隆过滤器的动态缓存管理系统的设计与实现。该系统通过布隆过滤器技术实现高效的前置过滤，结合SQL语句缓存和CTE（Common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动态缓存管理系统架构流程</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r>
        <w:rPr>
          <w:rFonts w:ascii="Times New Roman" w:hAnsi="Times New Roman" w:cs="Times New Roman" w:eastAsia="Times New Roman"/>
          <w:sz w:val="24"/>
          <w:szCs w:val="24"/>
        </w:rPr>
        <w:t>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r>
        <w:rPr>
          <w:rFonts w:ascii="Times New Roman" w:hAnsi="Times New Roman" w:cs="Times New Roman" w:eastAsia="Times New Roman"/>
          <w:sz w:val="24"/>
          <w:szCs w:val="24"/>
        </w:rPr>
        <w:t>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r>
        <w:rPr>
          <w:rFonts w:ascii="Times New Roman" w:hAnsi="Times New Roman" w:cs="Times New Roman" w:eastAsia="Times New Roman"/>
          <w:sz w:val="24"/>
          <w:szCs w:val="24"/>
        </w:rPr>
        <w:t>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r>
        <w:rPr>
          <w:rFonts w:ascii="Times New Roman" w:hAnsi="Times New Roman" w:cs="Times New Roman" w:eastAsia="Times New Roman"/>
          <w:sz w:val="24"/>
          <w:szCs w:val="24"/>
        </w:rPr>
        <w:t>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r>
        <w:rPr>
          <w:rFonts w:ascii="Times New Roman" w:hAnsi="Times New Roman" w:cs="Times New Roman" w:eastAsia="Times New Roman"/>
          <w:sz w:val="24"/>
          <w:szCs w:val="24"/>
        </w:rPr>
        <w:t>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动态缓存更新策略</w:t>
      </w:r>
    </w:p>
    <w:p>
      <w:pPr/>
      <w:r>
        <w:rPr>
          <w:rFonts w:ascii="Times New Roman" w:hAnsi="Times New Roman" w:cs="Times New Roman" w:eastAsia="Times New Roman"/>
          <w:sz w:val="24"/>
          <w:szCs w:val="24"/>
        </w:rPr>
        <w:t>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t>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动态缓存更新与持久化系统架构</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r>
        <w:rPr>
          <w:rFonts w:ascii="Times New Roman" w:hAnsi="Times New Roman" w:cs="Times New Roman" w:eastAsia="Times New Roman"/>
          <w:sz w:val="24"/>
          <w:szCs w:val="24"/>
        </w:rPr>
        <w:t>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r>
        <w:rPr>
          <w:rFonts w:ascii="Times New Roman" w:hAnsi="Times New Roman" w:cs="Times New Roman" w:eastAsia="Times New Roman"/>
          <w:sz w:val="24"/>
          <w:szCs w:val="24"/>
        </w:rPr>
        <w:t>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r>
        <w:rPr>
          <w:rFonts w:ascii="Times New Roman" w:hAnsi="Times New Roman" w:cs="Times New Roman" w:eastAsia="Times New Roman"/>
          <w:sz w:val="24"/>
          <w:szCs w:val="24"/>
        </w:rPr>
        <w:t>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r>
        <w:rPr>
          <w:rFonts w:ascii="Times New Roman" w:hAnsi="Times New Roman" w:cs="Times New Roman" w:eastAsia="Times New Roman"/>
          <w:sz w:val="24"/>
          <w:szCs w:val="24"/>
        </w:rPr>
        <w:t>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r>
        <w:rPr>
          <w:rFonts w:ascii="Times New Roman" w:hAnsi="Times New Roman" w:cs="Times New Roman" w:eastAsia="Times New Roman"/>
          <w:sz w:val="24"/>
          <w:szCs w:val="24"/>
        </w:rPr>
        <w:t>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r>
        <w:rPr>
          <w:rFonts w:ascii="Times New Roman" w:hAnsi="Times New Roman" w:cs="Times New Roman" w:eastAsia="Times New Roman"/>
          <w:sz w:val="24"/>
          <w:szCs w:val="24"/>
        </w:rPr>
        <w:t>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为了确保实验结果的可靠性和可重复性，本研究构建了标准化的测试环境。硬件配置参考了TPC-H和TPC-DS基准测试的推荐规格[39]。</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0.9.0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 xml:space="preserve"> custom cache extensions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SQLite:</w:t>
      </w:r>
      <w:r>
        <w:rPr>
          <w:rFonts w:ascii="Times New Roman" w:hAnsi="Times New Roman" w:cs="Times New Roman" w:eastAsia="Times New Roman"/>
          <w:sz w:val="24"/>
          <w:szCs w:val="24"/>
        </w:rPr>
        <w:t xml:space="preserve"> 3.43.2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PostgreSQL:</w:t>
      </w:r>
      <w:r>
        <w:rPr>
          <w:rFonts w:ascii="Times New Roman" w:hAnsi="Times New Roman" w:cs="Times New Roman" w:eastAsia="Times New Roman"/>
          <w:sz w:val="24"/>
          <w:szCs w:val="24"/>
        </w:rPr>
        <w:t xml:space="preserve"> 14.9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TPC-H是业界标准的决策支持系统基准测试，包含8个表和22个查询[39]。</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TPC-DS模拟零售业务场景，包含24个表和99个查询，复杂度更高[40]。</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真实企业数据集</w:t>
      </w:r>
    </w:p>
    <w:p>
      <w:pPr/>
      <w:r>
        <w:rPr>
          <w:rFonts w:ascii="Times New Roman" w:hAnsi="Times New Roman" w:cs="Times New Roman" w:eastAsia="Times New Roman"/>
          <w:sz w:val="24"/>
          <w:szCs w:val="24"/>
        </w:rPr>
        <w:t>为了验证系统在真实场景下的表现，我们收集了三个不同行业的企业数据集：</w:t>
      </w:r>
    </w:p>
    <w:p>
      <w:pPr/>
      <w:r>
        <w:rPr>
          <w:rFonts w:ascii="Times New Roman" w:hAnsi="Times New Roman" w:cs="Times New Roman" w:eastAsia="Times New Roman"/>
          <w:b/>
          <w:sz w:val="24"/>
          <w:szCs w:val="24"/>
        </w:rPr>
        <w:t>电商数据集</w:t>
      </w:r>
      <w:r>
        <w:rPr>
          <w:rFonts w:ascii="Times New Roman" w:hAnsi="Times New Roman" w:cs="Times New Roman" w:eastAsia="Times New Roman"/>
          <w:sz w:val="24"/>
          <w:szCs w:val="24"/>
        </w:rPr>
        <w:t>：包含用户行为、订单、商品等数据，总量150GB</w:t>
      </w:r>
    </w:p>
    <w:p>
      <w:pPr/>
      <w:r>
        <w:rPr>
          <w:rFonts w:ascii="Times New Roman" w:hAnsi="Times New Roman" w:cs="Times New Roman" w:eastAsia="Times New Roman"/>
          <w:b/>
          <w:sz w:val="24"/>
          <w:szCs w:val="24"/>
        </w:rPr>
        <w:t>金融数据集</w:t>
      </w:r>
      <w:r>
        <w:rPr>
          <w:rFonts w:ascii="Times New Roman" w:hAnsi="Times New Roman" w:cs="Times New Roman" w:eastAsia="Times New Roman"/>
          <w:sz w:val="24"/>
          <w:szCs w:val="24"/>
        </w:rPr>
        <w:t>：包含交易记录、风控数据等，总量200GB</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物联网数据集</w:t>
      </w:r>
      <w:r>
        <w:rPr>
          <w:rFonts w:ascii="Times New Roman" w:hAnsi="Times New Roman" w:cs="Times New Roman" w:eastAsia="Times New Roman"/>
          <w:sz w:val="24"/>
          <w:szCs w:val="24"/>
        </w:rPr>
        <w:t>：包含传感器数据、设备状态等，总量300GB</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5.8.3 </w:t>
      </w:r>
      <w:r>
        <w:rPr>
          <w:rFonts w:ascii="Times New Roman" w:hAnsi="Times New Roman" w:cs="Times New Roman" w:eastAsia="Times New Roman"/>
          <w:sz w:val="24"/>
          <w:szCs w:val="24"/>
        </w:rPr>
        <w:t>成本效益分析</w:t>
      </w:r>
    </w:p>
    <w:p>
      <w:pPr/>
      <w:r>
        <w:rPr>
          <w:rFonts w:ascii="Times New Roman" w:hAnsi="Times New Roman" w:cs="Times New Roman" w:eastAsia="Times New Roman"/>
          <w:sz w:val="24"/>
          <w:szCs w:val="24"/>
        </w:rPr>
        <w:t xml:space="preserve">5.8.3.1 </w:t>
      </w:r>
      <w:r>
        <w:rPr>
          <w:rFonts w:ascii="Times New Roman" w:hAnsi="Times New Roman" w:cs="Times New Roman" w:eastAsia="Times New Roman"/>
          <w:sz w:val="24"/>
          <w:szCs w:val="24"/>
        </w:rPr>
        <w:t>硬件成本分析</w:t>
      </w:r>
    </w:p>
    <w:p>
      <w:pPr/>
      <w:r>
        <w:rPr>
          <w:rFonts w:ascii="Times New Roman" w:hAnsi="Times New Roman" w:cs="Times New Roman" w:eastAsia="Times New Roman"/>
          <w:sz w:val="24"/>
          <w:szCs w:val="24"/>
        </w:rPr>
        <w:t>缓存系统对硬件资源的需求分析：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硬件成本分布</w:t>
      </w:r>
    </w:p>
    <w:p>
      <w:pPr/>
      <w:r>
        <w:rPr>
          <w:rFonts w:ascii="Times New Roman" w:hAnsi="Times New Roman" w:cs="Times New Roman" w:eastAsia="Times New Roman"/>
          <w:sz w:val="24"/>
          <w:szCs w:val="24"/>
        </w:rPr>
        <w:t xml:space="preserve">5.8.3.2 </w:t>
      </w:r>
      <w:r>
        <w:rPr>
          <w:rFonts w:ascii="Times New Roman" w:hAnsi="Times New Roman" w:cs="Times New Roman" w:eastAsia="Times New Roman"/>
          <w:sz w:val="24"/>
          <w:szCs w:val="24"/>
        </w:rPr>
        <w:t>运维成本对比</w:t>
      </w:r>
    </w:p>
    <w:p>
      <w:pPr/>
      <w:r>
        <w:rPr>
          <w:rFonts w:ascii="Times New Roman" w:hAnsi="Times New Roman" w:cs="Times New Roman" w:eastAsia="Times New Roman"/>
          <w:b/>
          <w:sz w:val="24"/>
          <w:szCs w:val="24"/>
        </w:rPr>
        <w:t>注：负值表示成本增加，正值表示成本节省</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Scale Factor</w:t>
            </w:r>
          </w:p>
        </w:tc>
        <w:tc>
          <w:tcPr>
            <w:tcW w:type="dxa" w:w="1728"/>
          </w:tcPr>
          <w:p>
            <w:r>
              <w:rPr>
                <w:rFonts w:ascii="Times New Roman" w:hAnsi="Times New Roman" w:cs="Times New Roman" w:eastAsia="Times New Roman"/>
                <w:sz w:val="24"/>
                <w:szCs w:val="24"/>
              </w:rPr>
              <w:t>数据量</w:t>
            </w:r>
          </w:p>
        </w:tc>
        <w:tc>
          <w:tcPr>
            <w:tcW w:type="dxa" w:w="1728"/>
          </w:tcPr>
          <w:p>
            <w:r>
              <w:rPr>
                <w:rFonts w:ascii="Times New Roman" w:hAnsi="Times New Roman" w:cs="Times New Roman" w:eastAsia="Times New Roman"/>
                <w:sz w:val="24"/>
                <w:szCs w:val="24"/>
              </w:rPr>
              <w:t>表数量</w:t>
            </w:r>
          </w:p>
        </w:tc>
        <w:tc>
          <w:tcPr>
            <w:tcW w:type="dxa" w:w="1728"/>
          </w:tcPr>
          <w:p>
            <w:r>
              <w:rPr>
                <w:rFonts w:ascii="Times New Roman" w:hAnsi="Times New Roman" w:cs="Times New Roman" w:eastAsia="Times New Roman"/>
                <w:sz w:val="24"/>
                <w:szCs w:val="24"/>
              </w:rPr>
              <w:t>查询数量</w:t>
            </w:r>
          </w:p>
        </w:tc>
        <w:tc>
          <w:tcPr>
            <w:tcW w:type="dxa" w:w="1728"/>
          </w:tcPr>
          <w:p>
            <w:r>
              <w:rPr>
                <w:rFonts w:ascii="Times New Roman" w:hAnsi="Times New Roman" w:cs="Times New Roman" w:eastAsia="Times New Roman"/>
                <w:sz w:val="24"/>
                <w:szCs w:val="24"/>
              </w:rPr>
              <w:t>生成时间</w:t>
            </w:r>
          </w:p>
        </w:tc>
      </w:tr>
      <w:tr>
        <w:tc>
          <w:tcPr>
            <w:tcW w:type="dxa" w:w="1728"/>
          </w:tcPr>
          <w:p>
            <w:r>
              <w:rPr>
                <w:rFonts w:ascii="Times New Roman" w:hAnsi="Times New Roman" w:cs="Times New Roman" w:eastAsia="Times New Roman"/>
                <w:sz w:val="24"/>
                <w:szCs w:val="24"/>
              </w:rPr>
              <w:t>SF=10</w:t>
            </w:r>
          </w:p>
        </w:tc>
        <w:tc>
          <w:tcPr>
            <w:tcW w:type="dxa" w:w="1728"/>
          </w:tcPr>
          <w:p>
            <w:r>
              <w:rPr>
                <w:rFonts w:ascii="Times New Roman" w:hAnsi="Times New Roman" w:cs="Times New Roman" w:eastAsia="Times New Roman"/>
                <w:sz w:val="24"/>
                <w:szCs w:val="24"/>
              </w:rPr>
              <w:t>10GB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45分钟</w:t>
            </w:r>
          </w:p>
        </w:tc>
      </w:tr>
      <w:tr>
        <w:tc>
          <w:tcPr>
            <w:tcW w:type="dxa" w:w="1728"/>
          </w:tcPr>
          <w:p>
            <w:r>
              <w:rPr>
                <w:rFonts w:ascii="Times New Roman" w:hAnsi="Times New Roman" w:cs="Times New Roman" w:eastAsia="Times New Roman"/>
                <w:sz w:val="24"/>
                <w:szCs w:val="24"/>
              </w:rPr>
              <w:t>SF=100</w:t>
            </w:r>
          </w:p>
        </w:tc>
        <w:tc>
          <w:tcPr>
            <w:tcW w:type="dxa" w:w="1728"/>
          </w:tcPr>
          <w:p>
            <w:r>
              <w:rPr>
                <w:rFonts w:ascii="Times New Roman" w:hAnsi="Times New Roman" w:cs="Times New Roman" w:eastAsia="Times New Roman"/>
                <w:sz w:val="24"/>
                <w:szCs w:val="24"/>
              </w:rPr>
              <w:t>100GB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6小时</w:t>
            </w:r>
          </w:p>
        </w:tc>
      </w:tr>
      <w:tr>
        <w:tc>
          <w:tcPr>
            <w:tcW w:type="dxa" w:w="1728"/>
          </w:tcPr>
          <w:p>
            <w:r>
              <w:rPr>
                <w:rFonts w:ascii="Times New Roman" w:hAnsi="Times New Roman" w:cs="Times New Roman" w:eastAsia="Times New Roman"/>
                <w:sz w:val="24"/>
                <w:szCs w:val="24"/>
              </w:rPr>
              <w:t>SF=1000</w:t>
            </w:r>
          </w:p>
        </w:tc>
        <w:tc>
          <w:tcPr>
            <w:tcW w:type="dxa" w:w="1728"/>
          </w:tcPr>
          <w:p>
            <w:r>
              <w:rPr>
                <w:rFonts w:ascii="Times New Roman" w:hAnsi="Times New Roman" w:cs="Times New Roman" w:eastAsia="Times New Roman"/>
                <w:sz w:val="24"/>
                <w:szCs w:val="24"/>
              </w:rPr>
              <w:t>1TB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48小时</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成本类型</w:t>
            </w:r>
          </w:p>
        </w:tc>
        <w:tc>
          <w:tcPr>
            <w:tcW w:type="dxa" w:w="2160"/>
          </w:tcPr>
          <w:p>
            <w:r>
              <w:rPr>
                <w:rFonts w:ascii="Times New Roman" w:hAnsi="Times New Roman" w:cs="Times New Roman" w:eastAsia="Times New Roman"/>
                <w:sz w:val="24"/>
                <w:szCs w:val="24"/>
              </w:rPr>
              <w:t>传统系统</w:t>
            </w:r>
          </w:p>
        </w:tc>
        <w:tc>
          <w:tcPr>
            <w:tcW w:type="dxa" w:w="2160"/>
          </w:tcPr>
          <w:p>
            <w:r>
              <w:rPr>
                <w:rFonts w:ascii="Times New Roman" w:hAnsi="Times New Roman" w:cs="Times New Roman" w:eastAsia="Times New Roman"/>
                <w:sz w:val="24"/>
                <w:szCs w:val="24"/>
              </w:rPr>
              <w:t>缓存系统</w:t>
            </w:r>
          </w:p>
        </w:tc>
        <w:tc>
          <w:tcPr>
            <w:tcW w:type="dxa" w:w="2160"/>
          </w:tcPr>
          <w:p>
            <w:r>
              <w:rPr>
                <w:rFonts w:ascii="Times New Roman" w:hAnsi="Times New Roman" w:cs="Times New Roman" w:eastAsia="Times New Roman"/>
                <w:sz w:val="24"/>
                <w:szCs w:val="24"/>
              </w:rPr>
              <w:t>节省比例</w:t>
            </w:r>
          </w:p>
        </w:tc>
      </w:tr>
      <w:tr>
        <w:tc>
          <w:tcPr>
            <w:tcW w:type="dxa" w:w="2160"/>
          </w:tcPr>
          <w:p>
            <w:r>
              <w:rPr>
                <w:rFonts w:ascii="Times New Roman" w:hAnsi="Times New Roman" w:cs="Times New Roman" w:eastAsia="Times New Roman"/>
                <w:sz w:val="24"/>
                <w:szCs w:val="24"/>
              </w:rPr>
              <w:t>硬件成本</w:t>
            </w:r>
          </w:p>
        </w:tc>
        <w:tc>
          <w:tcPr>
            <w:tcW w:type="dxa" w:w="2160"/>
          </w:tcPr>
          <w:p>
            <w:r>
              <w:rPr>
                <w:rFonts w:ascii="Times New Roman" w:hAnsi="Times New Roman" w:cs="Times New Roman" w:eastAsia="Times New Roman"/>
                <w:sz w:val="24"/>
                <w:szCs w:val="24"/>
              </w:rPr>
              <w:t>$50,000</w:t>
            </w:r>
          </w:p>
        </w:tc>
        <w:tc>
          <w:tcPr>
            <w:tcW w:type="dxa" w:w="2160"/>
          </w:tcPr>
          <w:p>
            <w:r>
              <w:rPr>
                <w:rFonts w:ascii="Times New Roman" w:hAnsi="Times New Roman" w:cs="Times New Roman" w:eastAsia="Times New Roman"/>
                <w:sz w:val="24"/>
                <w:szCs w:val="24"/>
              </w:rPr>
              <w:t>$65,000</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电力成本</w:t>
            </w:r>
          </w:p>
        </w:tc>
        <w:tc>
          <w:tcPr>
            <w:tcW w:type="dxa" w:w="2160"/>
          </w:tcPr>
          <w:p>
            <w:r>
              <w:rPr>
                <w:rFonts w:ascii="Times New Roman" w:hAnsi="Times New Roman" w:cs="Times New Roman" w:eastAsia="Times New Roman"/>
                <w:sz w:val="24"/>
                <w:szCs w:val="24"/>
              </w:rPr>
              <w:t>$8,000/年</w:t>
            </w:r>
          </w:p>
        </w:tc>
        <w:tc>
          <w:tcPr>
            <w:tcW w:type="dxa" w:w="2160"/>
          </w:tcPr>
          <w:p>
            <w:r>
              <w:rPr>
                <w:rFonts w:ascii="Times New Roman" w:hAnsi="Times New Roman" w:cs="Times New Roman" w:eastAsia="Times New Roman"/>
                <w:sz w:val="24"/>
                <w:szCs w:val="24"/>
              </w:rPr>
              <w:t>$6,500/年</w:t>
            </w:r>
          </w:p>
        </w:tc>
        <w:tc>
          <w:tcPr>
            <w:tcW w:type="dxa" w:w="2160"/>
          </w:tcPr>
          <w:p>
            <w:r>
              <w:rPr>
                <w:rFonts w:ascii="Times New Roman" w:hAnsi="Times New Roman" w:cs="Times New Roman" w:eastAsia="Times New Roman"/>
                <w:sz w:val="24"/>
                <w:szCs w:val="24"/>
              </w:rPr>
              <w:t>18.8%</w:t>
            </w:r>
          </w:p>
        </w:tc>
      </w:tr>
      <w:tr>
        <w:tc>
          <w:tcPr>
            <w:tcW w:type="dxa" w:w="2160"/>
          </w:tcPr>
          <w:p>
            <w:r>
              <w:rPr>
                <w:rFonts w:ascii="Times New Roman" w:hAnsi="Times New Roman" w:cs="Times New Roman" w:eastAsia="Times New Roman"/>
                <w:sz w:val="24"/>
                <w:szCs w:val="24"/>
              </w:rPr>
              <w:t>运维成本</w:t>
            </w:r>
          </w:p>
        </w:tc>
        <w:tc>
          <w:tcPr>
            <w:tcW w:type="dxa" w:w="2160"/>
          </w:tcPr>
          <w:p>
            <w:r>
              <w:rPr>
                <w:rFonts w:ascii="Times New Roman" w:hAnsi="Times New Roman" w:cs="Times New Roman" w:eastAsia="Times New Roman"/>
                <w:sz w:val="24"/>
                <w:szCs w:val="24"/>
              </w:rPr>
              <w:t>$25,000/年</w:t>
            </w:r>
          </w:p>
        </w:tc>
        <w:tc>
          <w:tcPr>
            <w:tcW w:type="dxa" w:w="2160"/>
          </w:tcPr>
          <w:p>
            <w:r>
              <w:rPr>
                <w:rFonts w:ascii="Times New Roman" w:hAnsi="Times New Roman" w:cs="Times New Roman" w:eastAsia="Times New Roman"/>
                <w:sz w:val="24"/>
                <w:szCs w:val="24"/>
              </w:rPr>
              <w:t>$20,000/年</w:t>
            </w:r>
          </w:p>
        </w:tc>
        <w:tc>
          <w:tcPr>
            <w:tcW w:type="dxa" w:w="2160"/>
          </w:tcPr>
          <w:p>
            <w:r>
              <w:rPr>
                <w:rFonts w:ascii="Times New Roman" w:hAnsi="Times New Roman" w:cs="Times New Roman" w:eastAsia="Times New Roman"/>
                <w:sz w:val="24"/>
                <w:szCs w:val="24"/>
              </w:rPr>
              <w:t>20%</w:t>
            </w:r>
          </w:p>
        </w:tc>
      </w:tr>
      <w:tr>
        <w:tc>
          <w:tcPr>
            <w:tcW w:type="dxa" w:w="2160"/>
          </w:tcPr>
          <w:p>
            <w:r>
              <w:rPr>
                <w:rFonts w:ascii="Times New Roman" w:hAnsi="Times New Roman" w:cs="Times New Roman" w:eastAsia="Times New Roman"/>
                <w:sz w:val="24"/>
                <w:szCs w:val="24"/>
              </w:rPr>
              <w:t>总体TCO</w:t>
            </w:r>
          </w:p>
        </w:tc>
        <w:tc>
          <w:tcPr>
            <w:tcW w:type="dxa" w:w="2160"/>
          </w:tcPr>
          <w:p>
            <w:r>
              <w:rPr>
                <w:rFonts w:ascii="Times New Roman" w:hAnsi="Times New Roman" w:cs="Times New Roman" w:eastAsia="Times New Roman"/>
                <w:sz w:val="24"/>
                <w:szCs w:val="24"/>
              </w:rPr>
              <w:t>$108,000</w:t>
            </w:r>
          </w:p>
        </w:tc>
        <w:tc>
          <w:tcPr>
            <w:tcW w:type="dxa" w:w="2160"/>
          </w:tcPr>
          <w:p>
            <w:r>
              <w:rPr>
                <w:rFonts w:ascii="Times New Roman" w:hAnsi="Times New Roman" w:cs="Times New Roman" w:eastAsia="Times New Roman"/>
                <w:sz w:val="24"/>
                <w:szCs w:val="24"/>
              </w:rPr>
              <w:t>$111,500</w:t>
            </w:r>
          </w:p>
        </w:tc>
        <w:tc>
          <w:tcPr>
            <w:tcW w:type="dxa" w:w="2160"/>
          </w:tcPr>
          <w:p>
            <w:r>
              <w:rPr>
                <w:rFonts w:ascii="Times New Roman" w:hAnsi="Times New Roman" w:cs="Times New Roman" w:eastAsia="Times New Roman"/>
                <w:sz w:val="24"/>
                <w:szCs w:val="24"/>
              </w:rPr>
              <w:t>-3.2%</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随着大数据时代的到来，现代数据库系统在复杂分析型工作负载下暴露出重复计算多、资源浪费等问题。业界经验显示，在典型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场景中，存在较高比例的结构相似或模式相近的查询，这为查询结果缓存与中间结果复用提供了优化空间。</w:t>
      </w:r>
    </w:p>
    <w:p>
      <w:pPr/>
      <w:r>
        <w:rPr>
          <w:rFonts w:ascii="Times New Roman" w:hAnsi="Times New Roman" w:cs="Times New Roman" w:eastAsia="Times New Roman"/>
          <w:sz w:val="24"/>
          <w:szCs w:val="24"/>
        </w:rPr>
        <w:t>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提出“布隆过滤器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精确匹配”的两层过滤架构，用于高效判定可复用候选：在理论配置层面，依据目标假阳性率</w:t>
      </w:r>
      <w:r>
        <w:rPr>
          <w:rFonts w:ascii="Times New Roman" w:hAnsi="Times New Roman" w:cs="Times New Roman" w:eastAsia="Times New Roman"/>
          <w:sz w:val="24"/>
          <w:szCs w:val="24"/>
        </w:rPr>
        <w:t xml:space="preserve"> p </w:t>
      </w:r>
      <w:r>
        <w:rPr>
          <w:rFonts w:ascii="Times New Roman" w:hAnsi="Times New Roman" w:cs="Times New Roman" w:eastAsia="Times New Roman"/>
          <w:sz w:val="24"/>
          <w:szCs w:val="24"/>
        </w:rPr>
        <w:t>与元素规模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n，采用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估算位数组规模，在准确性与内存消耗之间取得均衡；在工程实现上，通过双重哈希生成</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个哈希值以降低哈希计算成本并保持近似无偏；在效率表现上，于常见分析负载下实现约</w:t>
      </w:r>
      <w:r>
        <w:rPr>
          <w:rFonts w:ascii="Times New Roman" w:hAnsi="Times New Roman" w:cs="Times New Roman" w:eastAsia="Times New Roman"/>
          <w:sz w:val="24"/>
          <w:szCs w:val="24"/>
        </w:rPr>
        <w:t xml:space="preserve"> 0.1–0.5% </w:t>
      </w:r>
      <w:r>
        <w:rPr>
          <w:rFonts w:ascii="Times New Roman" w:hAnsi="Times New Roman" w:cs="Times New Roman" w:eastAsia="Times New Roman"/>
          <w:sz w:val="24"/>
          <w:szCs w:val="24"/>
        </w:rPr>
        <w:t>的低假阳性与低查找开销，相较传统纯哈希过滤展现出更优的过滤吞吐特性。</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围绕查询价值评估，构建了由语法复杂度、执行性能、访问模式与业务属性组成的多维特征体系，并以增量更新的轻量在线学习机制支撑参数自适应与场景迁移；在代表性负载中，该策略相较</w:t>
      </w:r>
      <w:r>
        <w:rPr>
          <w:rFonts w:ascii="Times New Roman" w:hAnsi="Times New Roman" w:cs="Times New Roman" w:eastAsia="Times New Roman"/>
          <w:sz w:val="24"/>
          <w:szCs w:val="24"/>
        </w:rPr>
        <w:t xml:space="preserve"> LRU/TTL </w:t>
      </w:r>
      <w:r>
        <w:rPr>
          <w:rFonts w:ascii="Times New Roman" w:hAnsi="Times New Roman" w:cs="Times New Roman" w:eastAsia="Times New Roman"/>
          <w:sz w:val="24"/>
          <w:szCs w:val="24"/>
        </w:rPr>
        <w:t>获得更高命中率与更稳定收益。</w:t>
      </w:r>
    </w:p>
    <w:p>
      <w:pPr/>
      <w:r>
        <w:rPr>
          <w:rFonts w:ascii="Times New Roman" w:hAnsi="Times New Roman" w:cs="Times New Roman" w:eastAsia="Times New Roman"/>
          <w:sz w:val="24"/>
          <w:szCs w:val="24"/>
        </w:rPr>
        <w:t xml:space="preserve">6.1.2.3 CTE </w:t>
      </w:r>
      <w:r>
        <w:rPr>
          <w:rFonts w:ascii="Times New Roman" w:hAnsi="Times New Roman" w:cs="Times New Roman" w:eastAsia="Times New Roman"/>
          <w:sz w:val="24"/>
          <w:szCs w:val="24"/>
        </w:rPr>
        <w:t>细粒度缓存机制</w:t>
      </w:r>
    </w:p>
    <w:p>
      <w:pPr/>
      <w:r>
        <w:rPr>
          <w:rFonts w:ascii="Times New Roman" w:hAnsi="Times New Roman" w:cs="Times New Roman" w:eastAsia="Times New Roman"/>
          <w:sz w:val="24"/>
          <w:szCs w:val="24"/>
        </w:rPr>
        <w:t>针对包含</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Expression）的复杂分析查询，提出语义级细粒度复用：通过构建</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依赖有向图以支持拓扑排序与循环依赖检测，并以子图同构识别完全或部分匹配以扩大相似结构的复用覆盖，同时对递归</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的迭代结果进行分阶段缓存，从而缩短后续迭代与重用路径的计算时间。</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在持久化层面，依据场景特征在内存、WAL、物化视图与混合策略之间动态选择：WAL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面向写放大与故障恢复提供顺序高吞吐的落盘路径与完整性保障，物化视图复用数据库内建机制并配合压缩以降低存储与读取成本，整体策略以查询画像与系统态为依据在时延、成本与一致性之间进行动态权衡。</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性能指标概览</w:t>
      </w:r>
    </w:p>
    <w:p>
      <w:pPr/>
      <w:r>
        <w:rPr>
          <w:rFonts w:ascii="Times New Roman" w:hAnsi="Times New Roman" w:cs="Times New Roman" w:eastAsia="Times New Roman"/>
          <w:sz w:val="24"/>
          <w:szCs w:val="24"/>
        </w:rPr>
        <w:t>综合评测显示在多项指标上具有改善：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6.1 </w:t>
      </w:r>
      <w:r>
        <w:rPr>
          <w:rFonts w:ascii="Times New Roman" w:hAnsi="Times New Roman" w:cs="Times New Roman" w:eastAsia="Times New Roman"/>
          <w:sz w:val="24"/>
          <w:szCs w:val="24"/>
        </w:rPr>
        <w:t>核心性能指标提升效果</w:t>
      </w:r>
    </w:p>
    <w:p>
      <w:pPr/>
      <w:r>
        <w:rPr>
          <w:rFonts w:ascii="Times New Roman" w:hAnsi="Times New Roman" w:cs="Times New Roman" w:eastAsia="Times New Roman"/>
          <w:sz w:val="24"/>
          <w:szCs w:val="24"/>
        </w:rPr>
        <w:t>在指标层面，查询响应时间在典型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负载下可降低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30–90%，复杂查询改善更为明显；系统吞吐量相较基线提升至数倍量级并增强并发处理能力；缓存命中率在稳定阶段保持较高水平，重复与相似查询场景的收益尤为突出；CPU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与内存使用更为均衡，整体资源利用效率随之提升。</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组件级贡献</w:t>
      </w:r>
    </w:p>
    <w:p>
      <w:pPr/>
      <w:r>
        <w:rPr>
          <w:rFonts w:ascii="Times New Roman" w:hAnsi="Times New Roman" w:cs="Times New Roman" w:eastAsia="Times New Roman"/>
          <w:sz w:val="24"/>
          <w:szCs w:val="24"/>
        </w:rPr>
        <w:t>在组件层面，各技术以不同代价贡献整体收益：概率过滤以极低内存开销带来显著过滤加速，SQL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标准化提高相似查询识别的覆盖度与一致性，CTE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缓存对复杂分析型查询展现更高加速潜力，机器学习策略在负载变化时维持较高利用率与鲁棒性，而持久化机制则在可靠性与恢复能力方面提供必要保障。</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在理论与学术层面，本文系统阐释了概率数据结构在数据库复用中的应用边界与配置方法，提出面向复用价值的学习型评估模型以促进数据库系统与机器学习的深度融合，并将</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的语义与依赖建模用于支撑复杂查询的细粒度复用与优化。</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硬件发展影响</w:t>
      </w:r>
    </w:p>
    <w:p>
      <w:pPr/>
      <w:r>
        <w:rPr>
          <w:rFonts w:ascii="Times New Roman" w:hAnsi="Times New Roman" w:cs="Times New Roman" w:eastAsia="Times New Roman"/>
          <w:sz w:val="24"/>
          <w:szCs w:val="24"/>
        </w:rPr>
        <w:t>持久化内存推动内存与存储边界的进一步融合，催生新型冷热分层与一致性方案；GPU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与其他异构加速要求针对异构内存分层重构缓存组织与迁移策略；新式加速（含量子计算等前沿探索）为策略搜索与优化打开新的可能路径。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6.2 </w:t>
      </w:r>
      <w:r>
        <w:rPr>
          <w:rFonts w:ascii="Times New Roman" w:hAnsi="Times New Roman" w:cs="Times New Roman" w:eastAsia="Times New Roman"/>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w:t>
      </w:r>
    </w:p>
    <w:p>
      <w:pPr/>
      <w:r>
        <w:rPr>
          <w:rFonts w:ascii="Times New Roman" w:hAnsi="Times New Roman" w:cs="Times New Roman" w:eastAsia="Times New Roman"/>
          <w:sz w:val="24"/>
          <w:szCs w:val="24"/>
        </w:rPr>
        <w:t>在软件架构演进方面，云原生推动面向弹性与隔离的多租户缓存池化与</w:t>
      </w:r>
      <w:r>
        <w:rPr>
          <w:rFonts w:ascii="Times New Roman" w:hAnsi="Times New Roman" w:cs="Times New Roman" w:eastAsia="Times New Roman"/>
          <w:sz w:val="24"/>
          <w:szCs w:val="24"/>
        </w:rPr>
        <w:t xml:space="preserve"> QoS </w:t>
      </w:r>
      <w:r>
        <w:rPr>
          <w:rFonts w:ascii="Times New Roman" w:hAnsi="Times New Roman" w:cs="Times New Roman" w:eastAsia="Times New Roman"/>
          <w:sz w:val="24"/>
          <w:szCs w:val="24"/>
        </w:rPr>
        <w:t>管控，边缘计算强调在受限算力与不稳定网络下的轻量化设计与自治更新，而隐私计算则在合规框架内实现跨域协作与策略联动。</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人工智能融合</w:t>
      </w:r>
    </w:p>
    <w:p>
      <w:pPr/>
      <w:r>
        <w:rPr>
          <w:rFonts w:ascii="Times New Roman" w:hAnsi="Times New Roman" w:cs="Times New Roman" w:eastAsia="Times New Roman"/>
          <w:sz w:val="24"/>
          <w:szCs w:val="24"/>
        </w:rPr>
        <w:t>人工智能的融合体现在多方面：以深度模型进行查询模式识别与价值评估的表征学习，以强化学习将缓存管理抽象为序贯决策以优化长期收益，并通过</w:t>
      </w:r>
      <w:r>
        <w:rPr>
          <w:rFonts w:ascii="Times New Roman" w:hAnsi="Times New Roman" w:cs="Times New Roman" w:eastAsia="Times New Roman"/>
          <w:sz w:val="24"/>
          <w:szCs w:val="24"/>
        </w:rPr>
        <w:t xml:space="preserve"> AutoML </w:t>
      </w:r>
      <w:r>
        <w:rPr>
          <w:rFonts w:ascii="Times New Roman" w:hAnsi="Times New Roman" w:cs="Times New Roman" w:eastAsia="Times New Roman"/>
          <w:sz w:val="24"/>
          <w:szCs w:val="24"/>
        </w:rPr>
        <w:t>实现参数自调与策略选择自动化，从而降低运维与迁移成本。</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智能化提升</w:t>
      </w:r>
    </w:p>
    <w:p>
      <w:pPr/>
      <w:r>
        <w:rPr>
          <w:rFonts w:ascii="Times New Roman" w:hAnsi="Times New Roman" w:cs="Times New Roman" w:eastAsia="Times New Roman"/>
          <w:sz w:val="24"/>
          <w:szCs w:val="24"/>
        </w:rPr>
        <w:t>在智能化方面，将历史模式、业务周期与实时信号融合用于自适应查询预测，以支持前置预热与主动填充。</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6.3 </w:t>
      </w:r>
      <w:r>
        <w:rPr>
          <w:rFonts w:ascii="Times New Roman" w:hAnsi="Times New Roman" w:cs="Times New Roman" w:eastAsia="Times New Roman"/>
          <w:sz w:val="24"/>
          <w:szCs w:val="24"/>
        </w:rPr>
        <w:t>智能查询预测架构</w:t>
      </w:r>
    </w:p>
    <w:p>
      <w:pPr/>
      <w:r>
        <w:rPr>
          <w:rFonts w:ascii="Times New Roman" w:hAnsi="Times New Roman" w:cs="Times New Roman" w:eastAsia="Times New Roman"/>
          <w:sz w:val="24"/>
          <w:szCs w:val="24"/>
        </w:rPr>
        <w:t>进一步，计划联合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SQL、执行计划、数据分布与统计信息开展多模态融合，构建统一的价值评估体系；同时引入知识图谱、因果推理与元学习，增强跨场景迁移能力与可解释性。</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sz w:val="24"/>
          <w:szCs w:val="24"/>
        </w:rPr>
        <w:t>在分布式缓存协同上，亟需贯通从</w:t>
      </w:r>
      <w:r>
        <w:rPr>
          <w:rFonts w:ascii="Times New Roman" w:hAnsi="Times New Roman" w:cs="Times New Roman" w:eastAsia="Times New Roman"/>
          <w:sz w:val="24"/>
          <w:szCs w:val="24"/>
        </w:rPr>
        <w:t xml:space="preserve"> L1/L2 </w:t>
      </w:r>
      <w:r>
        <w:rPr>
          <w:rFonts w:ascii="Times New Roman" w:hAnsi="Times New Roman" w:cs="Times New Roman" w:eastAsia="Times New Roman"/>
          <w:sz w:val="24"/>
          <w:szCs w:val="24"/>
        </w:rPr>
        <w:t>到本地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SSD、分布式缓存与云存储的端到端层次联动。</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6.4 </w:t>
      </w:r>
      <w:r>
        <w:rPr>
          <w:rFonts w:ascii="Times New Roman" w:hAnsi="Times New Roman" w:cs="Times New Roman" w:eastAsia="Times New Roman"/>
          <w:sz w:val="24"/>
          <w:szCs w:val="24"/>
        </w:rPr>
        <w:t>多级缓存层次架构</w:t>
      </w:r>
    </w:p>
    <w:p>
      <w:pPr/>
      <w:r>
        <w:rPr>
          <w:rFonts w:ascii="Times New Roman" w:hAnsi="Times New Roman" w:cs="Times New Roman" w:eastAsia="Times New Roman"/>
          <w:sz w:val="24"/>
          <w:szCs w:val="24"/>
        </w:rPr>
        <w:t>在一致性与运维层面，应依据业务需求在最终一致性、强一致性与因果一致性之间进行选择或组合，并以命中率与系统态为输入联动调度与容灾恢复。</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隐私与安全</w:t>
      </w:r>
    </w:p>
    <w:p>
      <w:pPr/>
      <w:r>
        <w:rPr>
          <w:rFonts w:ascii="Times New Roman" w:hAnsi="Times New Roman" w:cs="Times New Roman" w:eastAsia="Times New Roman"/>
          <w:sz w:val="24"/>
          <w:szCs w:val="24"/>
        </w:rPr>
        <w:t>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在应用拓展方面，实时流处理强调滑动窗口缓存、状态快照与毫秒级响应；图数据库聚焦路径、子图与算法中间结果的结构化复用；时序数据库则重视时间分片、降采样与预聚合的多精度存储。</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技术挑战与思路</w:t>
      </w:r>
    </w:p>
    <w:p>
      <w:pPr/>
      <w:r>
        <w:rPr>
          <w:rFonts w:ascii="Times New Roman" w:hAnsi="Times New Roman" w:cs="Times New Roman" w:eastAsia="Times New Roman"/>
          <w:sz w:val="24"/>
          <w:szCs w:val="24"/>
        </w:rPr>
        <w:t>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w:t>
      </w:r>
    </w:p>
    <w:p>
      <w:pPr/>
      <w:r>
        <w:rPr>
          <w:rFonts w:ascii="Times New Roman" w:hAnsi="Times New Roman" w:cs="Times New Roman" w:eastAsia="Times New Roman"/>
          <w:sz w:val="24"/>
          <w:szCs w:val="24"/>
        </w:rPr>
        <w:t>在标准化与生态层面，统一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API、通讯与评测指标有助于提升互操作性，而以核心框架与插件生态为载体的开源协作将进一步推动产学研的协同与成果转化。</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本文围绕分析型数据库的查询复用与动态缓存管理，提出并实现了多层概率过滤、CTE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w:t>
      </w:r>
    </w:p>
    <w:p>
      <w:pPr/>
      <w:r>
        <w:rPr>
          <w:rFonts w:ascii="Times New Roman" w:hAnsi="Times New Roman" w:cs="Times New Roman" w:eastAsia="Times New Roman"/>
          <w:sz w:val="24"/>
          <w:szCs w:val="24"/>
        </w:rPr>
        <w:t>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w:t>
      </w:r>
    </w:p>
    <w:p>
      <w:pPr/>
      <w:r>
        <w:rPr>
          <w:rFonts w:ascii="Times New Roman" w:hAnsi="Times New Roman" w:cs="Times New Roman" w:eastAsia="Times New Roman"/>
          <w:sz w:val="24"/>
          <w:szCs w:val="24"/>
        </w:rPr>
        <w:t>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感谢在研究与实现过程中给予支持的导师、同事与社区伙伴。后续工作将继续在查询复用、策略学习与工程可用性方向深入推进，促进下一代智能数据库系统的持续演进。</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6.5 </w:t>
      </w:r>
      <w:r>
        <w:rPr>
          <w:rFonts w:ascii="Times New Roman" w:hAnsi="Times New Roman" w:cs="Times New Roman" w:eastAsia="Times New Roman"/>
          <w:sz w:val="24"/>
          <w:szCs w:val="24"/>
        </w:rPr>
        <w:t>研究成果的发展路径与价值实现</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总计：51个不重复的参考文献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