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4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Gupta A, Mumick I S. Materialized views: techniques, implementations, and applications[M]. MIT press,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bookmarkEnd w:id="9"/>
    <w:bookmarkStart w:id="10" w:name="第二章参考文献-27-33"/>
    <w:p>
      <w:pPr>
        <w:pStyle w:val="Heading3"/>
      </w:pP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FirstParagraph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10"/>
    <w:bookmarkStart w:id="11" w:name="第三章参考文献-34-38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[34]-[38]</w:t>
      </w:r>
    </w:p>
    <w:p>
      <w:pPr>
        <w:pStyle w:val="FirstParagraph"/>
      </w:pPr>
      <w:r>
        <w:t xml:space="preserve">[34] Chen S, Ailamaki A. A study of sorting algorithms for multicore architectures[C]//Proceedings of the 2008 ACM SIGMOD international conference on Management of data. 2008: 13-24.</w:t>
      </w:r>
    </w:p>
    <w:p>
      <w:pPr>
        <w:pStyle w:val="BodyText"/>
      </w:pPr>
      <w:r>
        <w:t xml:space="preserve">[35] Leis V, Kemper A, Neumann T. The adaptive radix tree: ARTful indexing for main-memory databases[C]//2013 IEEE 29th International Conference on Data Engineering (ICDE). IEEE, 2013: 38-49.</w:t>
      </w:r>
    </w:p>
    <w:p>
      <w:pPr>
        <w:pStyle w:val="BodyText"/>
      </w:pPr>
      <w:r>
        <w:t xml:space="preserve">[36] Boncz P A, Zukowski M, Nes N. MonetDB/X100: Hyper-pipelining query execution[C]//Proceedings of the 2005 CIDR Conference. 2005: 225-237.</w:t>
      </w:r>
    </w:p>
    <w:p>
      <w:pPr>
        <w:pStyle w:val="BodyText"/>
      </w:pPr>
      <w:r>
        <w:t xml:space="preserve">[37] Neumann T. Efficiently compiling efficient query plans for modern hardware[J]. Proceedings of the VLDB Endowment, 2011, 4(9): 539-550.</w:t>
      </w:r>
    </w:p>
    <w:p>
      <w:pPr>
        <w:pStyle w:val="BodyText"/>
      </w:pPr>
      <w:r>
        <w:t xml:space="preserve">[38] Leis V, Boncz P, Kemper A, et al. Morsel-driven parallelism: a NUMA-aware query evaluation framework for the many-core age[C]//Proceedings of the 2014 ACM SIGMOD international conference on Management of data. 2014: 743-754.</w:t>
      </w:r>
    </w:p>
    <w:bookmarkEnd w:id="11"/>
    <w:bookmarkStart w:id="12" w:name="第四章参考文献-39-42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[39]-[42]</w:t>
      </w:r>
    </w:p>
    <w:p>
      <w:pPr>
        <w:pStyle w:val="FirstParagraph"/>
      </w:pPr>
      <w:r>
        <w:t xml:space="preserve">[39] Brewer E A. Towards robust distributed systems[C]//PODC. 2000, 7: 1-7.</w:t>
      </w:r>
    </w:p>
    <w:p>
      <w:pPr>
        <w:pStyle w:val="BodyText"/>
      </w:pPr>
      <w:r>
        <w:t xml:space="preserve">[40]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[41] Little J D C. A proof for the queuing formula: L= λW[J]. Operations research, 1961, 9(3): 383-387.</w:t>
      </w:r>
    </w:p>
    <w:p>
      <w:pPr>
        <w:pStyle w:val="BodyText"/>
      </w:pPr>
      <w:r>
        <w:t xml:space="preserve">[42] Sutton R S, Barto A G. Reinforcement learning: An introduction[M]. MIT press, 2018.</w:t>
      </w:r>
    </w:p>
    <w:bookmarkEnd w:id="12"/>
    <w:bookmarkStart w:id="13" w:name="第五章参考文献-43-44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[43]-[44]</w:t>
      </w:r>
    </w:p>
    <w:p>
      <w:pPr>
        <w:pStyle w:val="FirstParagraph"/>
      </w:pPr>
      <w:r>
        <w:t xml:space="preserve">[43] Transaction Processing Performance Council. TPC-H Benchmark Specification[S]. Version 3.0.1, 2022.</w:t>
      </w:r>
    </w:p>
    <w:p>
      <w:pPr>
        <w:pStyle w:val="BodyText"/>
      </w:pPr>
      <w:r>
        <w:t xml:space="preserve">[44] Poess M, Smith B, Kollar L, et al. TPC-DS, taking decision support benchmarking to the next level[C]//Proceedings of the 2002 ACM SIGMOD international conference on Management of data. 2002: 582-587.</w:t>
      </w:r>
    </w:p>
    <w:bookmarkEnd w:id="13"/>
    <w:bookmarkEnd w:id="14"/>
    <w:bookmarkStart w:id="21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5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[6] → [6] (SAP HANA)</w:t>
      </w:r>
      <w:r>
        <w:t xml:space="preserve"> </w:t>
      </w:r>
      <w:r>
        <w:t xml:space="preserve">- [7] → [7] (Memcached)</w:t>
      </w:r>
      <w:r>
        <w:t xml:space="preserve"> </w:t>
      </w:r>
      <w:r>
        <w:t xml:space="preserve">- [8]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[14] → [14] (LSM-Tree)</w:t>
      </w:r>
      <w:r>
        <w:t xml:space="preserve"> </w:t>
      </w:r>
      <w:r>
        <w:t xml:space="preserve">- [15] → [15] (Dynamo)</w:t>
      </w:r>
      <w:r>
        <w:t xml:space="preserve"> </w:t>
      </w:r>
      <w:r>
        <w:t xml:space="preserve">- [16]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[26] → [26] </w:t>
      </w:r>
      <w:r>
        <w:rPr>
          <w:rFonts w:hint="eastAsia"/>
        </w:rPr>
        <w:t xml:space="preserve">(HyPer系统)</w:t>
      </w:r>
    </w:p>
    <w:bookmarkEnd w:id="15"/>
    <w:bookmarkStart w:id="16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[27]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[28]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[29]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[30] → [30] </w:t>
      </w:r>
      <w:r>
        <w:rPr>
          <w:rFonts w:hint="eastAsia"/>
        </w:rPr>
        <w:t xml:space="preserve">(双重哈希)</w:t>
      </w:r>
      <w:r>
        <w:t xml:space="preserve"> </w:t>
      </w:r>
      <w:r>
        <w:t xml:space="preserve">- [31]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[32] → [32] </w:t>
      </w:r>
      <w:r>
        <w:rPr>
          <w:rFonts w:hint="eastAsia"/>
        </w:rPr>
        <w:t xml:space="preserve">(操作系统概念)</w:t>
      </w:r>
      <w:r>
        <w:t xml:space="preserve"> </w:t>
      </w:r>
      <w:r>
        <w:t xml:space="preserve">- [33] → [33] </w:t>
      </w:r>
      <w:r>
        <w:rPr>
          <w:rFonts w:hint="eastAsia"/>
        </w:rPr>
        <w:t xml:space="preserve">(查询优化综述)</w:t>
      </w:r>
    </w:p>
    <w:bookmarkEnd w:id="16"/>
    <w:bookmarkStart w:id="17" w:name="第三章-动态缓存管理---使用文献34-38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使用文献[34]-[38]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[34] → [34] </w:t>
      </w:r>
      <w:r>
        <w:rPr>
          <w:rFonts w:hint="eastAsia"/>
        </w:rPr>
        <w:t xml:space="preserve">(多核排序算法)</w:t>
      </w:r>
      <w:r>
        <w:t xml:space="preserve"> </w:t>
      </w:r>
      <w:r>
        <w:t xml:space="preserve">- [35] → [35] </w:t>
      </w:r>
      <w:r>
        <w:rPr>
          <w:rFonts w:hint="eastAsia"/>
        </w:rPr>
        <w:t xml:space="preserve">(自适应基数树)</w:t>
      </w:r>
      <w:r>
        <w:t xml:space="preserve"> </w:t>
      </w:r>
      <w:r>
        <w:t xml:space="preserve">- [36] → [36] </w:t>
      </w:r>
      <w:r>
        <w:rPr>
          <w:rFonts w:hint="eastAsia"/>
        </w:rPr>
        <w:t xml:space="preserve">(向量化执行)</w:t>
      </w:r>
      <w:r>
        <w:t xml:space="preserve"> </w:t>
      </w:r>
      <w:r>
        <w:t xml:space="preserve">- [37] → [37] </w:t>
      </w:r>
      <w:r>
        <w:rPr>
          <w:rFonts w:hint="eastAsia"/>
        </w:rPr>
        <w:t xml:space="preserve">(查询编译)</w:t>
      </w:r>
      <w:r>
        <w:t xml:space="preserve"> </w:t>
      </w:r>
      <w:r>
        <w:t xml:space="preserve">- [38] → [38] </w:t>
      </w:r>
      <w:r>
        <w:rPr>
          <w:rFonts w:hint="eastAsia"/>
        </w:rPr>
        <w:t xml:space="preserve">(NUMA感知查询评估)</w:t>
      </w:r>
    </w:p>
    <w:bookmarkEnd w:id="17"/>
    <w:bookmarkStart w:id="18" w:name="第四章-动态缓存更新技术与持久化技术---使用文献39-42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使用文献[39]-[42]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[39] → [39]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[40] → [40]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[14]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[41] → [41] (Little’s Law)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[42] → [42] </w:t>
      </w:r>
      <w:r>
        <w:rPr>
          <w:rFonts w:hint="eastAsia"/>
        </w:rPr>
        <w:t xml:space="preserve">(强化学习)</w:t>
      </w:r>
    </w:p>
    <w:bookmarkEnd w:id="18"/>
    <w:bookmarkStart w:id="19" w:name="第五章-实验与分析---使用文献43-44"/>
    <w:p>
      <w:pPr>
        <w:pStyle w:val="Heading3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使用文献[43]-[44]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[43] → [43]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[44] → [44] </w:t>
      </w:r>
      <w:r>
        <w:rPr>
          <w:rFonts w:hint="eastAsia"/>
        </w:rPr>
        <w:t xml:space="preserve">(TPC-DS基准测试)</w:t>
      </w:r>
    </w:p>
    <w:bookmarkEnd w:id="19"/>
    <w:bookmarkStart w:id="20" w:name="第六章-总结与展望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本章主要为总结和展望内容，引用前面章节已有的参考文献。</w:t>
      </w:r>
    </w:p>
    <w:bookmarkEnd w:id="20"/>
    <w:bookmarkEnd w:id="21"/>
    <w:bookmarkStart w:id="27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2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第二章：8个参考文献</w:t>
      </w:r>
      <w:r>
        <w:t xml:space="preserve"> ([1], [9], [27]-[33])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第三章：5个参考文献</w:t>
      </w:r>
      <w:r>
        <w:t xml:space="preserve"> ([34]-[38])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第四章：6个参考文献</w:t>
      </w:r>
      <w:r>
        <w:t xml:space="preserve"> ([14], [22], [39]-[42])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([43]-[44])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2"/>
    <w:bookmarkStart w:id="23" w:name="总计44个不重复的参考文献"/>
    <w:p>
      <w:pPr>
        <w:pStyle w:val="Heading3"/>
      </w:pPr>
      <w:r>
        <w:rPr>
          <w:rFonts w:hint="eastAsia"/>
        </w:rPr>
        <w:t xml:space="preserve">总计：44个不重复的参考文献</w:t>
      </w:r>
    </w:p>
    <w:bookmarkEnd w:id="23"/>
    <w:bookmarkStart w:id="24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会议论文：30篇</w:t>
      </w:r>
      <w:r>
        <w:t xml:space="preserve"> (68.2%)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期刊论文：9篇</w:t>
      </w:r>
      <w:r>
        <w:t xml:space="preserve"> (20.5%)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专著：4篇</w:t>
      </w:r>
      <w:r>
        <w:t xml:space="preserve"> (9.1%)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技术标准：1篇</w:t>
      </w:r>
      <w:r>
        <w:t xml:space="preserve"> (2.3%)</w:t>
      </w:r>
    </w:p>
    <w:bookmarkEnd w:id="24"/>
    <w:bookmarkStart w:id="25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2000-2009：15篇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2010-2022：20篇</w:t>
      </w:r>
    </w:p>
    <w:bookmarkEnd w:id="25"/>
    <w:bookmarkStart w:id="26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数据库系统：25篇</w:t>
      </w:r>
      <w:r>
        <w:t xml:space="preserve"> (56.8%)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缓存技术：9篇</w:t>
      </w:r>
      <w:r>
        <w:t xml:space="preserve"> (20.5%)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(13.6%)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分布式系统：3篇</w:t>
      </w:r>
      <w:r>
        <w:t xml:space="preserve"> (6.8%)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其他：1篇</w:t>
      </w:r>
      <w:r>
        <w:t xml:space="preserve"> (2.3%)</w:t>
      </w:r>
    </w:p>
    <w:bookmarkEnd w:id="26"/>
    <w:bookmarkEnd w:id="27"/>
    <w:bookmarkStart w:id="31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8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(15篇),</w:t>
      </w:r>
      <w:r>
        <w:t xml:space="preserve"> VLDB </w:t>
      </w:r>
      <w:r>
        <w:rPr>
          <w:rFonts w:hint="eastAsia"/>
        </w:rPr>
        <w:t xml:space="preserve">(3篇),</w:t>
      </w:r>
      <w:r>
        <w:t xml:space="preserve"> FAST </w:t>
      </w:r>
      <w:r>
        <w:rPr>
          <w:rFonts w:hint="eastAsia"/>
        </w:rPr>
        <w:t xml:space="preserve">(2篇),</w:t>
      </w:r>
      <w:r>
        <w:t xml:space="preserve"> IEEE INFOCOM </w:t>
      </w:r>
      <w:r>
        <w:rPr>
          <w:rFonts w:hint="eastAsia"/>
        </w:rPr>
        <w:t xml:space="preserve">(1篇),</w:t>
      </w:r>
      <w:r>
        <w:t xml:space="preserve"> ICDE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(3篇),</w:t>
      </w:r>
      <w:r>
        <w:t xml:space="preserve"> ACM Sigmod Record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8"/>
    <w:bookmarkStart w:id="29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：2005年，体现了经典理论与现代技术的结合</w:t>
      </w:r>
    </w:p>
    <w:bookmarkEnd w:id="29"/>
    <w:bookmarkStart w:id="30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：38篇</w:t>
      </w:r>
      <w:r>
        <w:t xml:space="preserve"> </w:t>
      </w:r>
      <w:r>
        <w:rPr>
          <w:rFonts w:hint="eastAsia"/>
        </w:rPr>
        <w:t xml:space="preserve">(86.4%)，直接支撑论文核心技术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：6篇</w:t>
      </w:r>
      <w:r>
        <w:t xml:space="preserve"> </w:t>
      </w:r>
      <w:r>
        <w:rPr>
          <w:rFonts w:hint="eastAsia"/>
        </w:rPr>
        <w:t xml:space="preserve">(13.6%)，提供理论基础和背景知识</w:t>
      </w:r>
    </w:p>
    <w:bookmarkEnd w:id="30"/>
    <w:bookmarkEnd w:id="31"/>
    <w:bookmarkStart w:id="35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2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2"/>
    <w:bookmarkStart w:id="33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3"/>
    <w:bookmarkStart w:id="34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4"/>
    <w:bookmarkEnd w:id="35"/>
    <w:bookmarkStart w:id="38" w:name="新版章节参考文献更新说明"/>
    <w:p>
      <w:pPr>
        <w:pStyle w:val="Heading2"/>
      </w:pPr>
      <w:r>
        <w:rPr>
          <w:rFonts w:hint="eastAsia"/>
        </w:rPr>
        <w:t xml:space="preserve">新版章节参考文献更新说明</w:t>
      </w:r>
    </w:p>
    <w:bookmarkStart w:id="36" w:name="主要更新内容"/>
    <w:p>
      <w:pPr>
        <w:pStyle w:val="Heading3"/>
      </w:pPr>
      <w:r>
        <w:rPr>
          <w:rFonts w:hint="eastAsia"/>
        </w:rPr>
        <w:t xml:space="preserve">主要更新内容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新增第三章专用文献</w:t>
      </w:r>
      <w:r>
        <w:rPr>
          <w:rFonts w:hint="eastAsia"/>
        </w:rPr>
        <w:t xml:space="preserve">：增加了多核算法、向量化执行、查询编译等现代数据库技术相关文献[34]-[38]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新增第四章专用文献</w:t>
      </w:r>
      <w:r>
        <w:rPr>
          <w:rFonts w:hint="eastAsia"/>
        </w:rPr>
        <w:t xml:space="preserve">：增加了分布式系统、机器学习、持久化技术相关文献[39]-[42]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保持文献连续性</w:t>
      </w:r>
      <w:r>
        <w:rPr>
          <w:rFonts w:hint="eastAsia"/>
        </w:rPr>
        <w:t xml:space="preserve">：确保所有章节的参考文献编号连续，避免重复和遗漏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增强技术覆盖</w:t>
      </w:r>
      <w:r>
        <w:rPr>
          <w:rFonts w:hint="eastAsia"/>
        </w:rPr>
        <w:t xml:space="preserve">：新增文献更好地支撑了动态缓存管理和持久化技术的理论基础</w:t>
      </w:r>
    </w:p>
    <w:bookmarkEnd w:id="36"/>
    <w:bookmarkStart w:id="37" w:name="文献质量提升"/>
    <w:p>
      <w:pPr>
        <w:pStyle w:val="Heading3"/>
      </w:pPr>
      <w:r>
        <w:rPr>
          <w:rFonts w:hint="eastAsia"/>
        </w:rPr>
        <w:t xml:space="preserve">文献质量提升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权威性</w:t>
      </w:r>
      <w:r>
        <w:rPr>
          <w:rFonts w:hint="eastAsia"/>
        </w:rPr>
        <w:t xml:space="preserve">：新增文献均来自顶级会议和期刊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：包含了2010年后的前沿研究成果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相关性</w:t>
      </w:r>
      <w:r>
        <w:rPr>
          <w:rFonts w:hint="eastAsia"/>
        </w:rPr>
        <w:t xml:space="preserve">：与论文技术内容高度相关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完整性</w:t>
      </w:r>
      <w:r>
        <w:rPr>
          <w:rFonts w:hint="eastAsia"/>
        </w:rPr>
        <w:t xml:space="preserve">：形成了完整的理论支撑体系</w:t>
      </w:r>
    </w:p>
    <w:p>
      <w:pPr>
        <w:pStyle w:val="FirstParagraph"/>
      </w:pPr>
      <w:r>
        <w:rPr>
          <w:rFonts w:hint="eastAsia"/>
        </w:rPr>
        <w:t xml:space="preserve">通过本次更新，参考文献列表更好地支撑了新版章节的技术内容，为读者提供了更全面的理论背景和技术参考。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2025-09-13T13:52:05Z</dcterms:created>
  <dcterms:modified xsi:type="dcterms:W3CDTF">2025-09-13T13:52:05Z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