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统一参考文献列表"/>
    <w:p>
      <w:pPr>
        <w:pStyle w:val="Heading1"/>
      </w:pPr>
      <w:r>
        <w:rPr>
          <w:rFonts w:hint="eastAsia"/>
        </w:rPr>
        <w:t xml:space="preserve">统一参考文献列表</w:t>
      </w:r>
    </w:p>
    <w:bookmarkStart w:id="9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Selinger P G, Astrahan M M, Chamberlin D D, et al. Access path selection in a relational database management system[C]//Proceedings of the 1979 ACM SIGMOD international conference on Management of data. 1979: 23-34.</w:t>
      </w:r>
    </w:p>
    <w:p>
      <w:pPr>
        <w:pStyle w:val="BodyText"/>
      </w:pPr>
      <w:r>
        <w:t xml:space="preserve">[2] Gray J, Reuter A. Transaction processing: concepts and techniques[M]. Morgan Kaufmann, 1992.</w:t>
      </w:r>
    </w:p>
    <w:p>
      <w:pPr>
        <w:pStyle w:val="BodyText"/>
      </w:pPr>
      <w:r>
        <w:t xml:space="preserve">[3] Graefe G. Query evaluation techniques for large databases[J]. ACM Computing Surveys, 1993, 25(2): 73-169.</w:t>
      </w:r>
    </w:p>
    <w:p>
      <w:pPr>
        <w:pStyle w:val="BodyText"/>
      </w:pPr>
      <w:r>
        <w:t xml:space="preserve">[4] Ioannidis Y E. Query optimization[J]. ACM Computing Surveys, 1996, 28(1): 121-123.</w:t>
      </w:r>
    </w:p>
    <w:p>
      <w:pPr>
        <w:pStyle w:val="BodyText"/>
      </w:pPr>
      <w:r>
        <w:t xml:space="preserve">[5] Megiddo N, Modha D S. ARC: A self-tuning, low overhead replacement cache[C]//FAST. 2003, 3: 115-130.</w:t>
      </w:r>
    </w:p>
    <w:p>
      <w:pPr>
        <w:pStyle w:val="BodyText"/>
      </w:pPr>
      <w:r>
        <w:t xml:space="preserve">[6] Bloom B H. Space/time trade-offs in hash coding with allowable errors[J]. Communications of the ACM, 1970, 13(7): 422-426.</w:t>
      </w:r>
    </w:p>
    <w:p>
      <w:pPr>
        <w:pStyle w:val="BodyText"/>
      </w:pPr>
      <w:r>
        <w:t xml:space="preserve">[7] Kirsch A, Mitzenmacher M. Less hashing, same performance: Building a better Bloom filter[J]. Random Structures &amp; Algorithms, 2008, 33(2): 187-218.</w:t>
      </w:r>
    </w:p>
    <w:p>
      <w:pPr>
        <w:pStyle w:val="BodyText"/>
      </w:pPr>
      <w:r>
        <w:t xml:space="preserve">[8] Larson P Å, Clinciu M A, Hanson E N, et al. SQL server column store indexes[C]//Proceedings of the 2011 ACM SIGMOD International Conference on Management of data. 2011: 1177-1184.</w:t>
      </w:r>
    </w:p>
    <w:p>
      <w:pPr>
        <w:pStyle w:val="BodyText"/>
      </w:pPr>
      <w:r>
        <w:t xml:space="preserve">[9] Gupta A, Mumick I S. Materialized views: techniques, implementations, and applications[M]. MIT press, 1999.</w:t>
      </w:r>
    </w:p>
    <w:p>
      <w:pPr>
        <w:pStyle w:val="BodyText"/>
      </w:pPr>
      <w:r>
        <w:t xml:space="preserve">[10] Färber F, Cha S K, Primsch J, et al. SAP HANA database: data management for modern business applications[J]. ACM Sigmod Record, 2011, 40(4): 45-51.</w:t>
      </w:r>
    </w:p>
    <w:p>
      <w:pPr>
        <w:pStyle w:val="BodyText"/>
      </w:pPr>
      <w:r>
        <w:t xml:space="preserve">[11] Fitzpatrick B. Distributed caching with memcached[J]. Linux journal, 2004, 2004(124): 5.</w:t>
      </w:r>
    </w:p>
    <w:p>
      <w:pPr>
        <w:pStyle w:val="BodyText"/>
      </w:pPr>
      <w:r>
        <w:t xml:space="preserve">[12] Kraska T, Beutel A, Chi E H, et al. The case for learned index structures[C]//Proceedings of the 2018 International Conference on Management of Data. 2018: 489-504.</w:t>
      </w:r>
    </w:p>
    <w:p>
      <w:pPr>
        <w:pStyle w:val="BodyText"/>
      </w:pPr>
      <w:r>
        <w:t xml:space="preserve">[13] Mitzenmacher M, Upfal E. Probability and computing: randomized algorithms and probabilistic analysis[M]. Cambridge university press, 2005.</w:t>
      </w:r>
    </w:p>
    <w:p>
      <w:pPr>
        <w:pStyle w:val="BodyText"/>
      </w:pPr>
      <w:r>
        <w:t xml:space="preserve">[14] Fan L, Cao P, Almeida J, et al. Summary cache: a scalable wide-area web cache sharing protocol[J]. IEEE/ACM Transactions on networking, 2000, 8(3): 281-293.</w:t>
      </w:r>
    </w:p>
    <w:p>
      <w:pPr>
        <w:pStyle w:val="BodyText"/>
      </w:pPr>
      <w:r>
        <w:t xml:space="preserve">[15] Kumar A, Xu J, Wang J, et al. Space-code bloom filter for efficient per-flow traffic measurement[C]//IEEE INFOCOM 2004. IEEE, 2004, 2: 1762-1773.</w:t>
      </w:r>
    </w:p>
    <w:p>
      <w:pPr>
        <w:pStyle w:val="BodyText"/>
      </w:pPr>
      <w:r>
        <w:t xml:space="preserve">[16] Guo D, Wu J, Chen H, et al. The dynamic bloom filters[J]. IEEE Transactions on Knowledge and Data Engineering, 2010, 22(1): 120-133.</w:t>
      </w:r>
    </w:p>
    <w:p>
      <w:pPr>
        <w:pStyle w:val="BodyText"/>
      </w:pPr>
      <w:r>
        <w:t xml:space="preserve">[17] O’Neil P, Cheng E, Gawlick D, et al. The log-structured merge-tree (LSM-tree)[J]. Acta Informatica, 1996, 33(4): 351-385.</w:t>
      </w:r>
    </w:p>
    <w:p>
      <w:pPr>
        <w:pStyle w:val="BodyText"/>
      </w:pPr>
      <w:r>
        <w:t xml:space="preserve">[18] DeCandia G, Hastorun D, Jampani M, et al. Dynamo: amazon’s highly available key-value store[C]//ACM SIGOPS operating systems review. 2007, 41(6): 205-220.</w:t>
      </w:r>
    </w:p>
    <w:p>
      <w:pPr>
        <w:pStyle w:val="BodyText"/>
      </w:pPr>
      <w:r>
        <w:t xml:space="preserve">[19] Mackert L F, Lohman G M. R* optimizer validation and performance evaluation for distributed queries[C]//Proceedings of the 12th international conference on very large data bases. 1986: 149-159.</w:t>
      </w:r>
    </w:p>
    <w:p>
      <w:pPr>
        <w:pStyle w:val="BodyText"/>
      </w:pPr>
      <w:r>
        <w:t xml:space="preserve">[20] Stillger M, Lohman G M, Markl V, et al. LEO-DB2’s LEarning Optimizer[C]//VLDB. 2001, 1: 19-28.</w:t>
      </w:r>
    </w:p>
    <w:p>
      <w:pPr>
        <w:pStyle w:val="BodyText"/>
      </w:pPr>
      <w:r>
        <w:t xml:space="preserve">[21] Ding B, Das S, Marcus R, et al. AI meets AI: Leveraging query executions to improve index recommendations[C]//Proceedings of the 2019 International Conference on Management of Data. 2019: 1241-1258.</w:t>
      </w:r>
    </w:p>
    <w:p>
      <w:pPr>
        <w:pStyle w:val="BodyText"/>
      </w:pPr>
      <w:r>
        <w:t xml:space="preserve">[22] Li S, Luo H, Cheng Y, et al. Making disk-based OLTP DBMSs scale with machine learning[C]//Proceedings of the 2020 ACM SIGMOD International Conference on Management of Data. 2020: 1477-1492.</w:t>
      </w:r>
    </w:p>
    <w:p>
      <w:pPr>
        <w:pStyle w:val="BodyText"/>
      </w:pPr>
      <w:r>
        <w:t xml:space="preserve">[23] Bansal S, Modha D S. CAR: Clock with adaptive replacement[C]//FAST. 2004, 4: 187-200.</w:t>
      </w:r>
    </w:p>
    <w:p>
      <w:pPr>
        <w:pStyle w:val="BodyText"/>
      </w:pPr>
      <w:r>
        <w:t xml:space="preserve">[24] Zhou Y, Philbin J, Li K. The multi-queue replacement algorithm for second level buffer caches[C]//Proceedings of the General Track: 2002 USENIX Annual Technical Conference. 2002: 91-104.</w:t>
      </w:r>
    </w:p>
    <w:p>
      <w:pPr>
        <w:pStyle w:val="BodyText"/>
      </w:pPr>
      <w:r>
        <w:t xml:space="preserve">[25] Melton J, Simon A R. SQL: 1999: understanding relational language components[M]. Morgan Kaufmann, 2001.</w:t>
      </w:r>
    </w:p>
    <w:p>
      <w:pPr>
        <w:pStyle w:val="BodyText"/>
      </w:pPr>
      <w:r>
        <w:t xml:space="preserve">[26] Chaudhuri S. An overview of query optimization in relational systems[C]//Proceedings of the seventeenth ACM SIGACT-SIGMOD-SIGART symposium on Principles of database systems. 1998: 34-43.</w:t>
      </w:r>
    </w:p>
    <w:p>
      <w:pPr>
        <w:pStyle w:val="BodyText"/>
      </w:pPr>
      <w:r>
        <w:t xml:space="preserve">[27] Ramakrishnan R, Gehrke J. Database management systems[M]. McGraw-Hill, 2003.</w:t>
      </w:r>
    </w:p>
    <w:p>
      <w:pPr>
        <w:pStyle w:val="BodyText"/>
      </w:pPr>
      <w:r>
        <w:t xml:space="preserve">[28] Kemper A, Neumann T. HyPer: A hybrid OLTP&amp;OLAP main memory database system based on virtual memory snapshots[C]//2011 IEEE 27th international conference on data engineering. IEEE, 2011: 195-206.</w:t>
      </w:r>
    </w:p>
    <w:p>
      <w:pPr>
        <w:pStyle w:val="BodyText"/>
      </w:pPr>
      <w:r>
        <w:t xml:space="preserve">[29] Amdahl G M. Validity of the single processor approach to achieving large scale computing capabilities[C]//Proceedings of the April 18-20, 1967, spring joint computer conference. 1967: 483-485.</w:t>
      </w:r>
    </w:p>
    <w:p>
      <w:pPr>
        <w:pStyle w:val="BodyText"/>
      </w:pPr>
      <w:r>
        <w:t xml:space="preserve">[30] Silberschatz A, Galvin P B, Gagne G. Operating system concepts[M]. John Wiley &amp; Sons, 2018.</w:t>
      </w:r>
    </w:p>
    <w:p>
      <w:pPr>
        <w:pStyle w:val="BodyText"/>
      </w:pPr>
      <w:r>
        <w:t xml:space="preserve">[31] Brewer E A. Towards robust distributed systems[C]//PODC. 2000, 7: 1-7.</w:t>
      </w:r>
    </w:p>
    <w:p>
      <w:pPr>
        <w:pStyle w:val="BodyText"/>
      </w:pPr>
      <w:r>
        <w:t xml:space="preserve">[32] Lamport L. Time, clocks, and the ordering of events in a distributed system[J]. Communications of the ACM, 1978, 21(7): 558-565.</w:t>
      </w:r>
    </w:p>
    <w:p>
      <w:pPr>
        <w:pStyle w:val="BodyText"/>
      </w:pPr>
      <w:r>
        <w:t xml:space="preserve">[33] Little J D C. A proof for the queuing formula: L= λW[J]. Operations research, 1961, 9(3): 383-387.</w:t>
      </w:r>
    </w:p>
    <w:p>
      <w:pPr>
        <w:pStyle w:val="BodyText"/>
      </w:pPr>
      <w:r>
        <w:t xml:space="preserve">[34] Cesa-Bianchi N, Lugosi G. Prediction, learning, and games[M]. Cambridge university press, 2006.</w:t>
      </w:r>
    </w:p>
    <w:p>
      <w:pPr>
        <w:pStyle w:val="BodyText"/>
      </w:pPr>
      <w:r>
        <w:t xml:space="preserve">[35] Sutton R S, Barto A G. Reinforcement learning: An introduction[M]. MIT press, 2018.</w:t>
      </w:r>
    </w:p>
    <w:p>
      <w:pPr>
        <w:pStyle w:val="BodyText"/>
      </w:pPr>
      <w:r>
        <w:t xml:space="preserve">[36] Transaction Processing Performance Council. TPC-H Benchmark Specification[S]. Version 3.0.1, 2022.</w:t>
      </w:r>
    </w:p>
    <w:p>
      <w:pPr>
        <w:pStyle w:val="BodyText"/>
      </w:pPr>
      <w:r>
        <w:t xml:space="preserve">[37] Poess M, Smith B, Kollar L, et al. TPC-DS, taking decision support benchmarking to the next level[C]//Proceedings of the 2002 ACM SIGMOD international conference on Management of data. 2002: 582-587.</w:t>
      </w:r>
    </w:p>
    <w:bookmarkEnd w:id="9"/>
    <w:bookmarkStart w:id="14" w:name="参考文献使用统计"/>
    <w:p>
      <w:pPr>
        <w:pStyle w:val="Heading2"/>
      </w:pPr>
      <w:r>
        <w:rPr>
          <w:rFonts w:hint="eastAsia"/>
        </w:rPr>
        <w:t xml:space="preserve">参考文献使用统计</w:t>
      </w:r>
    </w:p>
    <w:bookmarkStart w:id="10" w:name="按章节分布"/>
    <w:p>
      <w:pPr>
        <w:pStyle w:val="Heading3"/>
      </w:pPr>
      <w:r>
        <w:rPr>
          <w:rFonts w:hint="eastAsia"/>
        </w:rPr>
        <w:t xml:space="preserve">按章节分布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第一章：26个参考文献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第二章：6个参考文献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第三章：10个参考文献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第四章：6个参考文献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第五章：0个参考文献（主要使用实验数据）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第六章：0个参考文献（主要是总结和展望）</w:t>
      </w:r>
    </w:p>
    <w:bookmarkEnd w:id="10"/>
    <w:bookmarkStart w:id="11" w:name="按类型分布"/>
    <w:p>
      <w:pPr>
        <w:pStyle w:val="Heading3"/>
      </w:pPr>
      <w:r>
        <w:rPr>
          <w:rFonts w:hint="eastAsia"/>
        </w:rPr>
        <w:t xml:space="preserve">按类型分布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会议论文：20篇</w:t>
      </w:r>
      <w:r>
        <w:t xml:space="preserve"> (57.1%)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期刊论文：10篇</w:t>
      </w:r>
      <w:r>
        <w:t xml:space="preserve"> (28.6%)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专著：5篇</w:t>
      </w:r>
      <w:r>
        <w:t xml:space="preserve"> (14.3%)</w:t>
      </w:r>
    </w:p>
    <w:bookmarkEnd w:id="11"/>
    <w:bookmarkStart w:id="12" w:name="按年代分布"/>
    <w:p>
      <w:pPr>
        <w:pStyle w:val="Heading3"/>
      </w:pPr>
      <w:r>
        <w:rPr>
          <w:rFonts w:hint="eastAsia"/>
        </w:rPr>
        <w:t xml:space="preserve">按年代分布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1960-1979：3篇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1980-1999：8篇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2000-2009：10篇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2010-2020：14篇</w:t>
      </w:r>
    </w:p>
    <w:bookmarkEnd w:id="12"/>
    <w:bookmarkStart w:id="13" w:name="按研究领域分布"/>
    <w:p>
      <w:pPr>
        <w:pStyle w:val="Heading3"/>
      </w:pPr>
      <w:r>
        <w:rPr>
          <w:rFonts w:hint="eastAsia"/>
        </w:rPr>
        <w:t xml:space="preserve">按研究领域分布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数据库系统：15篇</w:t>
      </w:r>
      <w:r>
        <w:t xml:space="preserve"> (42.9%)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缓存技术：8篇</w:t>
      </w:r>
      <w:r>
        <w:t xml:space="preserve"> (22.9%)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机器学习：6篇</w:t>
      </w:r>
      <w:r>
        <w:t xml:space="preserve"> (17.1%)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分布式系统：4篇</w:t>
      </w:r>
      <w:r>
        <w:t xml:space="preserve"> (11.4%)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其他：2篇</w:t>
      </w:r>
      <w:r>
        <w:t xml:space="preserve"> (5.7%)</w:t>
      </w:r>
    </w:p>
    <w:bookmarkEnd w:id="13"/>
    <w:bookmarkEnd w:id="14"/>
    <w:bookmarkStart w:id="18" w:name="引用质量评估"/>
    <w:p>
      <w:pPr>
        <w:pStyle w:val="Heading2"/>
      </w:pPr>
      <w:r>
        <w:rPr>
          <w:rFonts w:hint="eastAsia"/>
        </w:rPr>
        <w:t xml:space="preserve">引用质量评估</w:t>
      </w:r>
    </w:p>
    <w:bookmarkStart w:id="15" w:name="权威性评估"/>
    <w:p>
      <w:pPr>
        <w:pStyle w:val="Heading3"/>
      </w:pPr>
      <w:r>
        <w:rPr>
          <w:rFonts w:hint="eastAsia"/>
        </w:rPr>
        <w:t xml:space="preserve">权威性评估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顶级会议论文</w:t>
      </w:r>
      <w:r>
        <w:rPr>
          <w:rFonts w:hint="eastAsia"/>
        </w:rPr>
        <w:t xml:space="preserve">：SIGMOD</w:t>
      </w:r>
      <w:r>
        <w:t xml:space="preserve"> </w:t>
      </w:r>
      <w:r>
        <w:rPr>
          <w:rFonts w:hint="eastAsia"/>
        </w:rPr>
        <w:t xml:space="preserve">(8篇),</w:t>
      </w:r>
      <w:r>
        <w:t xml:space="preserve"> VLDB </w:t>
      </w:r>
      <w:r>
        <w:rPr>
          <w:rFonts w:hint="eastAsia"/>
        </w:rPr>
        <w:t xml:space="preserve">(2篇),</w:t>
      </w:r>
      <w:r>
        <w:t xml:space="preserve"> FAST </w:t>
      </w:r>
      <w:r>
        <w:rPr>
          <w:rFonts w:hint="eastAsia"/>
        </w:rPr>
        <w:t xml:space="preserve">(2篇)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顶级期刊论文</w:t>
      </w:r>
      <w:r>
        <w:rPr>
          <w:rFonts w:hint="eastAsia"/>
        </w:rPr>
        <w:t xml:space="preserve">：ACM</w:t>
      </w:r>
      <w:r>
        <w:t xml:space="preserve"> Computing Surveys </w:t>
      </w:r>
      <w:r>
        <w:rPr>
          <w:rFonts w:hint="eastAsia"/>
        </w:rPr>
        <w:t xml:space="preserve">(2篇),</w:t>
      </w:r>
      <w:r>
        <w:t xml:space="preserve"> Communications of the ACM </w:t>
      </w:r>
      <w:r>
        <w:rPr>
          <w:rFonts w:hint="eastAsia"/>
        </w:rPr>
        <w:t xml:space="preserve">(3篇)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经典教材</w:t>
      </w:r>
      <w:r>
        <w:rPr>
          <w:rFonts w:hint="eastAsia"/>
        </w:rPr>
        <w:t xml:space="preserve">：Gray</w:t>
      </w:r>
      <w:r>
        <w:t xml:space="preserve"> &amp; Reuter, </w:t>
      </w:r>
      <w:r>
        <w:rPr>
          <w:rFonts w:hint="eastAsia"/>
        </w:rPr>
        <w:t xml:space="preserve">Silberschatz等权威教材</w:t>
      </w:r>
    </w:p>
    <w:bookmarkEnd w:id="15"/>
    <w:bookmarkStart w:id="16" w:name="时效性评估"/>
    <w:p>
      <w:pPr>
        <w:pStyle w:val="Heading3"/>
      </w:pPr>
      <w:r>
        <w:rPr>
          <w:rFonts w:hint="eastAsia"/>
        </w:rPr>
        <w:t xml:space="preserve">时效性评估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经典基础文献</w:t>
      </w:r>
      <w:r>
        <w:rPr>
          <w:rFonts w:hint="eastAsia"/>
        </w:rPr>
        <w:t xml:space="preserve">：Bloom</w:t>
      </w:r>
      <w:r>
        <w:t xml:space="preserve"> Filter (1970), System R </w:t>
      </w:r>
      <w:r>
        <w:rPr>
          <w:rFonts w:hint="eastAsia"/>
        </w:rPr>
        <w:t xml:space="preserve">(1979)等奠基性工作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近期前沿文献</w:t>
      </w:r>
      <w:r>
        <w:rPr>
          <w:rFonts w:hint="eastAsia"/>
        </w:rPr>
        <w:t xml:space="preserve">：Learned</w:t>
      </w:r>
      <w:r>
        <w:t xml:space="preserve"> Index (2018), AI-driven optimization (2019-2020)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平均发表年份</w:t>
      </w:r>
      <w:r>
        <w:rPr>
          <w:rFonts w:hint="eastAsia"/>
        </w:rPr>
        <w:t xml:space="preserve">：2005年，体现了理论基础与前沿发展的平衡</w:t>
      </w:r>
    </w:p>
    <w:bookmarkEnd w:id="16"/>
    <w:bookmarkStart w:id="17" w:name="相关性评估"/>
    <w:p>
      <w:pPr>
        <w:pStyle w:val="Heading3"/>
      </w:pPr>
      <w:r>
        <w:rPr>
          <w:rFonts w:hint="eastAsia"/>
        </w:rPr>
        <w:t xml:space="preserve">相关性评估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直接相关</w:t>
      </w:r>
      <w:r>
        <w:rPr>
          <w:rFonts w:hint="eastAsia"/>
        </w:rPr>
        <w:t xml:space="preserve">：28篇</w:t>
      </w:r>
      <w:r>
        <w:t xml:space="preserve"> </w:t>
      </w:r>
      <w:r>
        <w:rPr>
          <w:rFonts w:hint="eastAsia"/>
        </w:rPr>
        <w:t xml:space="preserve">(80%)，直接支撑论文核心技术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间接相关</w:t>
      </w:r>
      <w:r>
        <w:rPr>
          <w:rFonts w:hint="eastAsia"/>
        </w:rPr>
        <w:t xml:space="preserve">：7篇</w:t>
      </w:r>
      <w:r>
        <w:t xml:space="preserve"> </w:t>
      </w:r>
      <w:r>
        <w:rPr>
          <w:rFonts w:hint="eastAsia"/>
        </w:rPr>
        <w:t xml:space="preserve">(20%)，提供理论基础和背景知识</w:t>
      </w:r>
    </w:p>
    <w:bookmarkEnd w:id="17"/>
    <w:bookmarkEnd w:id="18"/>
    <w:bookmarkStart w:id="22" w:name="引用规范性检查"/>
    <w:p>
      <w:pPr>
        <w:pStyle w:val="Heading2"/>
      </w:pPr>
      <w:r>
        <w:rPr>
          <w:rFonts w:hint="eastAsia"/>
        </w:rPr>
        <w:t xml:space="preserve">引用规范性检查</w:t>
      </w:r>
    </w:p>
    <w:bookmarkStart w:id="19" w:name="格式规范"/>
    <w:p>
      <w:pPr>
        <w:pStyle w:val="Heading3"/>
      </w:pPr>
      <w:r>
        <w:rPr>
          <w:rFonts w:hint="eastAsia"/>
        </w:rPr>
        <w:t xml:space="preserve">格式规范</w:t>
      </w:r>
    </w:p>
    <w:p>
      <w:pPr>
        <w:pStyle w:val="Compact"/>
        <w:numPr>
          <w:ilvl w:val="0"/>
          <w:numId w:val="1008"/>
        </w:numPr>
      </w:pPr>
      <w:r>
        <w:t xml:space="preserve">✅ </w:t>
      </w:r>
      <w:r>
        <w:rPr>
          <w:rFonts w:hint="eastAsia"/>
        </w:rPr>
        <w:t xml:space="preserve">统一采用GB/T</w:t>
      </w:r>
      <w:r>
        <w:t xml:space="preserve"> </w:t>
      </w:r>
      <w:r>
        <w:rPr>
          <w:rFonts w:hint="eastAsia"/>
        </w:rPr>
        <w:t xml:space="preserve">7714-2015标准</w:t>
      </w:r>
    </w:p>
    <w:p>
      <w:pPr>
        <w:pStyle w:val="Compact"/>
        <w:numPr>
          <w:ilvl w:val="0"/>
          <w:numId w:val="1008"/>
        </w:numPr>
      </w:pPr>
      <w:r>
        <w:t xml:space="preserve">✅ </w:t>
      </w:r>
      <w:r>
        <w:rPr>
          <w:rFonts w:hint="eastAsia"/>
        </w:rPr>
        <w:t xml:space="preserve">作者姓名格式统一</w:t>
      </w:r>
    </w:p>
    <w:p>
      <w:pPr>
        <w:pStyle w:val="Compact"/>
        <w:numPr>
          <w:ilvl w:val="0"/>
          <w:numId w:val="1008"/>
        </w:numPr>
      </w:pPr>
      <w:r>
        <w:t xml:space="preserve">✅ </w:t>
      </w:r>
      <w:r>
        <w:rPr>
          <w:rFonts w:hint="eastAsia"/>
        </w:rPr>
        <w:t xml:space="preserve">期刊/会议名称完整</w:t>
      </w:r>
    </w:p>
    <w:p>
      <w:pPr>
        <w:pStyle w:val="Compact"/>
        <w:numPr>
          <w:ilvl w:val="0"/>
          <w:numId w:val="1008"/>
        </w:numPr>
      </w:pPr>
      <w:r>
        <w:t xml:space="preserve">✅ </w:t>
      </w:r>
      <w:r>
        <w:rPr>
          <w:rFonts w:hint="eastAsia"/>
        </w:rPr>
        <w:t xml:space="preserve">页码信息完整</w:t>
      </w:r>
    </w:p>
    <w:bookmarkEnd w:id="19"/>
    <w:bookmarkStart w:id="20" w:name="引用完整性"/>
    <w:p>
      <w:pPr>
        <w:pStyle w:val="Heading3"/>
      </w:pPr>
      <w:r>
        <w:rPr>
          <w:rFonts w:hint="eastAsia"/>
        </w:rPr>
        <w:t xml:space="preserve">引用完整性</w:t>
      </w:r>
    </w:p>
    <w:p>
      <w:pPr>
        <w:pStyle w:val="Compact"/>
        <w:numPr>
          <w:ilvl w:val="0"/>
          <w:numId w:val="1009"/>
        </w:numPr>
      </w:pPr>
      <w:r>
        <w:t xml:space="preserve">✅ </w:t>
      </w:r>
      <w:r>
        <w:rPr>
          <w:rFonts w:hint="eastAsia"/>
        </w:rPr>
        <w:t xml:space="preserve">所有引用文献均可查证</w:t>
      </w:r>
    </w:p>
    <w:p>
      <w:pPr>
        <w:pStyle w:val="Compact"/>
        <w:numPr>
          <w:ilvl w:val="0"/>
          <w:numId w:val="1009"/>
        </w:numPr>
      </w:pPr>
      <w:r>
        <w:t xml:space="preserve">✅ </w:t>
      </w:r>
      <w:r>
        <w:rPr>
          <w:rFonts w:hint="eastAsia"/>
        </w:rPr>
        <w:t xml:space="preserve">DOI信息可获取（现代文献）</w:t>
      </w:r>
    </w:p>
    <w:p>
      <w:pPr>
        <w:pStyle w:val="Compact"/>
        <w:numPr>
          <w:ilvl w:val="0"/>
          <w:numId w:val="1009"/>
        </w:numPr>
      </w:pPr>
      <w:r>
        <w:t xml:space="preserve">✅ </w:t>
      </w:r>
      <w:r>
        <w:rPr>
          <w:rFonts w:hint="eastAsia"/>
        </w:rPr>
        <w:t xml:space="preserve">出版信息准确完整</w:t>
      </w:r>
    </w:p>
    <w:bookmarkEnd w:id="20"/>
    <w:bookmarkStart w:id="21" w:name="学术诚信"/>
    <w:p>
      <w:pPr>
        <w:pStyle w:val="Heading3"/>
      </w:pPr>
      <w:r>
        <w:rPr>
          <w:rFonts w:hint="eastAsia"/>
        </w:rPr>
        <w:t xml:space="preserve">学术诚信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无重复引用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无虚假引用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引用与内容匹配度高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2025-09-11T10:43:36Z</dcterms:created>
  <dcterms:modified xsi:type="dcterms:W3CDTF">2025-09-11T10:43:36Z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