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9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Graefe G. Query evaluation techniques for large databases[J]. ACM Computing Surveys, 1993, 25(2): 73-169.</w:t>
      </w:r>
    </w:p>
    <w:p>
      <w:pPr>
        <w:pStyle w:val="BodyText"/>
      </w:pPr>
      <w:r>
        <w:t xml:space="preserve">[4] Ioannidis Y E. Query optimization[J]. ACM Computing Surveys, 1996, 28(1): 121-123.</w:t>
      </w:r>
    </w:p>
    <w:p>
      <w:pPr>
        <w:pStyle w:val="BodyText"/>
      </w:pPr>
      <w:r>
        <w:t xml:space="preserve">[5] Megiddo N, Modha D S. ARC: A self-tuning, low overhead replacement cache[C]//FAST. 2003, 3: 115-130.</w:t>
      </w:r>
    </w:p>
    <w:p>
      <w:pPr>
        <w:pStyle w:val="BodyText"/>
      </w:pPr>
      <w:r>
        <w:t xml:space="preserve">[6] Bloom B H. Space/time trade-offs in hash coding with allowable errors[J]. Communications of the ACM, 1970, 13(7): 422-426.</w:t>
      </w:r>
    </w:p>
    <w:p>
      <w:pPr>
        <w:pStyle w:val="BodyText"/>
      </w:pPr>
      <w:r>
        <w:t xml:space="preserve">[7]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[8] Larson P Å, Clinciu M A, Hanson E N, et al. SQL server column store indexes[C]//Proceedings of the 2011 ACM SIGMOD International Conference on Management of data. 2011: 1177-1184.</w:t>
      </w:r>
    </w:p>
    <w:p>
      <w:pPr>
        <w:pStyle w:val="BodyText"/>
      </w:pPr>
      <w:r>
        <w:t xml:space="preserve">[9] Gupta A, Mumick I S. Materialized views: techniques, implementations, and applications[M]. MIT press, 1999.</w:t>
      </w:r>
    </w:p>
    <w:p>
      <w:pPr>
        <w:pStyle w:val="BodyText"/>
      </w:pPr>
      <w:r>
        <w:t xml:space="preserve">[10]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[11] Fitzpatrick B. Distributed caching with memcached[J]. Linux journal, 2004, 2004(124): 5.</w:t>
      </w:r>
    </w:p>
    <w:p>
      <w:pPr>
        <w:pStyle w:val="BodyText"/>
      </w:pPr>
      <w:r>
        <w:t xml:space="preserve">[12]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[13]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[14]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[15]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[16]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[17]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[18]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[19]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[20] Stillger M, Lohman G M, Markl V, et al. LEO-DB2’s LEarning Optimizer[C]//VLDB. 2001, 1: 19-28.</w:t>
      </w:r>
    </w:p>
    <w:p>
      <w:pPr>
        <w:pStyle w:val="BodyText"/>
      </w:pPr>
      <w:r>
        <w:t xml:space="preserve">[21]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[22]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[23] Bansal S, Modha D S. CAR: Clock with adaptive replacement[C]//FAST. 2004, 4: 187-200.</w:t>
      </w:r>
    </w:p>
    <w:p>
      <w:pPr>
        <w:pStyle w:val="BodyText"/>
      </w:pPr>
      <w:r>
        <w:t xml:space="preserve">[24]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[25] Melton J, Simon A R. SQL: 1999: understanding relational language components[M]. Morgan Kaufmann, 2001.</w:t>
      </w:r>
    </w:p>
    <w:p>
      <w:pPr>
        <w:pStyle w:val="BodyText"/>
      </w:pPr>
      <w:r>
        <w:t xml:space="preserve">[26] Chaudhuri S. An overview of query optimization in relational systems[C]//Proceedings of the seventeenth ACM SIGACT-SIGMOD-SIGART symposium on Principles of database systems. 1998: 34-43.</w:t>
      </w:r>
    </w:p>
    <w:p>
      <w:pPr>
        <w:pStyle w:val="BodyText"/>
      </w:pPr>
      <w:r>
        <w:t xml:space="preserve">[27] Ramakrishnan R, Gehrke J. Database management systems[M]. McGraw-Hill, 2003.</w:t>
      </w:r>
    </w:p>
    <w:p>
      <w:pPr>
        <w:pStyle w:val="BodyText"/>
      </w:pPr>
      <w:r>
        <w:t xml:space="preserve">[28] Kemper A, Neumann T. HyPer: A hybrid OLTP&amp;OLAP main memory database system based on virtual memory snapshots[C]//2011 IEEE 27th international conference on data engineering. IEEE, 2011: 195-206.</w:t>
      </w:r>
    </w:p>
    <w:p>
      <w:pPr>
        <w:pStyle w:val="BodyText"/>
      </w:pPr>
      <w:r>
        <w:t xml:space="preserve">[29]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[30] Silberschatz A, Galvin P B, Gagne G. Operating system concepts[M]. John Wiley &amp; Sons, 2018.</w:t>
      </w:r>
    </w:p>
    <w:p>
      <w:pPr>
        <w:pStyle w:val="BodyText"/>
      </w:pPr>
      <w:r>
        <w:t xml:space="preserve">[31] Brewer E A. Towards robust distributed systems[C]//PODC. 2000, 7: 1-7.</w:t>
      </w:r>
    </w:p>
    <w:p>
      <w:pPr>
        <w:pStyle w:val="BodyText"/>
      </w:pPr>
      <w:r>
        <w:t xml:space="preserve">[32]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[33] Little J D C. A proof for the queuing formula: L= λW[J]. Operations research, 1961, 9(3): 383-387.</w:t>
      </w:r>
    </w:p>
    <w:p>
      <w:pPr>
        <w:pStyle w:val="BodyText"/>
      </w:pPr>
      <w:r>
        <w:t xml:space="preserve">[34] Cesa-Bianchi N, Lugosi G. Prediction, learning, and games[M]. Cambridge university press, 2006.</w:t>
      </w:r>
    </w:p>
    <w:p>
      <w:pPr>
        <w:pStyle w:val="BodyText"/>
      </w:pPr>
      <w:r>
        <w:t xml:space="preserve">[35] Sutton R S, Barto A G. Reinforcement learning: An introduction[M]. MIT press, 2018.</w:t>
      </w:r>
    </w:p>
    <w:p>
      <w:pPr>
        <w:pStyle w:val="BodyText"/>
      </w:pPr>
      <w:r>
        <w:t xml:space="preserve">[36] Transaction Processing Performance Council. TPC-H Benchmark Specification[S]. Version 3.0.1, 2022.</w:t>
      </w:r>
    </w:p>
    <w:p>
      <w:pPr>
        <w:pStyle w:val="BodyText"/>
      </w:pPr>
      <w:r>
        <w:t xml:space="preserve">[37] Poess M, Smith B, Kollar L, et al. TPC-DS, taking decision support benchmarking to the next level[C]//Proceedings of the 2002 ACM SIGMOD international conference on Management of data. 2002: 582-587.</w:t>
      </w:r>
    </w:p>
    <w:bookmarkEnd w:id="9"/>
    <w:bookmarkStart w:id="14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10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第二章：6个参考文献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第四章：6个参考文献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第五章：0个参考文献（主要使用实验数据）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第六章：0个参考文献（主要是总结和展望）</w:t>
      </w:r>
    </w:p>
    <w:bookmarkEnd w:id="10"/>
    <w:bookmarkStart w:id="11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会议论文：20篇</w:t>
      </w:r>
      <w:r>
        <w:t xml:space="preserve"> (57.1%)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期刊论文：10篇</w:t>
      </w:r>
      <w:r>
        <w:t xml:space="preserve"> (28.6%)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专著：5篇</w:t>
      </w:r>
      <w:r>
        <w:t xml:space="preserve"> (14.3%)</w:t>
      </w:r>
    </w:p>
    <w:bookmarkEnd w:id="11"/>
    <w:bookmarkStart w:id="12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1980-1999：8篇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2000-2009：10篇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2010-2020：14篇</w:t>
      </w:r>
    </w:p>
    <w:bookmarkEnd w:id="12"/>
    <w:bookmarkStart w:id="13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数据库系统：15篇</w:t>
      </w:r>
      <w:r>
        <w:t xml:space="preserve"> (42.9%)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缓存技术：8篇</w:t>
      </w:r>
      <w:r>
        <w:t xml:space="preserve"> (22.9%)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(17.1%)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分布式系统：4篇</w:t>
      </w:r>
      <w:r>
        <w:t xml:space="preserve"> (11.4%)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其他：2篇</w:t>
      </w:r>
      <w:r>
        <w:t xml:space="preserve"> (5.7%)</w:t>
      </w:r>
    </w:p>
    <w:bookmarkEnd w:id="13"/>
    <w:bookmarkEnd w:id="14"/>
    <w:bookmarkStart w:id="18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15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(8篇),</w:t>
      </w:r>
      <w:r>
        <w:t xml:space="preserve"> VLDB </w:t>
      </w:r>
      <w:r>
        <w:rPr>
          <w:rFonts w:hint="eastAsia"/>
        </w:rPr>
        <w:t xml:space="preserve">(2篇),</w:t>
      </w:r>
      <w:r>
        <w:t xml:space="preserve"> FAST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</w:t>
      </w:r>
      <w:r>
        <w:rPr>
          <w:rFonts w:hint="eastAsia"/>
        </w:rPr>
        <w:t xml:space="preserve">Silberschatz等权威教材</w:t>
      </w:r>
    </w:p>
    <w:bookmarkEnd w:id="15"/>
    <w:bookmarkStart w:id="16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</w:t>
      </w:r>
      <w:r>
        <w:rPr>
          <w:rFonts w:hint="eastAsia"/>
        </w:rPr>
        <w:t xml:space="preserve">(1979)等奠基性工作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：2005年，体现了理论基础与前沿发展的平衡</w:t>
      </w:r>
    </w:p>
    <w:bookmarkEnd w:id="16"/>
    <w:bookmarkStart w:id="17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：28篇</w:t>
      </w:r>
      <w:r>
        <w:t xml:space="preserve"> </w:t>
      </w:r>
      <w:r>
        <w:rPr>
          <w:rFonts w:hint="eastAsia"/>
        </w:rPr>
        <w:t xml:space="preserve">(80%)，直接支撑论文核心技术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：7篇</w:t>
      </w:r>
      <w:r>
        <w:t xml:space="preserve"> </w:t>
      </w:r>
      <w:r>
        <w:rPr>
          <w:rFonts w:hint="eastAsia"/>
        </w:rPr>
        <w:t xml:space="preserve">(20%)，提供理论基础和背景知识</w:t>
      </w:r>
    </w:p>
    <w:bookmarkEnd w:id="17"/>
    <w:bookmarkEnd w:id="18"/>
    <w:bookmarkStart w:id="22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19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19"/>
    <w:bookmarkStart w:id="20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20"/>
    <w:bookmarkStart w:id="21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2025-09-11T17:18:30Z</dcterms:created>
  <dcterms:modified xsi:type="dcterms:W3CDTF">2025-09-11T17:18:30Z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