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spacing w:before="1200"/>
      </w:pPr>
      <w:r>
        <w:t>PRODUCT &amp; ENGINEERING</w:t>
      </w:r>
    </w:p>
    <w:p>
      <w:pPr>
        <w:pStyle w:val="Title"/>
      </w:pPr>
      <w:r>
        <w:t>Immich Places</w:t>
        <w:br/>
        <w:t>AI Add-on</w:t>
      </w:r>
    </w:p>
    <w:p>
      <w:pPr>
        <w:pStyle w:val="Subtitle"/>
        <w:spacing w:after="480"/>
      </w:pPr>
      <w:r>
        <w:t>Technical Design</w:t>
      </w:r>
    </w:p>
    <w:p>
      <w:pPr>
        <w:spacing w:after="460"/>
      </w:pPr>
      <w:r>
        <w:t>A repository-aware architecture for an isolated AI proposal module, durable processing, and explicit API-only writeback.</w:t>
      </w:r>
    </w:p>
    <w:p>
      <w:pPr>
        <w:spacing w:after="100"/>
      </w:pPr>
      <w:r>
        <w:rPr>
          <w:b/>
          <w:color w:val="60707D"/>
          <w:sz w:val="17"/>
        </w:rPr>
        <w:t xml:space="preserve">VERSION  </w:t>
      </w:r>
      <w:r>
        <w:t>1.0 — proposed baseline</w:t>
      </w:r>
    </w:p>
    <w:p>
      <w:pPr>
        <w:spacing w:after="100"/>
      </w:pPr>
      <w:r>
        <w:rPr>
          <w:b/>
          <w:color w:val="60707D"/>
          <w:sz w:val="17"/>
        </w:rPr>
        <w:t xml:space="preserve">PREPARED  </w:t>
      </w:r>
      <w:r>
        <w:t>17 September 2026</w:t>
      </w:r>
    </w:p>
    <w:p>
      <w:pPr>
        <w:spacing w:after="100"/>
      </w:pPr>
      <w:r>
        <w:rPr>
          <w:b/>
          <w:color w:val="60707D"/>
          <w:sz w:val="17"/>
        </w:rPr>
        <w:t xml:space="preserve">REPOSITORY  </w:t>
      </w:r>
      <w:hyperlink r:id="rId12">
        <w:r>
          <w:rPr>
            <w:color w:val="167D8D"/>
          </w:rPr>
          <w:t>crazz/immich-places-ai-addon</w:t>
        </w:r>
      </w:hyperlink>
    </w:p>
    <w:p>
      <w:pPr>
        <w:spacing w:after="100"/>
      </w:pPr>
      <w:r>
        <w:rPr>
          <w:b/>
          <w:color w:val="60707D"/>
          <w:sz w:val="17"/>
        </w:rPr>
        <w:t xml:space="preserve">PURPOSE  </w:t>
      </w:r>
      <w:r>
        <w:t>Product review and OpenSpec planning</w:t>
      </w:r>
    </w:p>
    <w:p>
      <w:pPr>
        <w:pStyle w:val="Kicker"/>
        <w:spacing w:before="520"/>
      </w:pPr>
      <w:r>
        <w:t>DESIGN BOUNDARY</w:t>
      </w:r>
    </w:p>
    <w:p>
      <w:pPr>
        <w:spacing w:after="520"/>
      </w:pPr>
      <w:r>
        <w:t>AI proposes. The user reviews. Immich changes only after explicit confirmation.</w:t>
      </w:r>
    </w:p>
    <w:p>
      <w:pPr>
        <w:spacing w:after="160"/>
      </w:pPr>
      <w:r>
        <w:rPr>
          <w:b/>
          <w:color w:val="163247"/>
        </w:rPr>
        <w:t xml:space="preserve">Foundation  </w:t>
      </w:r>
      <w:r>
        <w:t>Verified integration surfaces and selected architecture.</w:t>
      </w:r>
    </w:p>
    <w:p>
      <w:pPr>
        <w:spacing w:after="160"/>
      </w:pPr>
      <w:r>
        <w:rPr>
          <w:b/>
          <w:color w:val="163247"/>
        </w:rPr>
        <w:t xml:space="preserve">Contracts  </w:t>
      </w:r>
      <w:r>
        <w:t>Provider output, persistence, APIs, and job states.</w:t>
      </w:r>
    </w:p>
    <w:p>
      <w:pPr>
        <w:spacing w:after="160"/>
      </w:pPr>
      <w:r>
        <w:rPr>
          <w:b/>
          <w:color w:val="163247"/>
        </w:rPr>
        <w:t xml:space="preserve">Safety  </w:t>
      </w:r>
      <w:r>
        <w:t>Exact targets, consent, write verification, and recovery.</w:t>
      </w:r>
    </w:p>
    <w:p>
      <w:pPr>
        <w:pStyle w:val="SourceText"/>
        <w:spacing w:before="400"/>
      </w:pPr>
      <w:r>
        <w:rPr>
          <w:color w:val="60707D"/>
        </w:rPr>
        <w:t>Source review only. No code, migrations, private-photo processing, or live Immich writes were executed.</w:t>
      </w:r>
    </w:p>
    <w:p>
      <w:r>
        <w:br w:type="page"/>
      </w:r>
    </w:p>
    <w:p>
      <w:pPr>
        <w:pStyle w:val="Heading1"/>
      </w:pPr>
      <w:r>
        <w:rPr>
          <w:b w:val="0"/>
          <w:i w:val="0"/>
        </w:rPr>
        <w:t>1. Architecture decision</w:t>
      </w:r>
    </w:p>
    <w:p>
      <w:pPr/>
      <w:r>
        <w:rPr>
          <w:b w:val="0"/>
          <w:i w:val="0"/>
        </w:rPr>
        <w:t>Implement AI Locate inside the existing Go backend and Next.js/React frontend. Use the existing SQLite database for durable jobs, immutable results, review drafts, and write operations. Preserve the existing frontend/backend deployment boundary. Do not add Python, Redis, PostgreSQL, a second photo catalog, or a direct connection to Immich's database.</w:t>
      </w:r>
    </w:p>
    <w:p>
      <w:pPr/>
      <w:r>
        <w:rPr>
          <w:b w:val="0"/>
          <w:i w:val="0"/>
        </w:rPr>
        <w:t xml:space="preserve">The AI module is a </w:t>
      </w:r>
      <w:r>
        <w:rPr>
          <w:b/>
          <w:i w:val="0"/>
        </w:rPr>
        <w:t>proposal producer</w:t>
      </w:r>
      <w:r>
        <w:rPr>
          <w:b w:val="0"/>
          <w:i w:val="0"/>
        </w:rPr>
        <w:t>. It can read authorized photographs and permitted context; it cannot call the Immich writer. Only a user-confirmed write operation can invoke writeback.</w:t>
      </w:r>
    </w:p>
    <w:p>
      <w:pPr>
        <w:pStyle w:val="Heading2"/>
      </w:pPr>
      <w:r>
        <w:rPr>
          <w:b w:val="0"/>
          <w:i w:val="0"/>
        </w:rPr>
        <w:t>1.1 Alternatives considered</w:t>
      </w:r>
    </w:p>
    <w:tbl>
      <w:tblPr>
        <w:tblW w:type="auto" w:w="0"/>
        <w:jc w:val="center"/>
        <w:tblLayout w:type="fixed"/>
        <w:tblLook w:firstColumn="1" w:firstRow="1" w:lastColumn="0" w:lastRow="0" w:noHBand="0" w:noVBand="1" w:val="04A0"/>
      </w:tblPr>
      <w:tblGrid>
        <w:gridCol w:w="2304"/>
        <w:gridCol w:w="3528"/>
        <w:gridCol w:w="4032"/>
      </w:tblGrid>
      <w:tr>
        <w:trPr>
          <w:cantSplit/>
          <w:tblHeader/>
        </w:trPr>
        <w:tc>
          <w:tcPr>
            <w:tcW w:type="dxa" w:w="2304"/>
            <w:vAlign w:val="center"/>
            <w:tcMar>
              <w:top w:w="80" w:type="dxa"/>
              <w:bottom w:w="80" w:type="dxa"/>
              <w:left w:w="100" w:type="dxa"/>
              <w:right w:w="100" w:type="dxa"/>
            </w:tcMar>
            <w:shd w:fill="163247"/>
          </w:tcPr>
          <w:p>
            <w:pPr>
              <w:spacing w:after="0" w:before="0" w:line="264" w:lineRule="auto"/>
            </w:pPr>
            <w:r>
              <w:rPr>
                <w:b/>
                <w:i w:val="0"/>
                <w:color w:val="FFFFFF"/>
                <w:sz w:val="18"/>
              </w:rPr>
              <w:t>Option</w:t>
            </w:r>
          </w:p>
        </w:tc>
        <w:tc>
          <w:tcPr>
            <w:tcW w:type="dxa" w:w="3528"/>
            <w:vAlign w:val="center"/>
            <w:tcMar>
              <w:top w:w="80" w:type="dxa"/>
              <w:bottom w:w="80" w:type="dxa"/>
              <w:left w:w="100" w:type="dxa"/>
              <w:right w:w="100" w:type="dxa"/>
            </w:tcMar>
            <w:shd w:fill="163247"/>
          </w:tcPr>
          <w:p>
            <w:pPr>
              <w:spacing w:after="0" w:before="0" w:line="264" w:lineRule="auto"/>
            </w:pPr>
            <w:r>
              <w:rPr>
                <w:b/>
                <w:i w:val="0"/>
                <w:color w:val="FFFFFF"/>
                <w:sz w:val="18"/>
              </w:rPr>
              <w:t>Benefit</w:t>
            </w:r>
          </w:p>
        </w:tc>
        <w:tc>
          <w:tcPr>
            <w:tcW w:type="dxa" w:w="4032"/>
            <w:vAlign w:val="center"/>
            <w:tcMar>
              <w:top w:w="80" w:type="dxa"/>
              <w:bottom w:w="80" w:type="dxa"/>
              <w:left w:w="100" w:type="dxa"/>
              <w:right w:w="100" w:type="dxa"/>
            </w:tcMar>
            <w:shd w:fill="163247"/>
          </w:tcPr>
          <w:p>
            <w:pPr>
              <w:spacing w:after="0" w:before="0" w:line="264" w:lineRule="auto"/>
            </w:pPr>
            <w:r>
              <w:rPr>
                <w:b/>
                <w:i w:val="0"/>
                <w:color w:val="FFFFFF"/>
                <w:sz w:val="18"/>
              </w:rPr>
              <w:t>Cost / decision</w:t>
            </w:r>
          </w:p>
        </w:tc>
      </w:tr>
      <w:tr>
        <w:trPr>
          <w:cantSplit/>
        </w:trPr>
        <w:tc>
          <w:tcPr>
            <w:tcW w:type="dxa" w:w="2304"/>
            <w:vAlign w:val="center"/>
            <w:tcMar>
              <w:top w:w="80" w:type="dxa"/>
              <w:bottom w:w="80" w:type="dxa"/>
              <w:left w:w="100" w:type="dxa"/>
              <w:right w:w="100" w:type="dxa"/>
            </w:tcMar>
            <w:shd w:fill="EEF4F7"/>
          </w:tcPr>
          <w:p>
            <w:pPr>
              <w:spacing w:after="0" w:before="0" w:line="264" w:lineRule="auto"/>
            </w:pPr>
            <w:r>
              <w:rPr>
                <w:b w:val="0"/>
                <w:i w:val="0"/>
                <w:sz w:val="18"/>
              </w:rPr>
              <w:t>In-process Go module</w:t>
            </w:r>
          </w:p>
        </w:tc>
        <w:tc>
          <w:tcPr>
            <w:tcW w:type="dxa" w:w="3528"/>
            <w:vAlign w:val="center"/>
            <w:tcMar>
              <w:top w:w="80" w:type="dxa"/>
              <w:bottom w:w="80" w:type="dxa"/>
              <w:left w:w="100" w:type="dxa"/>
              <w:right w:w="100" w:type="dxa"/>
            </w:tcMar>
            <w:shd w:fill="EEF4F7"/>
          </w:tcPr>
          <w:p>
            <w:pPr>
              <w:spacing w:after="0" w:before="0" w:line="264" w:lineRule="auto"/>
            </w:pPr>
            <w:r>
              <w:rPr>
                <w:b w:val="0"/>
                <w:i w:val="0"/>
                <w:sz w:val="18"/>
              </w:rPr>
              <w:t>Reuses auth, catalog, deployment, and storage; small integration surface.</w:t>
            </w:r>
          </w:p>
        </w:tc>
        <w:tc>
          <w:tcPr>
            <w:tcW w:type="dxa" w:w="4032"/>
            <w:vAlign w:val="center"/>
            <w:tcMar>
              <w:top w:w="80" w:type="dxa"/>
              <w:bottom w:w="80" w:type="dxa"/>
              <w:left w:w="100" w:type="dxa"/>
              <w:right w:w="100" w:type="dxa"/>
            </w:tcMar>
            <w:shd w:fill="EEF4F7"/>
          </w:tcPr>
          <w:p>
            <w:pPr>
              <w:spacing w:after="0" w:before="0" w:line="264" w:lineRule="auto"/>
            </w:pPr>
            <w:r>
              <w:rPr>
                <w:b w:val="0"/>
                <w:i w:val="0"/>
                <w:sz w:val="18"/>
              </w:rPr>
              <w:t>Shares backend resources; selected for V1 with bounded workers.</w:t>
            </w:r>
          </w:p>
        </w:tc>
      </w:tr>
      <w:tr>
        <w:trPr>
          <w:cantSplit/>
        </w:trPr>
        <w:tc>
          <w:tcPr>
            <w:tcW w:type="dxa" w:w="2304"/>
            <w:vAlign w:val="center"/>
            <w:tcMar>
              <w:top w:w="80" w:type="dxa"/>
              <w:bottom w:w="80" w:type="dxa"/>
              <w:left w:w="100" w:type="dxa"/>
              <w:right w:w="100" w:type="dxa"/>
            </w:tcMar>
          </w:tcPr>
          <w:p>
            <w:pPr>
              <w:spacing w:after="0" w:before="0" w:line="264" w:lineRule="auto"/>
            </w:pPr>
            <w:r>
              <w:rPr>
                <w:b w:val="0"/>
                <w:i w:val="0"/>
                <w:sz w:val="18"/>
              </w:rPr>
              <w:t>Separate Go worker service</w:t>
            </w:r>
          </w:p>
        </w:tc>
        <w:tc>
          <w:tcPr>
            <w:tcW w:type="dxa" w:w="3528"/>
            <w:vAlign w:val="center"/>
            <w:tcMar>
              <w:top w:w="80" w:type="dxa"/>
              <w:bottom w:w="80" w:type="dxa"/>
              <w:left w:w="100" w:type="dxa"/>
              <w:right w:w="100" w:type="dxa"/>
            </w:tcMar>
          </w:tcPr>
          <w:p>
            <w:pPr>
              <w:spacing w:after="0" w:before="0" w:line="264" w:lineRule="auto"/>
            </w:pPr>
            <w:r>
              <w:rPr>
                <w:b w:val="0"/>
                <w:i w:val="0"/>
                <w:sz w:val="18"/>
              </w:rPr>
              <w:t>Better resource and failure isolation without a second language.</w:t>
            </w:r>
          </w:p>
        </w:tc>
        <w:tc>
          <w:tcPr>
            <w:tcW w:type="dxa" w:w="4032"/>
            <w:vAlign w:val="center"/>
            <w:tcMar>
              <w:top w:w="80" w:type="dxa"/>
              <w:bottom w:w="80" w:type="dxa"/>
              <w:left w:w="100" w:type="dxa"/>
              <w:right w:w="100" w:type="dxa"/>
            </w:tcMar>
          </w:tcPr>
          <w:p>
            <w:pPr>
              <w:spacing w:after="0" w:before="0" w:line="264" w:lineRule="auto"/>
            </w:pPr>
            <w:r>
              <w:rPr>
                <w:b w:val="0"/>
                <w:i w:val="0"/>
                <w:sz w:val="18"/>
              </w:rPr>
              <w:t>Extra deployment and queue coordination; defer until measured load warrants it.</w:t>
            </w:r>
          </w:p>
        </w:tc>
      </w:tr>
      <w:tr>
        <w:trPr>
          <w:cantSplit/>
        </w:trPr>
        <w:tc>
          <w:tcPr>
            <w:tcW w:type="dxa" w:w="2304"/>
            <w:vAlign w:val="center"/>
            <w:tcMar>
              <w:top w:w="80" w:type="dxa"/>
              <w:bottom w:w="80" w:type="dxa"/>
              <w:left w:w="100" w:type="dxa"/>
              <w:right w:w="100" w:type="dxa"/>
            </w:tcMar>
            <w:shd w:fill="EEF4F7"/>
          </w:tcPr>
          <w:p>
            <w:pPr>
              <w:spacing w:after="0" w:before="0" w:line="264" w:lineRule="auto"/>
            </w:pPr>
            <w:r>
              <w:rPr>
                <w:b w:val="0"/>
                <w:i w:val="0"/>
                <w:sz w:val="18"/>
              </w:rPr>
              <w:t>Python AI service</w:t>
            </w:r>
          </w:p>
        </w:tc>
        <w:tc>
          <w:tcPr>
            <w:tcW w:type="dxa" w:w="3528"/>
            <w:vAlign w:val="center"/>
            <w:tcMar>
              <w:top w:w="80" w:type="dxa"/>
              <w:bottom w:w="80" w:type="dxa"/>
              <w:left w:w="100" w:type="dxa"/>
              <w:right w:w="100" w:type="dxa"/>
            </w:tcMar>
            <w:shd w:fill="EEF4F7"/>
          </w:tcPr>
          <w:p>
            <w:pPr>
              <w:spacing w:after="0" w:before="0" w:line="264" w:lineRule="auto"/>
            </w:pPr>
            <w:r>
              <w:rPr>
                <w:b w:val="0"/>
                <w:i w:val="0"/>
                <w:sz w:val="18"/>
              </w:rPr>
              <w:t>Suitable for future local vision/retrieval experiments.</w:t>
            </w:r>
          </w:p>
        </w:tc>
        <w:tc>
          <w:tcPr>
            <w:tcW w:type="dxa" w:w="4032"/>
            <w:vAlign w:val="center"/>
            <w:tcMar>
              <w:top w:w="80" w:type="dxa"/>
              <w:bottom w:w="80" w:type="dxa"/>
              <w:left w:w="100" w:type="dxa"/>
              <w:right w:w="100" w:type="dxa"/>
            </w:tcMar>
            <w:shd w:fill="EEF4F7"/>
          </w:tcPr>
          <w:p>
            <w:pPr>
              <w:spacing w:after="0" w:before="0" w:line="264" w:lineRule="auto"/>
            </w:pPr>
            <w:r>
              <w:rPr>
                <w:b w:val="0"/>
                <w:i w:val="0"/>
                <w:sz w:val="18"/>
              </w:rPr>
              <w:t>Additional runtime, contracts, and operational burden; no current requirement justifies it.</w:t>
            </w:r>
          </w:p>
        </w:tc>
      </w:tr>
      <w:tr>
        <w:trPr>
          <w:cantSplit/>
        </w:trPr>
        <w:tc>
          <w:tcPr>
            <w:tcW w:type="dxa" w:w="2304"/>
            <w:vAlign w:val="center"/>
            <w:tcMar>
              <w:top w:w="80" w:type="dxa"/>
              <w:bottom w:w="80" w:type="dxa"/>
              <w:left w:w="100" w:type="dxa"/>
              <w:right w:w="100" w:type="dxa"/>
            </w:tcMar>
          </w:tcPr>
          <w:p>
            <w:pPr>
              <w:spacing w:after="0" w:before="0" w:line="264" w:lineRule="auto"/>
            </w:pPr>
            <w:r>
              <w:rPr>
                <w:b w:val="0"/>
                <w:i w:val="0"/>
                <w:sz w:val="18"/>
              </w:rPr>
              <w:t>Browser-direct AI calls</w:t>
            </w:r>
          </w:p>
        </w:tc>
        <w:tc>
          <w:tcPr>
            <w:tcW w:type="dxa" w:w="3528"/>
            <w:vAlign w:val="center"/>
            <w:tcMar>
              <w:top w:w="80" w:type="dxa"/>
              <w:bottom w:w="80" w:type="dxa"/>
              <w:left w:w="100" w:type="dxa"/>
              <w:right w:w="100" w:type="dxa"/>
            </w:tcMar>
          </w:tcPr>
          <w:p>
            <w:pPr>
              <w:spacing w:after="0" w:before="0" w:line="264" w:lineRule="auto"/>
            </w:pPr>
            <w:r>
              <w:rPr>
                <w:b w:val="0"/>
                <w:i w:val="0"/>
                <w:sz w:val="18"/>
              </w:rPr>
              <w:t>Superficially fewer backend changes.</w:t>
            </w:r>
          </w:p>
        </w:tc>
        <w:tc>
          <w:tcPr>
            <w:tcW w:type="dxa" w:w="4032"/>
            <w:vAlign w:val="center"/>
            <w:tcMar>
              <w:top w:w="80" w:type="dxa"/>
              <w:bottom w:w="80" w:type="dxa"/>
              <w:left w:w="100" w:type="dxa"/>
              <w:right w:w="100" w:type="dxa"/>
            </w:tcMar>
          </w:tcPr>
          <w:p>
            <w:pPr>
              <w:spacing w:after="0" w:before="0" w:line="264" w:lineRule="auto"/>
            </w:pPr>
            <w:r>
              <w:rPr>
                <w:b w:val="0"/>
                <w:i w:val="0"/>
                <w:sz w:val="18"/>
              </w:rPr>
              <w:t>Exposes credentials, lacks durable execution, and complicates privacy; rejected.</w:t>
            </w:r>
          </w:p>
        </w:tc>
      </w:tr>
      <w:tr>
        <w:trPr>
          <w:cantSplit/>
        </w:trPr>
        <w:tc>
          <w:tcPr>
            <w:tcW w:type="dxa" w:w="2304"/>
            <w:vAlign w:val="center"/>
            <w:tcMar>
              <w:top w:w="80" w:type="dxa"/>
              <w:bottom w:w="80" w:type="dxa"/>
              <w:left w:w="100" w:type="dxa"/>
              <w:right w:w="100" w:type="dxa"/>
            </w:tcMar>
            <w:shd w:fill="EEF4F7"/>
          </w:tcPr>
          <w:p>
            <w:pPr>
              <w:spacing w:after="0" w:before="0" w:line="264" w:lineRule="auto"/>
            </w:pPr>
            <w:r>
              <w:rPr>
                <w:b w:val="0"/>
                <w:i w:val="0"/>
                <w:sz w:val="18"/>
              </w:rPr>
              <w:t>Rewrite or fork Immich itself</w:t>
            </w:r>
          </w:p>
        </w:tc>
        <w:tc>
          <w:tcPr>
            <w:tcW w:type="dxa" w:w="3528"/>
            <w:vAlign w:val="center"/>
            <w:tcMar>
              <w:top w:w="80" w:type="dxa"/>
              <w:bottom w:w="80" w:type="dxa"/>
              <w:left w:w="100" w:type="dxa"/>
              <w:right w:w="100" w:type="dxa"/>
            </w:tcMar>
            <w:shd w:fill="EEF4F7"/>
          </w:tcPr>
          <w:p>
            <w:pPr>
              <w:spacing w:after="0" w:before="0" w:line="264" w:lineRule="auto"/>
            </w:pPr>
            <w:r>
              <w:rPr>
                <w:b w:val="0"/>
                <w:i w:val="0"/>
                <w:sz w:val="18"/>
              </w:rPr>
              <w:t>Full native integration.</w:t>
            </w:r>
          </w:p>
        </w:tc>
        <w:tc>
          <w:tcPr>
            <w:tcW w:type="dxa" w:w="4032"/>
            <w:vAlign w:val="center"/>
            <w:tcMar>
              <w:top w:w="80" w:type="dxa"/>
              <w:bottom w:w="80" w:type="dxa"/>
              <w:left w:w="100" w:type="dxa"/>
              <w:right w:w="100" w:type="dxa"/>
            </w:tcMar>
            <w:shd w:fill="EEF4F7"/>
          </w:tcPr>
          <w:p>
            <w:pPr>
              <w:spacing w:after="0" w:before="0" w:line="264" w:lineRule="auto"/>
            </w:pPr>
            <w:r>
              <w:rPr>
                <w:b w:val="0"/>
                <w:i w:val="0"/>
                <w:sz w:val="18"/>
              </w:rPr>
              <w:t>Discards the selected Places foundation and increases upgrade burden; rejected.</w:t>
            </w:r>
          </w:p>
        </w:tc>
      </w:tr>
    </w:tbl>
    <w:p>
      <w:pPr>
        <w:spacing w:after="20" w:before="0" w:line="60" w:lineRule="auto"/>
      </w:pPr>
    </w:p>
    <w:p>
      <w:pPr/>
      <w:r>
        <w:rPr>
          <w:b w:val="0"/>
          <w:i w:val="0"/>
        </w:rPr>
        <w:t>These are engineering judgments for this project, not measured performance comparisons.</w:t>
      </w:r>
    </w:p>
    <w:p>
      <w:pPr>
        <w:pStyle w:val="Heading2"/>
      </w:pPr>
      <w:r>
        <w:rPr>
          <w:b w:val="0"/>
          <w:i w:val="0"/>
        </w:rPr>
        <w:t>1.2 Logical data flow</w:t>
      </w:r>
    </w:p>
    <w:p>
      <w:pPr>
        <w:pStyle w:val="CodeBlock"/>
        <w:keepLines/>
        <w:shd w:fill="EEF4F7"/>
      </w:pPr>
      <w:r>
        <w:t>Existing catalog and selection</w:t>
        <w:br/>
        <w:t xml:space="preserve">    -&gt; AI launch dialog / consent</w:t>
        <w:br/>
        <w:t xml:space="preserve">    -&gt; server-resolved selection snapshot</w:t>
        <w:br/>
        <w:t xml:space="preserve">    -&gt; durable SQLite job items</w:t>
        <w:br/>
        <w:t xml:space="preserve">    -&gt; bounded Go workers</w:t>
        <w:br/>
        <w:t xml:space="preserve">    -&gt; image preparation + permitted context</w:t>
        <w:br/>
        <w:t xml:space="preserve">    -&gt; vision provider -&gt; validation -&gt; immutable analysis</w:t>
        <w:br/>
        <w:t xml:space="preserve">    -&gt; result review -&gt; durable draft</w:t>
        <w:br/>
        <w:t xml:space="preserve">    -&gt; write preview -&gt; explicit confirmation</w:t>
        <w:br/>
        <w:t xml:space="preserve">    -&gt; exact-target Immich API writer -&gt; readback -&gt; audit</w:t>
      </w:r>
    </w:p>
    <w:p>
      <w:pPr/>
      <w:r>
        <w:rPr>
          <w:b w:val="0"/>
          <w:i w:val="0"/>
        </w:rPr>
        <w:t>The geocoder is an optional candidate-resolution dependency, not proof of the camera's position. Research/search tools attach later to the analysis orchestrator, never to the writer.</w:t>
      </w:r>
    </w:p>
    <w:p>
      <w:pPr>
        <w:pStyle w:val="Heading1"/>
      </w:pPr>
      <w:r>
        <w:rPr>
          <w:b w:val="0"/>
          <w:i w:val="0"/>
        </w:rPr>
        <w:t>2. Verified baseline and repository integration map</w:t>
      </w:r>
    </w:p>
    <w:p>
      <w:pPr/>
      <w:r>
        <w:rPr>
          <w:b w:val="0"/>
          <w:i w:val="0"/>
        </w:rPr>
        <w:t xml:space="preserve">Public </w:t>
      </w:r>
      <w:r>
        <w:rPr>
          <w:rFonts w:ascii="DejaVu Sans Mono" w:hAnsi="DejaVu Sans Mono"/>
          <w:b w:val="0"/>
          <w:i w:val="0"/>
          <w:color w:val="163247"/>
          <w:sz w:val="17"/>
        </w:rPr>
        <w:t>main</w:t>
      </w:r>
      <w:r>
        <w:rPr>
          <w:b w:val="0"/>
          <w:i w:val="0"/>
        </w:rPr>
        <w:t xml:space="preserve"> was reviewed on 17 September 2026. The commit SHA was not available from the browser review and must be recorded from the actual checkout. No source checkout, build, tests, migration, or live Immich mutation was completed during document preparation. The following paths were inspected; proposed paths in later sections do not imply existing files.</w:t>
      </w:r>
    </w:p>
    <w:tbl>
      <w:tblPr>
        <w:tblW w:type="auto" w:w="0"/>
        <w:jc w:val="center"/>
        <w:tblLayout w:type="fixed"/>
        <w:tblLook w:firstColumn="1" w:firstRow="1" w:lastColumn="0" w:lastRow="0" w:noHBand="0" w:noVBand="1" w:val="04A0"/>
      </w:tblPr>
      <w:tblGrid>
        <w:gridCol w:w="4248"/>
        <w:gridCol w:w="5616"/>
      </w:tblGrid>
      <w:tr>
        <w:trPr>
          <w:cantSplit/>
          <w:tblHeader/>
        </w:trPr>
        <w:tc>
          <w:tcPr>
            <w:tcW w:type="dxa" w:w="4248"/>
            <w:vAlign w:val="center"/>
            <w:tcMar>
              <w:top w:w="80" w:type="dxa"/>
              <w:bottom w:w="80" w:type="dxa"/>
              <w:left w:w="100" w:type="dxa"/>
              <w:right w:w="100" w:type="dxa"/>
            </w:tcMar>
            <w:shd w:fill="163247"/>
          </w:tcPr>
          <w:p>
            <w:pPr>
              <w:spacing w:after="0" w:before="0" w:line="264" w:lineRule="auto"/>
            </w:pPr>
            <w:r>
              <w:rPr>
                <w:b/>
                <w:i w:val="0"/>
                <w:color w:val="FFFFFF"/>
                <w:sz w:val="18"/>
              </w:rPr>
              <w:t>Existing path</w:t>
            </w:r>
          </w:p>
        </w:tc>
        <w:tc>
          <w:tcPr>
            <w:tcW w:type="dxa" w:w="5616"/>
            <w:vAlign w:val="center"/>
            <w:tcMar>
              <w:top w:w="80" w:type="dxa"/>
              <w:bottom w:w="80" w:type="dxa"/>
              <w:left w:w="100" w:type="dxa"/>
              <w:right w:w="100" w:type="dxa"/>
            </w:tcMar>
            <w:shd w:fill="163247"/>
          </w:tcPr>
          <w:p>
            <w:pPr>
              <w:spacing w:after="0" w:before="0" w:line="264" w:lineRule="auto"/>
            </w:pPr>
            <w:r>
              <w:rPr>
                <w:b/>
                <w:i w:val="0"/>
                <w:color w:val="FFFFFF"/>
                <w:sz w:val="18"/>
              </w:rPr>
              <w:t>Verified integration surface</w:t>
            </w:r>
          </w:p>
        </w:tc>
      </w:tr>
      <w:tr>
        <w:trPr>
          <w:cantSplit/>
        </w:trPr>
        <w:tc>
          <w:tcPr>
            <w:tcW w:type="dxa" w:w="4248"/>
            <w:vAlign w:val="center"/>
            <w:tcMar>
              <w:top w:w="80" w:type="dxa"/>
              <w:bottom w:w="80" w:type="dxa"/>
              <w:left w:w="100" w:type="dxa"/>
              <w:right w:w="100" w:type="dxa"/>
            </w:tcMar>
            <w:shd w:fill="EEF4F7"/>
          </w:tcPr>
          <w:p>
            <w:pPr>
              <w:spacing w:after="0" w:before="0" w:line="264" w:lineRule="auto"/>
            </w:pPr>
            <w:r>
              <w:rPr>
                <w:rFonts w:ascii="DejaVu Sans Mono" w:hAnsi="DejaVu Sans Mono"/>
                <w:b w:val="0"/>
                <w:i w:val="0"/>
                <w:color w:val="163247"/>
                <w:sz w:val="16"/>
              </w:rPr>
              <w:t>package.json</w:t>
            </w:r>
          </w:p>
        </w:tc>
        <w:tc>
          <w:tcPr>
            <w:tcW w:type="dxa" w:w="5616"/>
            <w:vAlign w:val="center"/>
            <w:tcMar>
              <w:top w:w="80" w:type="dxa"/>
              <w:bottom w:w="80" w:type="dxa"/>
              <w:left w:w="100" w:type="dxa"/>
              <w:right w:w="100" w:type="dxa"/>
            </w:tcMar>
            <w:shd w:fill="EEF4F7"/>
          </w:tcPr>
          <w:p>
            <w:pPr>
              <w:spacing w:after="0" w:before="0" w:line="264" w:lineRule="auto"/>
            </w:pPr>
            <w:r>
              <w:rPr>
                <w:b w:val="0"/>
                <w:i w:val="0"/>
                <w:sz w:val="18"/>
              </w:rPr>
              <w:t>Next.js 16.1.6, React 19.2.3, Leaflet 1.9.4, TypeScript, and build/lint scripts. [R02]</w:t>
            </w:r>
          </w:p>
        </w:tc>
      </w:tr>
      <w:tr>
        <w:trPr>
          <w:cantSplit/>
        </w:trPr>
        <w:tc>
          <w:tcPr>
            <w:tcW w:type="dxa" w:w="4248"/>
            <w:vAlign w:val="center"/>
            <w:tcMar>
              <w:top w:w="80" w:type="dxa"/>
              <w:bottom w:w="80" w:type="dxa"/>
              <w:left w:w="100" w:type="dxa"/>
              <w:right w:w="100" w:type="dxa"/>
            </w:tcMar>
          </w:tcPr>
          <w:p>
            <w:pPr>
              <w:spacing w:after="0" w:before="0" w:line="264" w:lineRule="auto"/>
            </w:pPr>
            <w:r>
              <w:rPr>
                <w:rFonts w:ascii="DejaVu Sans Mono" w:hAnsi="DejaVu Sans Mono"/>
                <w:b w:val="0"/>
                <w:i w:val="0"/>
                <w:color w:val="163247"/>
                <w:sz w:val="16"/>
              </w:rPr>
              <w:t>backend/go.mod</w:t>
            </w:r>
          </w:p>
        </w:tc>
        <w:tc>
          <w:tcPr>
            <w:tcW w:type="dxa" w:w="5616"/>
            <w:vAlign w:val="center"/>
            <w:tcMar>
              <w:top w:w="80" w:type="dxa"/>
              <w:bottom w:w="80" w:type="dxa"/>
              <w:left w:w="100" w:type="dxa"/>
              <w:right w:w="100" w:type="dxa"/>
            </w:tcMar>
          </w:tcPr>
          <w:p>
            <w:pPr>
              <w:spacing w:after="0" w:before="0" w:line="264" w:lineRule="auto"/>
            </w:pPr>
            <w:r>
              <w:rPr>
                <w:b w:val="0"/>
                <w:i w:val="0"/>
                <w:sz w:val="18"/>
              </w:rPr>
              <w:t>Go 1.25; modernc SQLite driver and Goose migration dependency. [R03]</w:t>
            </w:r>
          </w:p>
        </w:tc>
      </w:tr>
      <w:tr>
        <w:trPr>
          <w:cantSplit/>
        </w:trPr>
        <w:tc>
          <w:tcPr>
            <w:tcW w:type="dxa" w:w="4248"/>
            <w:vAlign w:val="center"/>
            <w:tcMar>
              <w:top w:w="80" w:type="dxa"/>
              <w:bottom w:w="80" w:type="dxa"/>
              <w:left w:w="100" w:type="dxa"/>
              <w:right w:w="100" w:type="dxa"/>
            </w:tcMar>
            <w:shd w:fill="EEF4F7"/>
          </w:tcPr>
          <w:p>
            <w:pPr>
              <w:spacing w:after="0" w:before="0" w:line="264" w:lineRule="auto"/>
            </w:pPr>
            <w:r>
              <w:rPr>
                <w:rFonts w:ascii="DejaVu Sans Mono" w:hAnsi="DejaVu Sans Mono"/>
                <w:b w:val="0"/>
                <w:i w:val="0"/>
                <w:color w:val="163247"/>
                <w:sz w:val="16"/>
              </w:rPr>
              <w:t>backend/main.go</w:t>
            </w:r>
          </w:p>
        </w:tc>
        <w:tc>
          <w:tcPr>
            <w:tcW w:type="dxa" w:w="5616"/>
            <w:vAlign w:val="center"/>
            <w:tcMar>
              <w:top w:w="80" w:type="dxa"/>
              <w:bottom w:w="80" w:type="dxa"/>
              <w:left w:w="100" w:type="dxa"/>
              <w:right w:w="100" w:type="dxa"/>
            </w:tcMar>
            <w:shd w:fill="EEF4F7"/>
          </w:tcPr>
          <w:p>
            <w:pPr>
              <w:spacing w:after="0" w:before="0" w:line="264" w:lineRule="auto"/>
            </w:pPr>
            <w:r>
              <w:rPr>
                <w:b w:val="0"/>
                <w:i w:val="0"/>
                <w:sz w:val="18"/>
              </w:rPr>
              <w:t>Service construction, protected routes, auth integration, and background services. [R04]</w:t>
            </w:r>
          </w:p>
        </w:tc>
      </w:tr>
      <w:tr>
        <w:trPr>
          <w:cantSplit/>
        </w:trPr>
        <w:tc>
          <w:tcPr>
            <w:tcW w:type="dxa" w:w="4248"/>
            <w:vAlign w:val="center"/>
            <w:tcMar>
              <w:top w:w="80" w:type="dxa"/>
              <w:bottom w:w="80" w:type="dxa"/>
              <w:left w:w="100" w:type="dxa"/>
              <w:right w:w="100" w:type="dxa"/>
            </w:tcMar>
          </w:tcPr>
          <w:p>
            <w:pPr>
              <w:spacing w:after="0" w:before="0" w:line="264" w:lineRule="auto"/>
            </w:pPr>
            <w:r>
              <w:rPr>
                <w:rFonts w:ascii="DejaVu Sans Mono" w:hAnsi="DejaVu Sans Mono"/>
                <w:b w:val="0"/>
                <w:i w:val="0"/>
                <w:color w:val="163247"/>
                <w:sz w:val="16"/>
              </w:rPr>
              <w:t>backend/handlers.go</w:t>
            </w:r>
          </w:p>
        </w:tc>
        <w:tc>
          <w:tcPr>
            <w:tcW w:type="dxa" w:w="5616"/>
            <w:vAlign w:val="center"/>
            <w:tcMar>
              <w:top w:w="80" w:type="dxa"/>
              <w:bottom w:w="80" w:type="dxa"/>
              <w:left w:w="100" w:type="dxa"/>
              <w:right w:w="100" w:type="dxa"/>
            </w:tcMar>
          </w:tcPr>
          <w:p>
            <w:pPr>
              <w:spacing w:after="0" w:before="0" w:line="264" w:lineRule="auto"/>
            </w:pPr>
            <w:r>
              <w:rPr>
                <w:b w:val="0"/>
                <w:i w:val="0"/>
                <w:sz w:val="18"/>
              </w:rPr>
              <w:t>Date/GPS query parsing, preview proxy, suggestion handler, and immediate location write with stack expansion. [R05]</w:t>
            </w:r>
          </w:p>
        </w:tc>
      </w:tr>
      <w:tr>
        <w:trPr>
          <w:cantSplit/>
        </w:trPr>
        <w:tc>
          <w:tcPr>
            <w:tcW w:type="dxa" w:w="4248"/>
            <w:vAlign w:val="center"/>
            <w:tcMar>
              <w:top w:w="80" w:type="dxa"/>
              <w:bottom w:w="80" w:type="dxa"/>
              <w:left w:w="100" w:type="dxa"/>
              <w:right w:w="100" w:type="dxa"/>
            </w:tcMar>
            <w:shd w:fill="EEF4F7"/>
          </w:tcPr>
          <w:p>
            <w:pPr>
              <w:spacing w:after="0" w:before="0" w:line="264" w:lineRule="auto"/>
            </w:pPr>
            <w:r>
              <w:rPr>
                <w:rFonts w:ascii="DejaVu Sans Mono" w:hAnsi="DejaVu Sans Mono"/>
                <w:b w:val="0"/>
                <w:i w:val="0"/>
                <w:color w:val="163247"/>
                <w:sz w:val="16"/>
              </w:rPr>
              <w:t>backend/database.go</w:t>
            </w:r>
          </w:p>
        </w:tc>
        <w:tc>
          <w:tcPr>
            <w:tcW w:type="dxa" w:w="5616"/>
            <w:vAlign w:val="center"/>
            <w:tcMar>
              <w:top w:w="80" w:type="dxa"/>
              <w:bottom w:w="80" w:type="dxa"/>
              <w:left w:w="100" w:type="dxa"/>
              <w:right w:w="100" w:type="dxa"/>
            </w:tcMar>
            <w:shd w:fill="EEF4F7"/>
          </w:tcPr>
          <w:p>
            <w:pPr>
              <w:spacing w:after="0" w:before="0" w:line="264" w:lineRule="auto"/>
            </w:pPr>
            <w:r>
              <w:rPr>
                <w:b w:val="0"/>
                <w:i w:val="0"/>
                <w:sz w:val="18"/>
              </w:rPr>
              <w:t>Tenant-scoped assets, existing filter SQL, SQLite WAL, and local synchronized metadata. Description is absent from the inspected asset-column projection. [R06]</w:t>
            </w:r>
          </w:p>
        </w:tc>
      </w:tr>
      <w:tr>
        <w:trPr>
          <w:cantSplit/>
        </w:trPr>
        <w:tc>
          <w:tcPr>
            <w:tcW w:type="dxa" w:w="4248"/>
            <w:vAlign w:val="center"/>
            <w:tcMar>
              <w:top w:w="80" w:type="dxa"/>
              <w:bottom w:w="80" w:type="dxa"/>
              <w:left w:w="100" w:type="dxa"/>
              <w:right w:w="100" w:type="dxa"/>
            </w:tcMar>
          </w:tcPr>
          <w:p>
            <w:pPr>
              <w:spacing w:after="0" w:before="0" w:line="264" w:lineRule="auto"/>
            </w:pPr>
            <w:r>
              <w:rPr>
                <w:rFonts w:ascii="DejaVu Sans Mono" w:hAnsi="DejaVu Sans Mono"/>
                <w:b w:val="0"/>
                <w:i w:val="0"/>
                <w:color w:val="163247"/>
                <w:sz w:val="16"/>
              </w:rPr>
              <w:t>backend/migrations.go</w:t>
            </w:r>
          </w:p>
        </w:tc>
        <w:tc>
          <w:tcPr>
            <w:tcW w:type="dxa" w:w="5616"/>
            <w:vAlign w:val="center"/>
            <w:tcMar>
              <w:top w:w="80" w:type="dxa"/>
              <w:bottom w:w="80" w:type="dxa"/>
              <w:left w:w="100" w:type="dxa"/>
              <w:right w:w="100" w:type="dxa"/>
            </w:tcMar>
          </w:tcPr>
          <w:p>
            <w:pPr>
              <w:spacing w:after="0" w:before="0" w:line="264" w:lineRule="auto"/>
            </w:pPr>
            <w:r>
              <w:rPr>
                <w:b w:val="0"/>
                <w:i w:val="0"/>
                <w:sz w:val="18"/>
              </w:rPr>
              <w:t xml:space="preserve">Embedded SQL migrations under </w:t>
            </w:r>
            <w:r>
              <w:rPr>
                <w:rFonts w:ascii="DejaVu Sans Mono" w:hAnsi="DejaVu Sans Mono"/>
                <w:b w:val="0"/>
                <w:i w:val="0"/>
                <w:color w:val="163247"/>
                <w:sz w:val="16"/>
              </w:rPr>
              <w:t>backend/migrations/</w:t>
            </w:r>
            <w:r>
              <w:rPr>
                <w:b w:val="0"/>
                <w:i w:val="0"/>
                <w:sz w:val="18"/>
              </w:rPr>
              <w:t xml:space="preserve"> using Goose. [R07]</w:t>
            </w:r>
          </w:p>
        </w:tc>
      </w:tr>
      <w:tr>
        <w:trPr>
          <w:cantSplit/>
        </w:trPr>
        <w:tc>
          <w:tcPr>
            <w:tcW w:type="dxa" w:w="4248"/>
            <w:vAlign w:val="center"/>
            <w:tcMar>
              <w:top w:w="80" w:type="dxa"/>
              <w:bottom w:w="80" w:type="dxa"/>
              <w:left w:w="100" w:type="dxa"/>
              <w:right w:w="100" w:type="dxa"/>
            </w:tcMar>
            <w:shd w:fill="EEF4F7"/>
          </w:tcPr>
          <w:p>
            <w:pPr>
              <w:spacing w:after="0" w:before="0" w:line="264" w:lineRule="auto"/>
            </w:pPr>
            <w:r>
              <w:rPr>
                <w:rFonts w:ascii="DejaVu Sans Mono" w:hAnsi="DejaVu Sans Mono"/>
                <w:b w:val="0"/>
                <w:i w:val="0"/>
                <w:color w:val="163247"/>
                <w:sz w:val="16"/>
              </w:rPr>
              <w:t>backend/crypto.go</w:t>
            </w:r>
          </w:p>
        </w:tc>
        <w:tc>
          <w:tcPr>
            <w:tcW w:type="dxa" w:w="5616"/>
            <w:vAlign w:val="center"/>
            <w:tcMar>
              <w:top w:w="80" w:type="dxa"/>
              <w:bottom w:w="80" w:type="dxa"/>
              <w:left w:w="100" w:type="dxa"/>
              <w:right w:w="100" w:type="dxa"/>
            </w:tcMar>
            <w:shd w:fill="EEF4F7"/>
          </w:tcPr>
          <w:p>
            <w:pPr>
              <w:spacing w:after="0" w:before="0" w:line="264" w:lineRule="auto"/>
            </w:pPr>
            <w:r>
              <w:rPr>
                <w:b w:val="0"/>
                <w:i w:val="0"/>
                <w:sz w:val="18"/>
              </w:rPr>
              <w:t>AES-GCM encryption helpers with a legacy plaintext-compatible read path. [R08]</w:t>
            </w:r>
          </w:p>
        </w:tc>
      </w:tr>
      <w:tr>
        <w:trPr>
          <w:cantSplit/>
        </w:trPr>
        <w:tc>
          <w:tcPr>
            <w:tcW w:type="dxa" w:w="4248"/>
            <w:vAlign w:val="center"/>
            <w:tcMar>
              <w:top w:w="80" w:type="dxa"/>
              <w:bottom w:w="80" w:type="dxa"/>
              <w:left w:w="100" w:type="dxa"/>
              <w:right w:w="100" w:type="dxa"/>
            </w:tcMar>
          </w:tcPr>
          <w:p>
            <w:pPr>
              <w:spacing w:after="0" w:before="0" w:line="264" w:lineRule="auto"/>
            </w:pPr>
            <w:r>
              <w:rPr>
                <w:rFonts w:ascii="DejaVu Sans Mono" w:hAnsi="DejaVu Sans Mono"/>
                <w:b w:val="0"/>
                <w:i w:val="0"/>
                <w:color w:val="163247"/>
                <w:sz w:val="16"/>
              </w:rPr>
              <w:t>src/app/page.tsx</w:t>
            </w:r>
            <w:r>
              <w:rPr>
                <w:b w:val="0"/>
                <w:i w:val="0"/>
                <w:sz w:val="18"/>
              </w:rPr>
              <w:t xml:space="preserve"> and </w:t>
            </w:r>
            <w:r>
              <w:rPr>
                <w:rFonts w:ascii="DejaVu Sans Mono" w:hAnsi="DejaVu Sans Mono"/>
                <w:b w:val="0"/>
                <w:i w:val="0"/>
                <w:color w:val="163247"/>
                <w:sz w:val="16"/>
              </w:rPr>
              <w:t>src/shared/context/AppContext.tsx</w:t>
            </w:r>
          </w:p>
        </w:tc>
        <w:tc>
          <w:tcPr>
            <w:tcW w:type="dxa" w:w="5616"/>
            <w:vAlign w:val="center"/>
            <w:tcMar>
              <w:top w:w="80" w:type="dxa"/>
              <w:bottom w:w="80" w:type="dxa"/>
              <w:left w:w="100" w:type="dxa"/>
              <w:right w:w="100" w:type="dxa"/>
            </w:tcMar>
          </w:tcPr>
          <w:p>
            <w:pPr>
              <w:spacing w:after="0" w:before="0" w:line="264" w:lineRule="auto"/>
            </w:pPr>
            <w:r>
              <w:rPr>
                <w:b w:val="0"/>
                <w:i w:val="0"/>
                <w:sz w:val="18"/>
              </w:rPr>
              <w:t>Existing shell, catalog, map, selection, and view-context composition. [R09, R10]</w:t>
            </w:r>
          </w:p>
        </w:tc>
      </w:tr>
      <w:tr>
        <w:trPr>
          <w:cantSplit/>
        </w:trPr>
        <w:tc>
          <w:tcPr>
            <w:tcW w:type="dxa" w:w="4248"/>
            <w:vAlign w:val="center"/>
            <w:tcMar>
              <w:top w:w="80" w:type="dxa"/>
              <w:bottom w:w="80" w:type="dxa"/>
              <w:left w:w="100" w:type="dxa"/>
              <w:right w:w="100" w:type="dxa"/>
            </w:tcMar>
            <w:shd w:fill="EEF4F7"/>
          </w:tcPr>
          <w:p>
            <w:pPr>
              <w:spacing w:after="0" w:before="0" w:line="264" w:lineRule="auto"/>
            </w:pPr>
            <w:r>
              <w:rPr>
                <w:rFonts w:ascii="DejaVu Sans Mono" w:hAnsi="DejaVu Sans Mono"/>
                <w:b w:val="0"/>
                <w:i w:val="0"/>
                <w:color w:val="163247"/>
                <w:sz w:val="16"/>
              </w:rPr>
              <w:t>src/shared/context/useAppProviderState.ts</w:t>
            </w:r>
          </w:p>
        </w:tc>
        <w:tc>
          <w:tcPr>
            <w:tcW w:type="dxa" w:w="5616"/>
            <w:vAlign w:val="center"/>
            <w:tcMar>
              <w:top w:w="80" w:type="dxa"/>
              <w:bottom w:w="80" w:type="dxa"/>
              <w:left w:w="100" w:type="dxa"/>
              <w:right w:w="100" w:type="dxa"/>
            </w:tcMar>
            <w:shd w:fill="EEF4F7"/>
          </w:tcPr>
          <w:p>
            <w:pPr>
              <w:spacing w:after="0" w:before="0" w:line="264" w:lineRule="auto"/>
            </w:pPr>
            <w:r>
              <w:rPr>
                <w:b w:val="0"/>
                <w:i w:val="0"/>
                <w:sz w:val="18"/>
              </w:rPr>
              <w:t>Selection, suggestions, save callbacks, and map refresh orchestration. [R11]</w:t>
            </w:r>
          </w:p>
        </w:tc>
      </w:tr>
      <w:tr>
        <w:trPr>
          <w:cantSplit/>
        </w:trPr>
        <w:tc>
          <w:tcPr>
            <w:tcW w:type="dxa" w:w="4248"/>
            <w:vAlign w:val="center"/>
            <w:tcMar>
              <w:top w:w="80" w:type="dxa"/>
              <w:bottom w:w="80" w:type="dxa"/>
              <w:left w:w="100" w:type="dxa"/>
              <w:right w:w="100" w:type="dxa"/>
            </w:tcMar>
          </w:tcPr>
          <w:p>
            <w:pPr>
              <w:spacing w:after="0" w:before="0" w:line="264" w:lineRule="auto"/>
            </w:pPr>
            <w:r>
              <w:rPr>
                <w:rFonts w:ascii="DejaVu Sans Mono" w:hAnsi="DejaVu Sans Mono"/>
                <w:b w:val="0"/>
                <w:i w:val="0"/>
                <w:color w:val="163247"/>
                <w:sz w:val="16"/>
              </w:rPr>
              <w:t>src/shared/components/PhotoListContainer.tsx</w:t>
            </w:r>
          </w:p>
        </w:tc>
        <w:tc>
          <w:tcPr>
            <w:tcW w:type="dxa" w:w="5616"/>
            <w:vAlign w:val="center"/>
            <w:tcMar>
              <w:top w:w="80" w:type="dxa"/>
              <w:bottom w:w="80" w:type="dxa"/>
              <w:left w:w="100" w:type="dxa"/>
              <w:right w:w="100" w:type="dxa"/>
            </w:tcMar>
          </w:tcPr>
          <w:p>
            <w:pPr>
              <w:spacing w:after="0" w:before="0" w:line="264" w:lineRule="auto"/>
            </w:pPr>
            <w:r>
              <w:rPr>
                <w:b w:val="0"/>
                <w:i w:val="0"/>
                <w:sz w:val="18"/>
              </w:rPr>
              <w:t>Album/date controls, catalog selection, and GPX-related presentation. [R12]</w:t>
            </w:r>
          </w:p>
        </w:tc>
      </w:tr>
      <w:tr>
        <w:trPr>
          <w:cantSplit/>
        </w:trPr>
        <w:tc>
          <w:tcPr>
            <w:tcW w:type="dxa" w:w="4248"/>
            <w:vAlign w:val="center"/>
            <w:tcMar>
              <w:top w:w="80" w:type="dxa"/>
              <w:bottom w:w="80" w:type="dxa"/>
              <w:left w:w="100" w:type="dxa"/>
              <w:right w:w="100" w:type="dxa"/>
            </w:tcMar>
            <w:shd w:fill="EEF4F7"/>
          </w:tcPr>
          <w:p>
            <w:pPr>
              <w:spacing w:after="0" w:before="0" w:line="264" w:lineRule="auto"/>
            </w:pPr>
            <w:r>
              <w:rPr>
                <w:rFonts w:ascii="DejaVu Sans Mono" w:hAnsi="DejaVu Sans Mono"/>
                <w:b w:val="0"/>
                <w:i w:val="0"/>
                <w:color w:val="163247"/>
                <w:sz w:val="16"/>
              </w:rPr>
              <w:t>src/features/selection/useSelectionController.ts</w:t>
            </w:r>
            <w:r>
              <w:rPr>
                <w:b w:val="0"/>
                <w:i w:val="0"/>
                <w:sz w:val="18"/>
              </w:rPr>
              <w:t xml:space="preserve"> and </w:t>
            </w:r>
            <w:r>
              <w:rPr>
                <w:rFonts w:ascii="DejaVu Sans Mono" w:hAnsi="DejaVu Sans Mono"/>
                <w:b w:val="0"/>
                <w:i w:val="0"/>
                <w:color w:val="163247"/>
                <w:sz w:val="16"/>
              </w:rPr>
              <w:t>src/shared/types/map.ts</w:t>
            </w:r>
          </w:p>
        </w:tc>
        <w:tc>
          <w:tcPr>
            <w:tcW w:type="dxa" w:w="5616"/>
            <w:vAlign w:val="center"/>
            <w:tcMar>
              <w:top w:w="80" w:type="dxa"/>
              <w:bottom w:w="80" w:type="dxa"/>
              <w:left w:w="100" w:type="dxa"/>
              <w:right w:w="100" w:type="dxa"/>
            </w:tcMar>
            <w:shd w:fill="EEF4F7"/>
          </w:tcPr>
          <w:p>
            <w:pPr>
              <w:spacing w:after="0" w:before="0" w:line="264" w:lineRule="auto"/>
            </w:pPr>
            <w:r>
              <w:rPr>
                <w:b w:val="0"/>
                <w:i w:val="0"/>
                <w:sz w:val="18"/>
              </w:rPr>
              <w:t>Selection operations and coordinate-only pending-change types; add an AI source without overloading them with full analyses. [R13, R14]</w:t>
            </w:r>
          </w:p>
        </w:tc>
      </w:tr>
      <w:tr>
        <w:trPr>
          <w:cantSplit/>
        </w:trPr>
        <w:tc>
          <w:tcPr>
            <w:tcW w:type="dxa" w:w="4248"/>
            <w:vAlign w:val="center"/>
            <w:tcMar>
              <w:top w:w="80" w:type="dxa"/>
              <w:bottom w:w="80" w:type="dxa"/>
              <w:left w:w="100" w:type="dxa"/>
              <w:right w:w="100" w:type="dxa"/>
            </w:tcMar>
          </w:tcPr>
          <w:p>
            <w:pPr>
              <w:spacing w:after="0" w:before="0" w:line="264" w:lineRule="auto"/>
            </w:pPr>
            <w:r>
              <w:rPr>
                <w:rFonts w:ascii="DejaVu Sans Mono" w:hAnsi="DejaVu Sans Mono"/>
                <w:b w:val="0"/>
                <w:i w:val="0"/>
                <w:color w:val="163247"/>
                <w:sz w:val="16"/>
              </w:rPr>
              <w:t>docker-compose.yml</w:t>
            </w:r>
          </w:p>
        </w:tc>
        <w:tc>
          <w:tcPr>
            <w:tcW w:type="dxa" w:w="5616"/>
            <w:vAlign w:val="center"/>
            <w:tcMar>
              <w:top w:w="80" w:type="dxa"/>
              <w:bottom w:w="80" w:type="dxa"/>
              <w:left w:w="100" w:type="dxa"/>
              <w:right w:w="100" w:type="dxa"/>
            </w:tcMar>
          </w:tcPr>
          <w:p>
            <w:pPr>
              <w:spacing w:after="0" w:before="0" w:line="264" w:lineRule="auto"/>
            </w:pPr>
            <w:r>
              <w:rPr>
                <w:b w:val="0"/>
                <w:i w:val="0"/>
                <w:sz w:val="18"/>
              </w:rPr>
              <w:t xml:space="preserve">Separate frontend and backend services, with backend </w:t>
            </w:r>
            <w:r>
              <w:rPr>
                <w:rFonts w:ascii="DejaVu Sans Mono" w:hAnsi="DejaVu Sans Mono"/>
                <w:b w:val="0"/>
                <w:i w:val="0"/>
                <w:color w:val="163247"/>
                <w:sz w:val="16"/>
              </w:rPr>
              <w:t>/data</w:t>
            </w:r>
            <w:r>
              <w:rPr>
                <w:b w:val="0"/>
                <w:i w:val="0"/>
                <w:sz w:val="18"/>
              </w:rPr>
              <w:t xml:space="preserve"> persistence. [R15]</w:t>
            </w:r>
          </w:p>
        </w:tc>
      </w:tr>
    </w:tbl>
    <w:p>
      <w:pPr>
        <w:spacing w:after="20" w:before="0" w:line="60" w:lineRule="auto"/>
      </w:pPr>
    </w:p>
    <w:p>
      <w:pPr/>
      <w:r>
        <w:rPr>
          <w:b w:val="0"/>
          <w:i w:val="0"/>
        </w:rPr>
        <w:t>Important distinctions: the existing pending-change user experience is reusable, but it is not an established durable AI draft API. Add server-side AI draft persistence. Never call the existing location handler from an “Accept proposal” action. Do not assume that invoking it for one ID affects only that ID. [R05]</w:t>
      </w:r>
    </w:p>
    <w:p>
      <w:pPr>
        <w:pStyle w:val="Heading1"/>
      </w:pPr>
      <w:r>
        <w:rPr>
          <w:b w:val="0"/>
          <w:i w:val="0"/>
        </w:rPr>
        <w:t>3. Proposed module boundaries</w:t>
      </w:r>
    </w:p>
    <w:p>
      <w:pPr/>
      <w:r>
        <w:rPr>
          <w:b w:val="0"/>
          <w:i w:val="0"/>
        </w:rPr>
        <w:t xml:space="preserve">Follow the current flat Go </w:t>
      </w:r>
      <w:r>
        <w:rPr>
          <w:rFonts w:ascii="DejaVu Sans Mono" w:hAnsi="DejaVu Sans Mono"/>
          <w:b w:val="0"/>
          <w:i w:val="0"/>
          <w:color w:val="163247"/>
          <w:sz w:val="17"/>
        </w:rPr>
        <w:t>package main</w:t>
      </w:r>
      <w:r>
        <w:rPr>
          <w:b w:val="0"/>
          <w:i w:val="0"/>
        </w:rPr>
        <w:t xml:space="preserve"> convention for the first change set, using narrowly scoped interfaces so extraction remains possible. Do not restructure the whole backend to accommodate AI.</w:t>
      </w:r>
    </w:p>
    <w:tbl>
      <w:tblPr>
        <w:tblW w:type="auto" w:w="0"/>
        <w:jc w:val="center"/>
        <w:tblLayout w:type="fixed"/>
        <w:tblLook w:firstColumn="1" w:firstRow="1" w:lastColumn="0" w:lastRow="0" w:noHBand="0" w:noVBand="1" w:val="04A0"/>
      </w:tblPr>
      <w:tblGrid>
        <w:gridCol w:w="4248"/>
        <w:gridCol w:w="5616"/>
      </w:tblGrid>
      <w:tr>
        <w:trPr>
          <w:cantSplit/>
          <w:tblHeader/>
        </w:trPr>
        <w:tc>
          <w:tcPr>
            <w:tcW w:type="dxa" w:w="4248"/>
            <w:vAlign w:val="center"/>
            <w:tcMar>
              <w:top w:w="80" w:type="dxa"/>
              <w:bottom w:w="80" w:type="dxa"/>
              <w:left w:w="100" w:type="dxa"/>
              <w:right w:w="100" w:type="dxa"/>
            </w:tcMar>
            <w:shd w:fill="163247"/>
          </w:tcPr>
          <w:p>
            <w:pPr>
              <w:spacing w:after="0" w:before="0" w:line="264" w:lineRule="auto"/>
            </w:pPr>
            <w:r>
              <w:rPr>
                <w:b/>
                <w:i w:val="0"/>
                <w:color w:val="FFFFFF"/>
                <w:sz w:val="18"/>
              </w:rPr>
              <w:t>Proposed backend area</w:t>
            </w:r>
          </w:p>
        </w:tc>
        <w:tc>
          <w:tcPr>
            <w:tcW w:type="dxa" w:w="5616"/>
            <w:vAlign w:val="center"/>
            <w:tcMar>
              <w:top w:w="80" w:type="dxa"/>
              <w:bottom w:w="80" w:type="dxa"/>
              <w:left w:w="100" w:type="dxa"/>
              <w:right w:w="100" w:type="dxa"/>
            </w:tcMar>
            <w:shd w:fill="163247"/>
          </w:tcPr>
          <w:p>
            <w:pPr>
              <w:spacing w:after="0" w:before="0" w:line="264" w:lineRule="auto"/>
            </w:pPr>
            <w:r>
              <w:rPr>
                <w:b/>
                <w:i w:val="0"/>
                <w:color w:val="FFFFFF"/>
                <w:sz w:val="18"/>
              </w:rPr>
              <w:t>Responsibility</w:t>
            </w:r>
          </w:p>
        </w:tc>
      </w:tr>
      <w:tr>
        <w:trPr>
          <w:cantSplit/>
        </w:trPr>
        <w:tc>
          <w:tcPr>
            <w:tcW w:type="dxa" w:w="4248"/>
            <w:vAlign w:val="center"/>
            <w:tcMar>
              <w:top w:w="80" w:type="dxa"/>
              <w:bottom w:w="80" w:type="dxa"/>
              <w:left w:w="100" w:type="dxa"/>
              <w:right w:w="100" w:type="dxa"/>
            </w:tcMar>
            <w:shd w:fill="EEF4F7"/>
          </w:tcPr>
          <w:p>
            <w:pPr>
              <w:spacing w:after="0" w:before="0" w:line="264" w:lineRule="auto"/>
            </w:pPr>
            <w:r>
              <w:rPr>
                <w:rFonts w:ascii="DejaVu Sans Mono" w:hAnsi="DejaVu Sans Mono"/>
                <w:b w:val="0"/>
                <w:i w:val="0"/>
                <w:color w:val="163247"/>
                <w:sz w:val="16"/>
              </w:rPr>
              <w:t>ai_handlers.go</w:t>
            </w:r>
          </w:p>
        </w:tc>
        <w:tc>
          <w:tcPr>
            <w:tcW w:type="dxa" w:w="5616"/>
            <w:vAlign w:val="center"/>
            <w:tcMar>
              <w:top w:w="80" w:type="dxa"/>
              <w:bottom w:w="80" w:type="dxa"/>
              <w:left w:w="100" w:type="dxa"/>
              <w:right w:w="100" w:type="dxa"/>
            </w:tcMar>
            <w:shd w:fill="EEF4F7"/>
          </w:tcPr>
          <w:p>
            <w:pPr>
              <w:spacing w:after="0" w:before="0" w:line="264" w:lineRule="auto"/>
            </w:pPr>
            <w:r>
              <w:rPr>
                <w:b w:val="0"/>
                <w:i w:val="0"/>
                <w:sz w:val="18"/>
              </w:rPr>
              <w:t>Authenticated provider/job/result/draft/write HTTP contracts.</w:t>
            </w:r>
          </w:p>
        </w:tc>
      </w:tr>
      <w:tr>
        <w:trPr>
          <w:cantSplit/>
        </w:trPr>
        <w:tc>
          <w:tcPr>
            <w:tcW w:type="dxa" w:w="4248"/>
            <w:vAlign w:val="center"/>
            <w:tcMar>
              <w:top w:w="80" w:type="dxa"/>
              <w:bottom w:w="80" w:type="dxa"/>
              <w:left w:w="100" w:type="dxa"/>
              <w:right w:w="100" w:type="dxa"/>
            </w:tcMar>
          </w:tcPr>
          <w:p>
            <w:pPr>
              <w:spacing w:after="0" w:before="0" w:line="264" w:lineRule="auto"/>
            </w:pPr>
            <w:r>
              <w:rPr>
                <w:rFonts w:ascii="DejaVu Sans Mono" w:hAnsi="DejaVu Sans Mono"/>
                <w:b w:val="0"/>
                <w:i w:val="0"/>
                <w:color w:val="163247"/>
                <w:sz w:val="16"/>
              </w:rPr>
              <w:t>ai_provider.go</w:t>
            </w:r>
          </w:p>
        </w:tc>
        <w:tc>
          <w:tcPr>
            <w:tcW w:type="dxa" w:w="5616"/>
            <w:vAlign w:val="center"/>
            <w:tcMar>
              <w:top w:w="80" w:type="dxa"/>
              <w:bottom w:w="80" w:type="dxa"/>
              <w:left w:w="100" w:type="dxa"/>
              <w:right w:w="100" w:type="dxa"/>
            </w:tcMar>
          </w:tcPr>
          <w:p>
            <w:pPr>
              <w:spacing w:after="0" w:before="0" w:line="264" w:lineRule="auto"/>
            </w:pPr>
            <w:r>
              <w:rPr>
                <w:b w:val="0"/>
                <w:i w:val="0"/>
                <w:sz w:val="18"/>
              </w:rPr>
              <w:t>Provider interface, capability records, transport options, typed errors.</w:t>
            </w:r>
          </w:p>
        </w:tc>
      </w:tr>
      <w:tr>
        <w:trPr>
          <w:cantSplit/>
        </w:trPr>
        <w:tc>
          <w:tcPr>
            <w:tcW w:type="dxa" w:w="4248"/>
            <w:vAlign w:val="center"/>
            <w:tcMar>
              <w:top w:w="80" w:type="dxa"/>
              <w:bottom w:w="80" w:type="dxa"/>
              <w:left w:w="100" w:type="dxa"/>
              <w:right w:w="100" w:type="dxa"/>
            </w:tcMar>
            <w:shd w:fill="EEF4F7"/>
          </w:tcPr>
          <w:p>
            <w:pPr>
              <w:spacing w:after="0" w:before="0" w:line="264" w:lineRule="auto"/>
            </w:pPr>
            <w:r>
              <w:rPr>
                <w:rFonts w:ascii="DejaVu Sans Mono" w:hAnsi="DejaVu Sans Mono"/>
                <w:b w:val="0"/>
                <w:i w:val="0"/>
                <w:color w:val="163247"/>
                <w:sz w:val="16"/>
              </w:rPr>
              <w:t>ai_openai.go</w:t>
            </w:r>
          </w:p>
        </w:tc>
        <w:tc>
          <w:tcPr>
            <w:tcW w:type="dxa" w:w="5616"/>
            <w:vAlign w:val="center"/>
            <w:tcMar>
              <w:top w:w="80" w:type="dxa"/>
              <w:bottom w:w="80" w:type="dxa"/>
              <w:left w:w="100" w:type="dxa"/>
              <w:right w:w="100" w:type="dxa"/>
            </w:tcMar>
            <w:shd w:fill="EEF4F7"/>
          </w:tcPr>
          <w:p>
            <w:pPr>
              <w:spacing w:after="0" w:before="0" w:line="264" w:lineRule="auto"/>
            </w:pPr>
            <w:r>
              <w:rPr>
                <w:b w:val="0"/>
                <w:i w:val="0"/>
                <w:sz w:val="18"/>
              </w:rPr>
              <w:t>Chat Completions vision adapter; no Immich credentials or writer access.</w:t>
            </w:r>
          </w:p>
        </w:tc>
      </w:tr>
      <w:tr>
        <w:trPr>
          <w:cantSplit/>
        </w:trPr>
        <w:tc>
          <w:tcPr>
            <w:tcW w:type="dxa" w:w="4248"/>
            <w:vAlign w:val="center"/>
            <w:tcMar>
              <w:top w:w="80" w:type="dxa"/>
              <w:bottom w:w="80" w:type="dxa"/>
              <w:left w:w="100" w:type="dxa"/>
              <w:right w:w="100" w:type="dxa"/>
            </w:tcMar>
          </w:tcPr>
          <w:p>
            <w:pPr>
              <w:spacing w:after="0" w:before="0" w:line="264" w:lineRule="auto"/>
            </w:pPr>
            <w:r>
              <w:rPr>
                <w:rFonts w:ascii="DejaVu Sans Mono" w:hAnsi="DejaVu Sans Mono"/>
                <w:b w:val="0"/>
                <w:i w:val="0"/>
                <w:color w:val="163247"/>
                <w:sz w:val="16"/>
              </w:rPr>
              <w:t>ai_service.go</w:t>
            </w:r>
            <w:r>
              <w:rPr>
                <w:b w:val="0"/>
                <w:i w:val="0"/>
                <w:sz w:val="18"/>
              </w:rPr>
              <w:t xml:space="preserve"> / </w:t>
            </w:r>
            <w:r>
              <w:rPr>
                <w:rFonts w:ascii="DejaVu Sans Mono" w:hAnsi="DejaVu Sans Mono"/>
                <w:b w:val="0"/>
                <w:i w:val="0"/>
                <w:color w:val="163247"/>
                <w:sz w:val="16"/>
              </w:rPr>
              <w:t>ai_context.go</w:t>
            </w:r>
          </w:p>
        </w:tc>
        <w:tc>
          <w:tcPr>
            <w:tcW w:type="dxa" w:w="5616"/>
            <w:vAlign w:val="center"/>
            <w:tcMar>
              <w:top w:w="80" w:type="dxa"/>
              <w:bottom w:w="80" w:type="dxa"/>
              <w:left w:w="100" w:type="dxa"/>
              <w:right w:w="100" w:type="dxa"/>
            </w:tcMar>
          </w:tcPr>
          <w:p>
            <w:pPr>
              <w:spacing w:after="0" w:before="0" w:line="264" w:lineRule="auto"/>
            </w:pPr>
            <w:r>
              <w:rPr>
                <w:b w:val="0"/>
                <w:i w:val="0"/>
                <w:sz w:val="18"/>
              </w:rPr>
              <w:t>Analysis orchestration, consent filtering, bounded context, evidence lineage.</w:t>
            </w:r>
          </w:p>
        </w:tc>
      </w:tr>
      <w:tr>
        <w:trPr>
          <w:cantSplit/>
        </w:trPr>
        <w:tc>
          <w:tcPr>
            <w:tcW w:type="dxa" w:w="4248"/>
            <w:vAlign w:val="center"/>
            <w:tcMar>
              <w:top w:w="80" w:type="dxa"/>
              <w:bottom w:w="80" w:type="dxa"/>
              <w:left w:w="100" w:type="dxa"/>
              <w:right w:w="100" w:type="dxa"/>
            </w:tcMar>
            <w:shd w:fill="EEF4F7"/>
          </w:tcPr>
          <w:p>
            <w:pPr>
              <w:spacing w:after="0" w:before="0" w:line="264" w:lineRule="auto"/>
            </w:pPr>
            <w:r>
              <w:rPr>
                <w:rFonts w:ascii="DejaVu Sans Mono" w:hAnsi="DejaVu Sans Mono"/>
                <w:b w:val="0"/>
                <w:i w:val="0"/>
                <w:color w:val="163247"/>
                <w:sz w:val="16"/>
              </w:rPr>
              <w:t>ai_worker.go</w:t>
            </w:r>
          </w:p>
        </w:tc>
        <w:tc>
          <w:tcPr>
            <w:tcW w:type="dxa" w:w="5616"/>
            <w:vAlign w:val="center"/>
            <w:tcMar>
              <w:top w:w="80" w:type="dxa"/>
              <w:bottom w:w="80" w:type="dxa"/>
              <w:left w:w="100" w:type="dxa"/>
              <w:right w:w="100" w:type="dxa"/>
            </w:tcMar>
            <w:shd w:fill="EEF4F7"/>
          </w:tcPr>
          <w:p>
            <w:pPr>
              <w:spacing w:after="0" w:before="0" w:line="264" w:lineRule="auto"/>
            </w:pPr>
            <w:r>
              <w:rPr>
                <w:b w:val="0"/>
                <w:i w:val="0"/>
                <w:sz w:val="18"/>
              </w:rPr>
              <w:t>Job claiming, leases, retries, cancellation, budgets, restart recovery.</w:t>
            </w:r>
          </w:p>
        </w:tc>
      </w:tr>
      <w:tr>
        <w:trPr>
          <w:cantSplit/>
        </w:trPr>
        <w:tc>
          <w:tcPr>
            <w:tcW w:type="dxa" w:w="4248"/>
            <w:vAlign w:val="center"/>
            <w:tcMar>
              <w:top w:w="80" w:type="dxa"/>
              <w:bottom w:w="80" w:type="dxa"/>
              <w:left w:w="100" w:type="dxa"/>
              <w:right w:w="100" w:type="dxa"/>
            </w:tcMar>
          </w:tcPr>
          <w:p>
            <w:pPr>
              <w:spacing w:after="0" w:before="0" w:line="264" w:lineRule="auto"/>
            </w:pPr>
            <w:r>
              <w:rPr>
                <w:rFonts w:ascii="DejaVu Sans Mono" w:hAnsi="DejaVu Sans Mono"/>
                <w:b w:val="0"/>
                <w:i w:val="0"/>
                <w:color w:val="163247"/>
                <w:sz w:val="16"/>
              </w:rPr>
              <w:t>ai_repository.go</w:t>
            </w:r>
          </w:p>
        </w:tc>
        <w:tc>
          <w:tcPr>
            <w:tcW w:type="dxa" w:w="5616"/>
            <w:vAlign w:val="center"/>
            <w:tcMar>
              <w:top w:w="80" w:type="dxa"/>
              <w:bottom w:w="80" w:type="dxa"/>
              <w:left w:w="100" w:type="dxa"/>
              <w:right w:w="100" w:type="dxa"/>
            </w:tcMar>
          </w:tcPr>
          <w:p>
            <w:pPr>
              <w:spacing w:after="0" w:before="0" w:line="264" w:lineRule="auto"/>
            </w:pPr>
            <w:r>
              <w:rPr>
                <w:b w:val="0"/>
                <w:i w:val="0"/>
                <w:sz w:val="18"/>
              </w:rPr>
              <w:t>Tenant-scoped SQL persistence and revision checks.</w:t>
            </w:r>
          </w:p>
        </w:tc>
      </w:tr>
      <w:tr>
        <w:trPr>
          <w:cantSplit/>
        </w:trPr>
        <w:tc>
          <w:tcPr>
            <w:tcW w:type="dxa" w:w="4248"/>
            <w:vAlign w:val="center"/>
            <w:tcMar>
              <w:top w:w="80" w:type="dxa"/>
              <w:bottom w:w="80" w:type="dxa"/>
              <w:left w:w="100" w:type="dxa"/>
              <w:right w:w="100" w:type="dxa"/>
            </w:tcMar>
            <w:shd w:fill="EEF4F7"/>
          </w:tcPr>
          <w:p>
            <w:pPr>
              <w:spacing w:after="0" w:before="0" w:line="264" w:lineRule="auto"/>
            </w:pPr>
            <w:r>
              <w:rPr>
                <w:rFonts w:ascii="DejaVu Sans Mono" w:hAnsi="DejaVu Sans Mono"/>
                <w:b w:val="0"/>
                <w:i w:val="0"/>
                <w:color w:val="163247"/>
                <w:sz w:val="16"/>
              </w:rPr>
              <w:t>ai_validation.go</w:t>
            </w:r>
            <w:r>
              <w:rPr>
                <w:b w:val="0"/>
                <w:i w:val="0"/>
                <w:sz w:val="18"/>
              </w:rPr>
              <w:t xml:space="preserve"> / </w:t>
            </w:r>
            <w:r>
              <w:rPr>
                <w:rFonts w:ascii="DejaVu Sans Mono" w:hAnsi="DejaVu Sans Mono"/>
                <w:b w:val="0"/>
                <w:i w:val="0"/>
                <w:color w:val="163247"/>
                <w:sz w:val="16"/>
              </w:rPr>
              <w:t>ai_types.go</w:t>
            </w:r>
          </w:p>
        </w:tc>
        <w:tc>
          <w:tcPr>
            <w:tcW w:type="dxa" w:w="5616"/>
            <w:vAlign w:val="center"/>
            <w:tcMar>
              <w:top w:w="80" w:type="dxa"/>
              <w:bottom w:w="80" w:type="dxa"/>
              <w:left w:w="100" w:type="dxa"/>
              <w:right w:w="100" w:type="dxa"/>
            </w:tcMar>
            <w:shd w:fill="EEF4F7"/>
          </w:tcPr>
          <w:p>
            <w:pPr>
              <w:spacing w:after="0" w:before="0" w:line="264" w:lineRule="auto"/>
            </w:pPr>
            <w:r>
              <w:rPr>
                <w:b w:val="0"/>
                <w:i w:val="0"/>
                <w:sz w:val="18"/>
              </w:rPr>
              <w:t>Contract validation, semantic rules, DTOs and canonical serialization.</w:t>
            </w:r>
          </w:p>
        </w:tc>
      </w:tr>
      <w:tr>
        <w:trPr>
          <w:cantSplit/>
        </w:trPr>
        <w:tc>
          <w:tcPr>
            <w:tcW w:type="dxa" w:w="4248"/>
            <w:vAlign w:val="center"/>
            <w:tcMar>
              <w:top w:w="80" w:type="dxa"/>
              <w:bottom w:w="80" w:type="dxa"/>
              <w:left w:w="100" w:type="dxa"/>
              <w:right w:w="100" w:type="dxa"/>
            </w:tcMar>
          </w:tcPr>
          <w:p>
            <w:pPr>
              <w:spacing w:after="0" w:before="0" w:line="264" w:lineRule="auto"/>
            </w:pPr>
            <w:r>
              <w:rPr>
                <w:rFonts w:ascii="DejaVu Sans Mono" w:hAnsi="DejaVu Sans Mono"/>
                <w:b w:val="0"/>
                <w:i w:val="0"/>
                <w:color w:val="163247"/>
                <w:sz w:val="16"/>
              </w:rPr>
              <w:t>ai_writeback.go</w:t>
            </w:r>
          </w:p>
        </w:tc>
        <w:tc>
          <w:tcPr>
            <w:tcW w:type="dxa" w:w="5616"/>
            <w:vAlign w:val="center"/>
            <w:tcMar>
              <w:top w:w="80" w:type="dxa"/>
              <w:bottom w:w="80" w:type="dxa"/>
              <w:left w:w="100" w:type="dxa"/>
              <w:right w:w="100" w:type="dxa"/>
            </w:tcMar>
          </w:tcPr>
          <w:p>
            <w:pPr>
              <w:spacing w:after="0" w:before="0" w:line="264" w:lineRule="auto"/>
            </w:pPr>
            <w:r>
              <w:rPr>
                <w:b w:val="0"/>
                <w:i w:val="0"/>
                <w:sz w:val="18"/>
              </w:rPr>
              <w:t>Confirmed exact-target operations, conflict detection, reconciliation, audit.</w:t>
            </w:r>
          </w:p>
        </w:tc>
      </w:tr>
      <w:tr>
        <w:trPr>
          <w:cantSplit/>
        </w:trPr>
        <w:tc>
          <w:tcPr>
            <w:tcW w:type="dxa" w:w="4248"/>
            <w:vAlign w:val="center"/>
            <w:tcMar>
              <w:top w:w="80" w:type="dxa"/>
              <w:bottom w:w="80" w:type="dxa"/>
              <w:left w:w="100" w:type="dxa"/>
              <w:right w:w="100" w:type="dxa"/>
            </w:tcMar>
            <w:shd w:fill="EEF4F7"/>
          </w:tcPr>
          <w:p>
            <w:pPr>
              <w:spacing w:after="0" w:before="0" w:line="264" w:lineRule="auto"/>
            </w:pPr>
            <w:r>
              <w:rPr>
                <w:rFonts w:ascii="DejaVu Sans Mono" w:hAnsi="DejaVu Sans Mono"/>
                <w:b w:val="0"/>
                <w:i w:val="0"/>
                <w:color w:val="163247"/>
                <w:sz w:val="16"/>
              </w:rPr>
              <w:t>ai_security.go</w:t>
            </w:r>
          </w:p>
        </w:tc>
        <w:tc>
          <w:tcPr>
            <w:tcW w:type="dxa" w:w="5616"/>
            <w:vAlign w:val="center"/>
            <w:tcMar>
              <w:top w:w="80" w:type="dxa"/>
              <w:bottom w:w="80" w:type="dxa"/>
              <w:left w:w="100" w:type="dxa"/>
              <w:right w:w="100" w:type="dxa"/>
            </w:tcMar>
            <w:shd w:fill="EEF4F7"/>
          </w:tcPr>
          <w:p>
            <w:pPr>
              <w:spacing w:after="0" w:before="0" w:line="264" w:lineRule="auto"/>
            </w:pPr>
            <w:r>
              <w:rPr>
                <w:b w:val="0"/>
                <w:i w:val="0"/>
                <w:sz w:val="18"/>
              </w:rPr>
              <w:t>Egress policy, image limits, redaction, endpoint validation.</w:t>
            </w:r>
          </w:p>
        </w:tc>
      </w:tr>
      <w:tr>
        <w:trPr>
          <w:cantSplit/>
        </w:trPr>
        <w:tc>
          <w:tcPr>
            <w:tcW w:type="dxa" w:w="4248"/>
            <w:vAlign w:val="center"/>
            <w:tcMar>
              <w:top w:w="80" w:type="dxa"/>
              <w:bottom w:w="80" w:type="dxa"/>
              <w:left w:w="100" w:type="dxa"/>
              <w:right w:w="100" w:type="dxa"/>
            </w:tcMar>
          </w:tcPr>
          <w:p>
            <w:pPr>
              <w:spacing w:after="0" w:before="0" w:line="264" w:lineRule="auto"/>
            </w:pPr>
            <w:r>
              <w:rPr>
                <w:rFonts w:ascii="DejaVu Sans Mono" w:hAnsi="DejaVu Sans Mono"/>
                <w:b w:val="0"/>
                <w:i w:val="0"/>
                <w:color w:val="163247"/>
                <w:sz w:val="16"/>
              </w:rPr>
              <w:t>migrations/&lt;next&gt;_ai_*.sql</w:t>
            </w:r>
          </w:p>
        </w:tc>
        <w:tc>
          <w:tcPr>
            <w:tcW w:type="dxa" w:w="5616"/>
            <w:vAlign w:val="center"/>
            <w:tcMar>
              <w:top w:w="80" w:type="dxa"/>
              <w:bottom w:w="80" w:type="dxa"/>
              <w:left w:w="100" w:type="dxa"/>
              <w:right w:w="100" w:type="dxa"/>
            </w:tcMar>
          </w:tcPr>
          <w:p>
            <w:pPr>
              <w:spacing w:after="0" w:before="0" w:line="264" w:lineRule="auto"/>
            </w:pPr>
            <w:r>
              <w:rPr>
                <w:b w:val="0"/>
                <w:i w:val="0"/>
                <w:sz w:val="18"/>
              </w:rPr>
              <w:t>Additive migrations; determine the next identifier from the real checkout.</w:t>
            </w:r>
          </w:p>
        </w:tc>
      </w:tr>
    </w:tbl>
    <w:p>
      <w:pPr>
        <w:spacing w:after="20" w:before="0" w:line="60" w:lineRule="auto"/>
      </w:pPr>
    </w:p>
    <w:p>
      <w:pPr/>
      <w:r>
        <w:rPr>
          <w:b w:val="0"/>
          <w:i w:val="0"/>
        </w:rPr>
        <w:t xml:space="preserve">Frontend additions belong under </w:t>
      </w:r>
      <w:r>
        <w:rPr>
          <w:rFonts w:ascii="DejaVu Sans Mono" w:hAnsi="DejaVu Sans Mono"/>
          <w:b w:val="0"/>
          <w:i w:val="0"/>
          <w:color w:val="163247"/>
          <w:sz w:val="17"/>
        </w:rPr>
        <w:t>src/features/ai/</w:t>
      </w:r>
      <w:r>
        <w:rPr>
          <w:b w:val="0"/>
          <w:i w:val="0"/>
        </w:rPr>
        <w:t>: provider settings, launch dialog, progress panel, result browser, review panel, map overlays, and an API client. Extend existing selection/context types only with the minimum integration references. Keep full analysis history and server draft state inside the AI feature boundary.</w:t>
      </w:r>
    </w:p>
    <w:p>
      <w:pPr/>
      <w:r>
        <w:rPr>
          <w:b w:val="0"/>
          <w:i w:val="0"/>
        </w:rPr>
        <w:t xml:space="preserve">Suggested internal interfaces are </w:t>
      </w:r>
      <w:r>
        <w:rPr>
          <w:rFonts w:ascii="DejaVu Sans Mono" w:hAnsi="DejaVu Sans Mono"/>
          <w:b w:val="0"/>
          <w:i w:val="0"/>
          <w:color w:val="163247"/>
          <w:sz w:val="17"/>
        </w:rPr>
        <w:t>VisionProvider</w:t>
      </w:r>
      <w:r>
        <w:rPr>
          <w:b w:val="0"/>
          <w:i w:val="0"/>
        </w:rPr>
        <w:t xml:space="preserve">, </w:t>
      </w:r>
      <w:r>
        <w:rPr>
          <w:rFonts w:ascii="DejaVu Sans Mono" w:hAnsi="DejaVu Sans Mono"/>
          <w:b w:val="0"/>
          <w:i w:val="0"/>
          <w:color w:val="163247"/>
          <w:sz w:val="17"/>
        </w:rPr>
        <w:t>AIStore</w:t>
      </w:r>
      <w:r>
        <w:rPr>
          <w:b w:val="0"/>
          <w:i w:val="0"/>
        </w:rPr>
        <w:t xml:space="preserve">, </w:t>
      </w:r>
      <w:r>
        <w:rPr>
          <w:rFonts w:ascii="DejaVu Sans Mono" w:hAnsi="DejaVu Sans Mono"/>
          <w:b w:val="0"/>
          <w:i w:val="0"/>
          <w:color w:val="163247"/>
          <w:sz w:val="17"/>
        </w:rPr>
        <w:t>AssetReader</w:t>
      </w:r>
      <w:r>
        <w:rPr>
          <w:b w:val="0"/>
          <w:i w:val="0"/>
        </w:rPr>
        <w:t xml:space="preserve">, </w:t>
      </w:r>
      <w:r>
        <w:rPr>
          <w:rFonts w:ascii="DejaVu Sans Mono" w:hAnsi="DejaVu Sans Mono"/>
          <w:b w:val="0"/>
          <w:i w:val="0"/>
          <w:color w:val="163247"/>
          <w:sz w:val="17"/>
        </w:rPr>
        <w:t>ContextSource</w:t>
      </w:r>
      <w:r>
        <w:rPr>
          <w:b w:val="0"/>
          <w:i w:val="0"/>
        </w:rPr>
        <w:t xml:space="preserve">, </w:t>
      </w:r>
      <w:r>
        <w:rPr>
          <w:rFonts w:ascii="DejaVu Sans Mono" w:hAnsi="DejaVu Sans Mono"/>
          <w:b w:val="0"/>
          <w:i w:val="0"/>
          <w:color w:val="163247"/>
          <w:sz w:val="17"/>
        </w:rPr>
        <w:t>CandidateResolver</w:t>
      </w:r>
      <w:r>
        <w:rPr>
          <w:b w:val="0"/>
          <w:i w:val="0"/>
        </w:rPr>
        <w:t xml:space="preserve">, and </w:t>
      </w:r>
      <w:r>
        <w:rPr>
          <w:rFonts w:ascii="DejaVu Sans Mono" w:hAnsi="DejaVu Sans Mono"/>
          <w:b w:val="0"/>
          <w:i w:val="0"/>
          <w:color w:val="163247"/>
          <w:sz w:val="17"/>
        </w:rPr>
        <w:t>ConfirmedAssetWriter</w:t>
      </w:r>
      <w:r>
        <w:rPr>
          <w:b w:val="0"/>
          <w:i w:val="0"/>
        </w:rPr>
        <w:t>. The analysis service receives only read-side interfaces. A provider result cannot supply an authoritative application user ID, Immich asset ID, write target, or approval token.</w:t>
      </w:r>
    </w:p>
    <w:p>
      <w:pPr>
        <w:pStyle w:val="Heading1"/>
      </w:pPr>
      <w:r>
        <w:rPr>
          <w:b w:val="0"/>
          <w:i w:val="0"/>
        </w:rPr>
        <w:t>4. Provider and image transport contract</w:t>
      </w:r>
    </w:p>
    <w:p>
      <w:pPr>
        <w:pStyle w:val="Heading2"/>
      </w:pPr>
      <w:r>
        <w:rPr>
          <w:b w:val="0"/>
          <w:i w:val="0"/>
        </w:rPr>
        <w:t>4.1 Capability negotiation</w:t>
      </w:r>
    </w:p>
    <w:p>
      <w:pPr/>
      <w:r>
        <w:rPr>
          <w:b w:val="0"/>
          <w:i w:val="0"/>
        </w:rPr>
        <w:t>A profile identifies a user, approved base URL, model, credential reference, and immutable revision. A capabilities record contains observed image-input support, JSON mode, strict-schema support, request-size limits if known, supported token-limit parameter, and test timestamp.</w:t>
      </w:r>
    </w:p>
    <w:p>
      <w:pPr/>
      <w:r>
        <w:rPr>
          <w:b w:val="0"/>
          <w:i w:val="0"/>
        </w:rPr>
        <w:t>The V1 adapter sends a non-streaming request to the configured Chat Completions endpoint, with text and an image data URL. OpenAI supports encoded image input; compatible endpoints must pass a real synthetic-image test rather than inherit that assumption. [O01]</w:t>
      </w:r>
    </w:p>
    <w:p>
      <w:pPr/>
      <w:r>
        <w:rPr>
          <w:b w:val="0"/>
          <w:i w:val="0"/>
        </w:rPr>
        <w:t>Manual model entry is supported even when discovery is unavailable. Do not attach optional parameters such as temperature, reasoning settings, or a particular maximum-token field unless enabled by the profile's capability policy. An unsupported strict-schema parameter can trigger one explicit downgrade to JSON mode when allowed; authentication failures must not be treated as schema incompatibility.</w:t>
      </w:r>
    </w:p>
    <w:p>
      <w:pPr/>
      <w:r>
        <w:rPr>
          <w:b w:val="0"/>
          <w:i w:val="0"/>
        </w:rPr>
        <w:t>OpenAI distinguishes schema-constrained output from JSON mode and documents refusal/truncation edge cases. The application therefore validates every result independently of transport mode. A valid JSON object does not prove a correct geolocation. [O02]</w:t>
      </w:r>
    </w:p>
    <w:p>
      <w:pPr/>
      <w:r>
        <w:rPr>
          <w:b w:val="0"/>
          <w:i w:val="0"/>
        </w:rPr>
        <w:t>Provider settings and capabilities are versioned. Jobs bind to an immutable profile revision. Disabling a profile prevents subsequent dispatches across all revisions. Updating a model or secret must not silently redirect queued private data to another host.</w:t>
      </w:r>
    </w:p>
    <w:p>
      <w:pPr>
        <w:pStyle w:val="Heading2"/>
      </w:pPr>
      <w:r>
        <w:rPr>
          <w:b w:val="0"/>
          <w:i w:val="0"/>
        </w:rPr>
        <w:t>4.2 Image preparation</w:t>
      </w:r>
    </w:p>
    <w:p>
      <w:pPr/>
      <w:r>
        <w:rPr>
          <w:b w:val="0"/>
          <w:i w:val="0"/>
        </w:rPr>
        <w:t>Workers fetch images through the authenticated Immich client on the server, not by sending the provider a private Immich URL. Normalize orientation, decode to a supported raster format, strip unnecessary metadata, and create a bounded analysis copy. Never expose the Immich key in an AI request.</w:t>
      </w:r>
    </w:p>
    <w:p>
      <w:pPr/>
      <w:r>
        <w:rPr>
          <w:b w:val="0"/>
          <w:i w:val="0"/>
        </w:rPr>
        <w:t>Proposed initial limits: one image per item, 2,048-pixel maximum long edge, 10 MiB encoded request-image limit, and a 40-megapixel decode guard. These are configurable operational defaults to benchmark, not model requirements. Prefer an existing suitable preview; unsupported formats fail explicitly. Higher-resolution retry requires an explicit setting and the same limits. Original files are never changed by this module.</w:t>
      </w:r>
    </w:p>
    <w:p>
      <w:pPr/>
      <w:r>
        <w:rPr>
          <w:b w:val="0"/>
          <w:i w:val="0"/>
        </w:rPr>
        <w:t>Use a temporary file only when needed; clean it on completion and startup recovery. Do not store Base64 payloads in job JSON, logs, or the audit trail.</w:t>
      </w:r>
    </w:p>
    <w:p>
      <w:pPr>
        <w:pStyle w:val="Heading2"/>
      </w:pPr>
      <w:r>
        <w:rPr>
          <w:b w:val="0"/>
          <w:i w:val="0"/>
        </w:rPr>
        <w:t>4.3 Credentials and egress</w:t>
      </w:r>
    </w:p>
    <w:p>
      <w:pPr/>
      <w:r>
        <w:rPr>
          <w:b w:val="0"/>
          <w:i w:val="0"/>
        </w:rPr>
        <w:t>All secrets remain in the backend. Reuse the existing encryption primitives but require encrypted storage for new AI credentials; do not inherit the legacy plaintext read fallback for this new table. [R08]</w:t>
      </w:r>
    </w:p>
    <w:p>
      <w:pPr/>
      <w:r>
        <w:rPr>
          <w:b w:val="0"/>
          <w:i w:val="0"/>
        </w:rPr>
        <w:t>Administrator policy controls allowed hosts, ports, protocols, and custom headers. HTTPS is required except for explicitly approved local inference endpoints. Credentials are never forwarded on redirects; provider redirects are disabled by default. Request destinations are revalidated after DNS resolution to prevent DNS-rebinding and SSRF attacks. Cloud metadata addresses remain blocked even when private-network providers are allowed.</w:t>
      </w:r>
    </w:p>
    <w:p>
      <w:pPr/>
      <w:r>
        <w:rPr>
          <w:b w:val="0"/>
          <w:i w:val="0"/>
        </w:rPr>
        <w:t>Research URL fetching uses a different, stricter policy: no access to internal hosts, loopback, link-local addresses, or credential-bearing URLs. All model output and web content is untrusted. The model has no shell, filesystem, arbitrary SQL, or writeback tool.</w:t>
      </w:r>
    </w:p>
    <w:p>
      <w:pPr>
        <w:pStyle w:val="Heading1"/>
      </w:pPr>
      <w:r>
        <w:rPr>
          <w:b w:val="0"/>
          <w:i w:val="0"/>
        </w:rPr>
        <w:t>5. Analysis pipeline and evidence model</w:t>
      </w:r>
    </w:p>
    <w:p>
      <w:pPr>
        <w:pStyle w:val="Heading2"/>
      </w:pPr>
      <w:r>
        <w:rPr>
          <w:b w:val="0"/>
          <w:i w:val="0"/>
        </w:rPr>
        <w:t>5.1 Pipeline</w:t>
      </w:r>
    </w:p>
    <w:p>
      <w:pPr/>
      <w:r>
        <w:rPr>
          <w:b w:val="0"/>
          <w:i w:val="0"/>
        </w:rPr>
        <w:t>The worker authorizes the asset, prepares the image, builds the allowed context, invokes the provider, validates the response, and persists a terminal result. Optional candidate resolution can add known POI coordinates, but cannot promote them automatically to camera coordinates.</w:t>
      </w:r>
    </w:p>
    <w:p>
      <w:pPr/>
      <w:r>
        <w:rPr>
          <w:b w:val="0"/>
          <w:i w:val="0"/>
        </w:rPr>
        <w:t>Context-assisted mode includes at most six metadata-only neighbors within the configured window, the explicitly selected album label when authorized, capture time with timezone status, and a short user hint. Existing suggestions are inputs to evaluate, not ground truth. Exclude hidden or inaccessible assets and omit unrelated frequent/home locations by default.</w:t>
      </w:r>
    </w:p>
    <w:p>
      <w:pPr/>
      <w:r>
        <w:rPr>
          <w:b w:val="0"/>
          <w:i w:val="0"/>
        </w:rPr>
        <w:t>Every context item records its source and lineage. A previous AI-generated GPS value must not become independent confirmation of another AI guess. Known AI-origin neighbors are excluded by default; a later opt-in mode may use them with an explicit dependence label. Lack of provenance is not proof that a neighbor is independently verified.</w:t>
      </w:r>
    </w:p>
    <w:p>
      <w:pPr/>
      <w:r>
        <w:rPr>
          <w:b w:val="0"/>
          <w:i w:val="0"/>
        </w:rPr>
        <w:t>Visual observations, user hints, temporal context, geocoder results, external evidence, and user corrections remain separate categories. No private chain-of-thought is requested or retained; store concise observations, support summaries, contradictions, and source references.</w:t>
      </w:r>
    </w:p>
    <w:p>
      <w:pPr/>
      <w:r>
        <w:rPr>
          <w:b w:val="0"/>
          <w:i w:val="0"/>
        </w:rPr>
        <w:t xml:space="preserve">Date selection uses the source-local calendar date in </w:t>
      </w:r>
      <w:r>
        <w:rPr>
          <w:rFonts w:ascii="DejaVu Sans Mono" w:hAnsi="DejaVu Sans Mono"/>
          <w:b w:val="0"/>
          <w:i w:val="0"/>
          <w:color w:val="163247"/>
          <w:sz w:val="17"/>
        </w:rPr>
        <w:t>dateTimeOriginal</w:t>
      </w:r>
      <w:r>
        <w:rPr>
          <w:b w:val="0"/>
          <w:i w:val="0"/>
        </w:rPr>
        <w:t>, not the server clock. Apply the same helper to asset queries, counts, and frozen selections; preserve offsets and distinguish missing dates. Test midnight, daylight-saving transitions, offsetless timestamps, and start-after-end errors before changing inherited string predicates.</w:t>
      </w:r>
    </w:p>
    <w:p>
      <w:pPr>
        <w:pStyle w:val="Heading2"/>
      </w:pPr>
      <w:r>
        <w:rPr>
          <w:b w:val="0"/>
          <w:i w:val="0"/>
        </w:rPr>
        <w:t>5.2 Research extension</w:t>
      </w:r>
    </w:p>
    <w:p>
      <w:pPr/>
      <w:r>
        <w:rPr>
          <w:b w:val="0"/>
          <w:i w:val="0"/>
        </w:rPr>
        <w:t xml:space="preserve">Define optional </w:t>
      </w:r>
      <w:r>
        <w:rPr>
          <w:rFonts w:ascii="DejaVu Sans Mono" w:hAnsi="DejaVu Sans Mono"/>
          <w:b w:val="0"/>
          <w:i w:val="0"/>
          <w:color w:val="163247"/>
          <w:sz w:val="17"/>
        </w:rPr>
        <w:t>SearchProvider</w:t>
      </w:r>
      <w:r>
        <w:rPr>
          <w:b w:val="0"/>
          <w:i w:val="0"/>
        </w:rPr>
        <w:t xml:space="preserve"> and </w:t>
      </w:r>
      <w:r>
        <w:rPr>
          <w:rFonts w:ascii="DejaVu Sans Mono" w:hAnsi="DejaVu Sans Mono"/>
          <w:b w:val="0"/>
          <w:i w:val="0"/>
          <w:color w:val="163247"/>
          <w:sz w:val="17"/>
        </w:rPr>
        <w:t>CandidateResolver</w:t>
      </w:r>
      <w:r>
        <w:rPr>
          <w:b w:val="0"/>
          <w:i w:val="0"/>
        </w:rPr>
        <w:t xml:space="preserve"> interfaces now, but do not require a web agent in V1. A later Research mode can retrieve candidates, resolve POIs, compare geometry, and associate claims with source IDs created by the backend. OpenAI-compatible inference does not imply built-in search; OpenAI's own web search is an explicit tool capability. [O03]</w:t>
      </w:r>
    </w:p>
    <w:p>
      <w:pPr/>
      <w:r>
        <w:rPr>
          <w:b w:val="0"/>
          <w:i w:val="0"/>
        </w:rPr>
        <w:t>The inherited geocoder chain must not be invoked blindly for automated workloads. Public Nominatim has a maximum one-request-per-second policy, caching and application-identification requirements, additional bulk restrictions, and a prohibition on autocomplete. Research must use an explicitly approved backend/provider policy and be able to bypass a Nominatim-first chain. Existing manual geocoder use should also be reviewed for compliance. [M01]</w:t>
      </w:r>
    </w:p>
    <w:p>
      <w:pPr>
        <w:pStyle w:val="Heading2"/>
      </w:pPr>
      <w:r>
        <w:rPr>
          <w:b w:val="0"/>
          <w:i w:val="0"/>
        </w:rPr>
        <w:t>5.3 Position, heading, and uncertainty</w:t>
      </w:r>
    </w:p>
    <w:p>
      <w:pPr/>
      <w:r>
        <w:rPr>
          <w:b w:val="0"/>
          <w:i w:val="0"/>
        </w:rPr>
        <w:t>Coordinates use WGS84 decimal latitude/longitude. Store camera and subject coordinates separately. Granularity and radius describe the camera estimate; a city-level candidate must not carry a fabricated 10-meter radius.</w:t>
      </w:r>
    </w:p>
    <w:p>
      <w:pPr/>
      <w:r>
        <w:rPr>
          <w:b w:val="0"/>
          <w:i w:val="0"/>
        </w:rPr>
        <w:t xml:space="preserve">Camera azimuth is clockwise from true north. A backend may compute camera-to-subject bearing for a consistency check, but it must display that quantity as </w:t>
      </w:r>
      <w:r>
        <w:rPr>
          <w:b/>
          <w:i w:val="0"/>
        </w:rPr>
        <w:t>subject bearing</w:t>
      </w:r>
      <w:r>
        <w:rPr>
          <w:b w:val="0"/>
          <w:i w:val="0"/>
        </w:rPr>
        <w:t>, not camera heading. Off-center composition, panoramas, crops, mirrored images, and uncertain positions invalidate naive heading checks. When the user changes a camera or subject point, invalidate dependent heading rather than quietly retain it.</w:t>
      </w:r>
    </w:p>
    <w:p>
      <w:pPr/>
      <w:r>
        <w:rPr>
          <w:b w:val="0"/>
          <w:i w:val="0"/>
        </w:rPr>
        <w:t>Model self-assessment is not calibrated confidence. The UI's verification status is derived from recorded evidence provenance: visual-only, context-supported, externally-supported, or user-reviewed. These categories are not probabilities, and user review does not imply surveyed accuracy.</w:t>
      </w:r>
    </w:p>
    <w:p>
      <w:pPr>
        <w:pStyle w:val="Heading1"/>
      </w:pPr>
      <w:r>
        <w:rPr>
          <w:b w:val="0"/>
          <w:i w:val="0"/>
        </w:rPr>
        <w:t>6. Structured analysis contract</w:t>
      </w:r>
    </w:p>
    <w:p>
      <w:pPr/>
      <w:r>
        <w:rPr>
          <w:b w:val="0"/>
          <w:i w:val="0"/>
        </w:rPr>
        <w:t xml:space="preserve">The accompanying </w:t>
      </w:r>
      <w:r>
        <w:rPr>
          <w:rFonts w:ascii="DejaVu Sans Mono" w:hAnsi="DejaVu Sans Mono"/>
          <w:b w:val="0"/>
          <w:i w:val="0"/>
          <w:color w:val="163247"/>
          <w:sz w:val="17"/>
        </w:rPr>
        <w:t>contracts/ai-analysis-result.v1.schema.json</w:t>
      </w:r>
      <w:r>
        <w:rPr>
          <w:b w:val="0"/>
          <w:i w:val="0"/>
        </w:rPr>
        <w:t xml:space="preserve"> defines the provider-facing result, with examples in </w:t>
      </w:r>
      <w:r>
        <w:rPr>
          <w:rFonts w:ascii="DejaVu Sans Mono" w:hAnsi="DejaVu Sans Mono"/>
          <w:b w:val="0"/>
          <w:i w:val="0"/>
          <w:color w:val="163247"/>
          <w:sz w:val="17"/>
        </w:rPr>
        <w:t>examples/</w:t>
      </w:r>
      <w:r>
        <w:rPr>
          <w:b w:val="0"/>
          <w:i w:val="0"/>
        </w:rPr>
        <w:t>. It is a proposed contract, validated as JSON Schema during document preparation; it has not been acceptance-tested with a model endpoint.</w:t>
      </w:r>
    </w:p>
    <w:p>
      <w:pPr/>
      <w:r>
        <w:rPr>
          <w:b w:val="0"/>
          <w:i w:val="0"/>
        </w:rPr>
        <w:t xml:space="preserve">The object contains </w:t>
      </w:r>
      <w:r>
        <w:rPr>
          <w:rFonts w:ascii="DejaVu Sans Mono" w:hAnsi="DejaVu Sans Mono"/>
          <w:b w:val="0"/>
          <w:i w:val="0"/>
          <w:color w:val="163247"/>
          <w:sz w:val="17"/>
        </w:rPr>
        <w:t>schema_version</w:t>
      </w:r>
      <w:r>
        <w:rPr>
          <w:b w:val="0"/>
          <w:i w:val="0"/>
        </w:rPr>
        <w:t xml:space="preserve">, </w:t>
      </w:r>
      <w:r>
        <w:rPr>
          <w:rFonts w:ascii="DejaVu Sans Mono" w:hAnsi="DejaVu Sans Mono"/>
          <w:b w:val="0"/>
          <w:i w:val="0"/>
          <w:color w:val="163247"/>
          <w:sz w:val="17"/>
        </w:rPr>
        <w:t>outcome</w:t>
      </w:r>
      <w:r>
        <w:rPr>
          <w:b w:val="0"/>
          <w:i w:val="0"/>
        </w:rPr>
        <w:t xml:space="preserve">, </w:t>
      </w:r>
      <w:r>
        <w:rPr>
          <w:rFonts w:ascii="DejaVu Sans Mono" w:hAnsi="DejaVu Sans Mono"/>
          <w:b w:val="0"/>
          <w:i w:val="0"/>
          <w:color w:val="163247"/>
          <w:sz w:val="17"/>
        </w:rPr>
        <w:t>selected_candidate_id</w:t>
      </w:r>
      <w:r>
        <w:rPr>
          <w:b w:val="0"/>
          <w:i w:val="0"/>
        </w:rPr>
        <w:t xml:space="preserve">, </w:t>
      </w:r>
      <w:r>
        <w:rPr>
          <w:rFonts w:ascii="DejaVu Sans Mono" w:hAnsi="DejaVu Sans Mono"/>
          <w:b w:val="0"/>
          <w:i w:val="0"/>
          <w:color w:val="163247"/>
          <w:sz w:val="17"/>
        </w:rPr>
        <w:t>observations</w:t>
      </w:r>
      <w:r>
        <w:rPr>
          <w:b w:val="0"/>
          <w:i w:val="0"/>
        </w:rPr>
        <w:t xml:space="preserve">, </w:t>
      </w:r>
      <w:r>
        <w:rPr>
          <w:rFonts w:ascii="DejaVu Sans Mono" w:hAnsi="DejaVu Sans Mono"/>
          <w:b w:val="0"/>
          <w:i w:val="0"/>
          <w:color w:val="163247"/>
          <w:sz w:val="17"/>
        </w:rPr>
        <w:t>candidates</w:t>
      </w:r>
      <w:r>
        <w:rPr>
          <w:b w:val="0"/>
          <w:i w:val="0"/>
        </w:rPr>
        <w:t xml:space="preserve">, </w:t>
      </w:r>
      <w:r>
        <w:rPr>
          <w:rFonts w:ascii="DejaVu Sans Mono" w:hAnsi="DejaVu Sans Mono"/>
          <w:b w:val="0"/>
          <w:i w:val="0"/>
          <w:color w:val="163247"/>
          <w:sz w:val="17"/>
        </w:rPr>
        <w:t>descriptions</w:t>
      </w:r>
      <w:r>
        <w:rPr>
          <w:b w:val="0"/>
          <w:i w:val="0"/>
        </w:rPr>
        <w:t xml:space="preserve">, and </w:t>
      </w:r>
      <w:r>
        <w:rPr>
          <w:rFonts w:ascii="DejaVu Sans Mono" w:hAnsi="DejaVu Sans Mono"/>
          <w:b w:val="0"/>
          <w:i w:val="0"/>
          <w:color w:val="163247"/>
          <w:sz w:val="17"/>
        </w:rPr>
        <w:t>warnings</w:t>
      </w:r>
      <w:r>
        <w:rPr>
          <w:b w:val="0"/>
          <w:i w:val="0"/>
        </w:rPr>
        <w:t xml:space="preserve">. An outcome is </w:t>
      </w:r>
      <w:r>
        <w:rPr>
          <w:rFonts w:ascii="DejaVu Sans Mono" w:hAnsi="DejaVu Sans Mono"/>
          <w:b w:val="0"/>
          <w:i w:val="0"/>
          <w:color w:val="163247"/>
          <w:sz w:val="17"/>
        </w:rPr>
        <w:t>located</w:t>
      </w:r>
      <w:r>
        <w:rPr>
          <w:b w:val="0"/>
          <w:i w:val="0"/>
        </w:rPr>
        <w:t xml:space="preserve">, </w:t>
      </w:r>
      <w:r>
        <w:rPr>
          <w:rFonts w:ascii="DejaVu Sans Mono" w:hAnsi="DejaVu Sans Mono"/>
          <w:b w:val="0"/>
          <w:i w:val="0"/>
          <w:color w:val="163247"/>
          <w:sz w:val="17"/>
        </w:rPr>
        <w:t>ambiguous</w:t>
      </w:r>
      <w:r>
        <w:rPr>
          <w:b w:val="0"/>
          <w:i w:val="0"/>
        </w:rPr>
        <w:t xml:space="preserve">, or </w:t>
      </w:r>
      <w:r>
        <w:rPr>
          <w:rFonts w:ascii="DejaVu Sans Mono" w:hAnsi="DejaVu Sans Mono"/>
          <w:b w:val="0"/>
          <w:i w:val="0"/>
          <w:color w:val="163247"/>
          <w:sz w:val="17"/>
        </w:rPr>
        <w:t>unknown</w:t>
      </w:r>
      <w:r>
        <w:rPr>
          <w:b w:val="0"/>
          <w:i w:val="0"/>
        </w:rPr>
        <w:t>. Candidates contain separate camera and subject information, nullable direction, evidence references, and a support summary.</w:t>
      </w:r>
    </w:p>
    <w:p>
      <w:pPr/>
      <w:r>
        <w:rPr>
          <w:b w:val="0"/>
          <w:i w:val="0"/>
        </w:rPr>
        <w:t xml:space="preserve">Descriptions are an </w:t>
      </w:r>
      <w:r>
        <w:rPr>
          <w:b/>
          <w:i w:val="0"/>
        </w:rPr>
        <w:t>array of language-tagged entries</w:t>
      </w:r>
      <w:r>
        <w:rPr>
          <w:b w:val="0"/>
          <w:i w:val="0"/>
        </w:rPr>
        <w:t>, not an unrestricted map. This keeps object shapes closed for strict-schema providers. Every object disallows unknown properties; optional values are represented explicitly as nullable values. The backend can derive a simplified transport schema for a provider's supported subset while retaining the canonical server validator. [O02]</w:t>
      </w:r>
    </w:p>
    <w:p>
      <w:pPr>
        <w:pStyle w:val="Heading2"/>
      </w:pPr>
      <w:r>
        <w:rPr>
          <w:b w:val="0"/>
          <w:i w:val="0"/>
        </w:rPr>
        <w:t>6.1 Server-owned envelope</w:t>
      </w:r>
    </w:p>
    <w:p>
      <w:pPr/>
      <w:r>
        <w:rPr>
          <w:b w:val="0"/>
          <w:i w:val="0"/>
        </w:rPr>
        <w:t xml:space="preserve">The server wraps the validated model object with </w:t>
      </w:r>
      <w:r>
        <w:rPr>
          <w:rFonts w:ascii="DejaVu Sans Mono" w:hAnsi="DejaVu Sans Mono"/>
          <w:b w:val="0"/>
          <w:i w:val="0"/>
          <w:color w:val="163247"/>
          <w:sz w:val="17"/>
        </w:rPr>
        <w:t>analysisID</w:t>
      </w:r>
      <w:r>
        <w:rPr>
          <w:b w:val="0"/>
          <w:i w:val="0"/>
        </w:rPr>
        <w:t xml:space="preserve">, </w:t>
      </w:r>
      <w:r>
        <w:rPr>
          <w:rFonts w:ascii="DejaVu Sans Mono" w:hAnsi="DejaVu Sans Mono"/>
          <w:b w:val="0"/>
          <w:i w:val="0"/>
          <w:color w:val="163247"/>
          <w:sz w:val="17"/>
        </w:rPr>
        <w:t>userID</w:t>
      </w:r>
      <w:r>
        <w:rPr>
          <w:b w:val="0"/>
          <w:i w:val="0"/>
        </w:rPr>
        <w:t xml:space="preserve">, </w:t>
      </w:r>
      <w:r>
        <w:rPr>
          <w:rFonts w:ascii="DejaVu Sans Mono" w:hAnsi="DejaVu Sans Mono"/>
          <w:b w:val="0"/>
          <w:i w:val="0"/>
          <w:color w:val="163247"/>
          <w:sz w:val="17"/>
        </w:rPr>
        <w:t>instanceKey</w:t>
      </w:r>
      <w:r>
        <w:rPr>
          <w:b w:val="0"/>
          <w:i w:val="0"/>
        </w:rPr>
        <w:t xml:space="preserve">, </w:t>
      </w:r>
      <w:r>
        <w:rPr>
          <w:rFonts w:ascii="DejaVu Sans Mono" w:hAnsi="DejaVu Sans Mono"/>
          <w:b w:val="0"/>
          <w:i w:val="0"/>
          <w:color w:val="163247"/>
          <w:sz w:val="17"/>
        </w:rPr>
        <w:t>assetID</w:t>
      </w:r>
      <w:r>
        <w:rPr>
          <w:b w:val="0"/>
          <w:i w:val="0"/>
        </w:rPr>
        <w:t>, job/item IDs, timestamps, image/context hashes, provider revision, requested languages, prompt/schema versions, normalized source records, usage, validation findings, and verification status. These identity and authorization fields are never accepted from model output.</w:t>
      </w:r>
    </w:p>
    <w:p>
      <w:pPr/>
      <w:r>
        <w:rPr>
          <w:b w:val="0"/>
          <w:i w:val="0"/>
        </w:rPr>
        <w:t>Each source record has a backend-assigned ID, type, retrieval time, provider, normalized URL or local reference, and a short supporting excerpt where permitted. Models refer to source IDs already supplied in their input. A model-written URL alone is not evidence; Visual mode normally has no external source records.</w:t>
      </w:r>
    </w:p>
    <w:p>
      <w:pPr>
        <w:pStyle w:val="Heading2"/>
      </w:pPr>
      <w:r>
        <w:rPr>
          <w:b w:val="0"/>
          <w:i w:val="0"/>
        </w:rPr>
        <w:t>6.2 Semantic validation beyond JSON Schema</w:t>
      </w:r>
    </w:p>
    <w:p>
      <w:pPr/>
      <w:r>
        <w:rPr>
          <w:b w:val="0"/>
          <w:i w:val="0"/>
        </w:rPr>
        <w:t xml:space="preserve">Enforce finite numbers, coordinate ranges, azimuth range, nonnegative uncertainty, unique candidate/observation IDs, and valid references. </w:t>
      </w:r>
      <w:r>
        <w:rPr>
          <w:rFonts w:ascii="DejaVu Sans Mono" w:hAnsi="DejaVu Sans Mono"/>
          <w:b w:val="0"/>
          <w:i w:val="0"/>
          <w:color w:val="163247"/>
          <w:sz w:val="17"/>
        </w:rPr>
        <w:t>located</w:t>
      </w:r>
      <w:r>
        <w:rPr>
          <w:b w:val="0"/>
          <w:i w:val="0"/>
        </w:rPr>
        <w:t xml:space="preserve"> requires a selected candidate with a camera point; </w:t>
      </w:r>
      <w:r>
        <w:rPr>
          <w:rFonts w:ascii="DejaVu Sans Mono" w:hAnsi="DejaVu Sans Mono"/>
          <w:b w:val="0"/>
          <w:i w:val="0"/>
          <w:color w:val="163247"/>
          <w:sz w:val="17"/>
        </w:rPr>
        <w:t>ambiguous</w:t>
      </w:r>
      <w:r>
        <w:rPr>
          <w:b w:val="0"/>
          <w:i w:val="0"/>
        </w:rPr>
        <w:t xml:space="preserve"> requires multiple candidates and no automatic selection; </w:t>
      </w:r>
      <w:r>
        <w:rPr>
          <w:rFonts w:ascii="DejaVu Sans Mono" w:hAnsi="DejaVu Sans Mono"/>
          <w:b w:val="0"/>
          <w:i w:val="0"/>
          <w:color w:val="163247"/>
          <w:sz w:val="17"/>
        </w:rPr>
        <w:t>unknown</w:t>
      </w:r>
      <w:r>
        <w:rPr>
          <w:b w:val="0"/>
          <w:i w:val="0"/>
        </w:rPr>
        <w:t xml:space="preserve"> requires no selected candidate. Descriptions must match requested languages exactly once or report an explicit unavailable state.</w:t>
      </w:r>
    </w:p>
    <w:p>
      <w:pPr/>
      <w:r>
        <w:rPr>
          <w:b w:val="0"/>
          <w:i w:val="0"/>
        </w:rPr>
        <w:t>The radius basis must agree with the presence of a radius. Candidate-dependent descriptions require a real candidate ID; scene-only descriptions do not. The language tag is validated independently of string shape. All source IDs must belong to the authorized evidence bundle. Treat inconsistent output as invalid or downgraded-for-review according to a documented rule, never as ready to save.</w:t>
      </w:r>
    </w:p>
    <w:p>
      <w:pPr/>
      <w:r>
        <w:rPr>
          <w:b w:val="0"/>
          <w:i w:val="0"/>
        </w:rPr>
        <w:t>Keep the immutable provider result separate from the edited draft. Retranslation creates a new description revision linked to the approved place facts; it does not silently move the GPS point.</w:t>
      </w:r>
    </w:p>
    <w:p>
      <w:pPr>
        <w:pStyle w:val="Heading1"/>
      </w:pPr>
      <w:r>
        <w:rPr>
          <w:b w:val="0"/>
          <w:i w:val="0"/>
        </w:rPr>
        <w:t>7. Persistence and migrations</w:t>
      </w:r>
    </w:p>
    <w:p>
      <w:pPr/>
      <w:r>
        <w:rPr>
          <w:b w:val="0"/>
          <w:i w:val="0"/>
        </w:rPr>
        <w:t xml:space="preserve">Add tables through the existing Goose migration mechanism. Do not invent a migration number before checking the repository. The existing database is </w:t>
      </w:r>
      <w:r>
        <w:rPr>
          <w:rFonts w:ascii="DejaVu Sans Mono" w:hAnsi="DejaVu Sans Mono"/>
          <w:b w:val="0"/>
          <w:i w:val="0"/>
          <w:color w:val="163247"/>
          <w:sz w:val="17"/>
        </w:rPr>
        <w:t>immich-places.db</w:t>
      </w:r>
      <w:r>
        <w:rPr>
          <w:b w:val="0"/>
          <w:i w:val="0"/>
        </w:rPr>
        <w:t>; its initialization enables WAL and foreign keys. Confirm connection-pool PRAGMA behavior when implementing new relations. [R06, R07]</w:t>
      </w:r>
    </w:p>
    <w:tbl>
      <w:tblPr>
        <w:tblW w:type="auto" w:w="0"/>
        <w:jc w:val="center"/>
        <w:tblLayout w:type="fixed"/>
        <w:tblLook w:firstColumn="1" w:firstRow="1" w:lastColumn="0" w:lastRow="0" w:noHBand="0" w:noVBand="1" w:val="04A0"/>
      </w:tblPr>
      <w:tblGrid>
        <w:gridCol w:w="4248"/>
        <w:gridCol w:w="5616"/>
      </w:tblGrid>
      <w:tr>
        <w:trPr>
          <w:cantSplit/>
          <w:tblHeader/>
        </w:trPr>
        <w:tc>
          <w:tcPr>
            <w:tcW w:type="dxa" w:w="4248"/>
            <w:vAlign w:val="center"/>
            <w:tcMar>
              <w:top w:w="80" w:type="dxa"/>
              <w:bottom w:w="80" w:type="dxa"/>
              <w:left w:w="100" w:type="dxa"/>
              <w:right w:w="100" w:type="dxa"/>
            </w:tcMar>
            <w:shd w:fill="163247"/>
          </w:tcPr>
          <w:p>
            <w:pPr>
              <w:spacing w:after="0" w:before="0" w:line="264" w:lineRule="auto"/>
            </w:pPr>
            <w:r>
              <w:rPr>
                <w:b/>
                <w:i w:val="0"/>
                <w:color w:val="FFFFFF"/>
                <w:sz w:val="18"/>
              </w:rPr>
              <w:t>Proposed table</w:t>
            </w:r>
          </w:p>
        </w:tc>
        <w:tc>
          <w:tcPr>
            <w:tcW w:type="dxa" w:w="5616"/>
            <w:vAlign w:val="center"/>
            <w:tcMar>
              <w:top w:w="80" w:type="dxa"/>
              <w:bottom w:w="80" w:type="dxa"/>
              <w:left w:w="100" w:type="dxa"/>
              <w:right w:w="100" w:type="dxa"/>
            </w:tcMar>
            <w:shd w:fill="163247"/>
          </w:tcPr>
          <w:p>
            <w:pPr>
              <w:spacing w:after="0" w:before="0" w:line="264" w:lineRule="auto"/>
            </w:pPr>
            <w:r>
              <w:rPr>
                <w:b/>
                <w:i w:val="0"/>
                <w:color w:val="FFFFFF"/>
                <w:sz w:val="18"/>
              </w:rPr>
              <w:t>Key content and constraints</w:t>
            </w:r>
          </w:p>
        </w:tc>
      </w:tr>
      <w:tr>
        <w:trPr>
          <w:cantSplit/>
        </w:trPr>
        <w:tc>
          <w:tcPr>
            <w:tcW w:type="dxa" w:w="4248"/>
            <w:vAlign w:val="center"/>
            <w:tcMar>
              <w:top w:w="80" w:type="dxa"/>
              <w:bottom w:w="80" w:type="dxa"/>
              <w:left w:w="100" w:type="dxa"/>
              <w:right w:w="100" w:type="dxa"/>
            </w:tcMar>
            <w:shd w:fill="EEF4F7"/>
          </w:tcPr>
          <w:p>
            <w:pPr>
              <w:spacing w:after="0" w:before="0" w:line="264" w:lineRule="auto"/>
            </w:pPr>
            <w:r>
              <w:rPr>
                <w:rFonts w:ascii="DejaVu Sans Mono" w:hAnsi="DejaVu Sans Mono"/>
                <w:b w:val="0"/>
                <w:i w:val="0"/>
                <w:color w:val="163247"/>
                <w:sz w:val="16"/>
              </w:rPr>
              <w:t>ai_provider_profiles</w:t>
            </w:r>
          </w:p>
        </w:tc>
        <w:tc>
          <w:tcPr>
            <w:tcW w:type="dxa" w:w="5616"/>
            <w:vAlign w:val="center"/>
            <w:tcMar>
              <w:top w:w="80" w:type="dxa"/>
              <w:bottom w:w="80" w:type="dxa"/>
              <w:left w:w="100" w:type="dxa"/>
              <w:right w:w="100" w:type="dxa"/>
            </w:tcMar>
            <w:shd w:fill="EEF4F7"/>
          </w:tcPr>
          <w:p>
            <w:pPr>
              <w:spacing w:after="0" w:before="0" w:line="264" w:lineRule="auto"/>
            </w:pPr>
            <w:r>
              <w:rPr>
                <w:b w:val="0"/>
                <w:i w:val="0"/>
                <w:sz w:val="18"/>
              </w:rPr>
              <w:t>ID, userID, name, activeRevision, enabled; stable logical profile.</w:t>
            </w:r>
          </w:p>
        </w:tc>
      </w:tr>
      <w:tr>
        <w:trPr>
          <w:cantSplit/>
        </w:trPr>
        <w:tc>
          <w:tcPr>
            <w:tcW w:type="dxa" w:w="4248"/>
            <w:vAlign w:val="center"/>
            <w:tcMar>
              <w:top w:w="80" w:type="dxa"/>
              <w:bottom w:w="80" w:type="dxa"/>
              <w:left w:w="100" w:type="dxa"/>
              <w:right w:w="100" w:type="dxa"/>
            </w:tcMar>
          </w:tcPr>
          <w:p>
            <w:pPr>
              <w:spacing w:after="0" w:before="0" w:line="264" w:lineRule="auto"/>
            </w:pPr>
            <w:r>
              <w:rPr>
                <w:rFonts w:ascii="DejaVu Sans Mono" w:hAnsi="DejaVu Sans Mono"/>
                <w:b w:val="0"/>
                <w:i w:val="0"/>
                <w:color w:val="163247"/>
                <w:sz w:val="16"/>
              </w:rPr>
              <w:t>ai_provider_versions</w:t>
            </w:r>
          </w:p>
        </w:tc>
        <w:tc>
          <w:tcPr>
            <w:tcW w:type="dxa" w:w="5616"/>
            <w:vAlign w:val="center"/>
            <w:tcMar>
              <w:top w:w="80" w:type="dxa"/>
              <w:bottom w:w="80" w:type="dxa"/>
              <w:left w:w="100" w:type="dxa"/>
              <w:right w:w="100" w:type="dxa"/>
            </w:tcMar>
          </w:tcPr>
          <w:p>
            <w:pPr>
              <w:spacing w:after="0" w:before="0" w:line="264" w:lineRule="auto"/>
            </w:pPr>
            <w:r>
              <w:rPr>
                <w:b w:val="0"/>
                <w:i w:val="0"/>
                <w:sz w:val="18"/>
              </w:rPr>
              <w:t>Profile ID + revision, userID, base URL, model, encrypted secret, capabilities/settings JSON; immutable configuration.</w:t>
            </w:r>
          </w:p>
        </w:tc>
      </w:tr>
      <w:tr>
        <w:trPr>
          <w:cantSplit/>
        </w:trPr>
        <w:tc>
          <w:tcPr>
            <w:tcW w:type="dxa" w:w="4248"/>
            <w:vAlign w:val="center"/>
            <w:tcMar>
              <w:top w:w="80" w:type="dxa"/>
              <w:bottom w:w="80" w:type="dxa"/>
              <w:left w:w="100" w:type="dxa"/>
              <w:right w:w="100" w:type="dxa"/>
            </w:tcMar>
            <w:shd w:fill="EEF4F7"/>
          </w:tcPr>
          <w:p>
            <w:pPr>
              <w:spacing w:after="0" w:before="0" w:line="264" w:lineRule="auto"/>
            </w:pPr>
            <w:r>
              <w:rPr>
                <w:rFonts w:ascii="DejaVu Sans Mono" w:hAnsi="DejaVu Sans Mono"/>
                <w:b w:val="0"/>
                <w:i w:val="0"/>
                <w:color w:val="163247"/>
                <w:sz w:val="16"/>
              </w:rPr>
              <w:t>ai_jobs</w:t>
            </w:r>
          </w:p>
        </w:tc>
        <w:tc>
          <w:tcPr>
            <w:tcW w:type="dxa" w:w="5616"/>
            <w:vAlign w:val="center"/>
            <w:tcMar>
              <w:top w:w="80" w:type="dxa"/>
              <w:bottom w:w="80" w:type="dxa"/>
              <w:left w:w="100" w:type="dxa"/>
              <w:right w:w="100" w:type="dxa"/>
            </w:tcMar>
            <w:shd w:fill="EEF4F7"/>
          </w:tcPr>
          <w:p>
            <w:pPr>
              <w:spacing w:after="0" w:before="0" w:line="264" w:lineRule="auto"/>
            </w:pPr>
            <w:r>
              <w:rPr>
                <w:b w:val="0"/>
                <w:i w:val="0"/>
                <w:sz w:val="18"/>
              </w:rPr>
              <w:t>ID, userID, instanceKey, provider revision, mode, languages, consent snapshot, selection hash, limits, aggregate status, cancellation flag.</w:t>
            </w:r>
          </w:p>
        </w:tc>
      </w:tr>
      <w:tr>
        <w:trPr>
          <w:cantSplit/>
        </w:trPr>
        <w:tc>
          <w:tcPr>
            <w:tcW w:type="dxa" w:w="4248"/>
            <w:vAlign w:val="center"/>
            <w:tcMar>
              <w:top w:w="80" w:type="dxa"/>
              <w:bottom w:w="80" w:type="dxa"/>
              <w:left w:w="100" w:type="dxa"/>
              <w:right w:w="100" w:type="dxa"/>
            </w:tcMar>
          </w:tcPr>
          <w:p>
            <w:pPr>
              <w:spacing w:after="0" w:before="0" w:line="264" w:lineRule="auto"/>
            </w:pPr>
            <w:r>
              <w:rPr>
                <w:rFonts w:ascii="DejaVu Sans Mono" w:hAnsi="DejaVu Sans Mono"/>
                <w:b w:val="0"/>
                <w:i w:val="0"/>
                <w:color w:val="163247"/>
                <w:sz w:val="16"/>
              </w:rPr>
              <w:t>ai_job_items</w:t>
            </w:r>
          </w:p>
        </w:tc>
        <w:tc>
          <w:tcPr>
            <w:tcW w:type="dxa" w:w="5616"/>
            <w:vAlign w:val="center"/>
            <w:tcMar>
              <w:top w:w="80" w:type="dxa"/>
              <w:bottom w:w="80" w:type="dxa"/>
              <w:left w:w="100" w:type="dxa"/>
              <w:right w:w="100" w:type="dxa"/>
            </w:tcMar>
          </w:tcPr>
          <w:p>
            <w:pPr>
              <w:spacing w:after="0" w:before="0" w:line="264" w:lineRule="auto"/>
            </w:pPr>
            <w:r>
              <w:rPr>
                <w:b w:val="0"/>
                <w:i w:val="0"/>
                <w:sz w:val="18"/>
              </w:rPr>
              <w:t xml:space="preserve">ID, jobID, userID, assetID, state, attempt count, nextAttemptAt, lease token/expiry, source fingerprint, latest analysis ID, sanitized error. Unique </w:t>
            </w:r>
            <w:r>
              <w:rPr>
                <w:rFonts w:ascii="DejaVu Sans Mono" w:hAnsi="DejaVu Sans Mono"/>
                <w:b w:val="0"/>
                <w:i w:val="0"/>
                <w:color w:val="163247"/>
                <w:sz w:val="16"/>
              </w:rPr>
              <w:t>(jobID, assetID)</w:t>
            </w:r>
            <w:r>
              <w:rPr>
                <w:b w:val="0"/>
                <w:i w:val="0"/>
                <w:sz w:val="18"/>
              </w:rPr>
              <w:t>.</w:t>
            </w:r>
          </w:p>
        </w:tc>
      </w:tr>
      <w:tr>
        <w:trPr>
          <w:cantSplit/>
        </w:trPr>
        <w:tc>
          <w:tcPr>
            <w:tcW w:type="dxa" w:w="4248"/>
            <w:vAlign w:val="center"/>
            <w:tcMar>
              <w:top w:w="80" w:type="dxa"/>
              <w:bottom w:w="80" w:type="dxa"/>
              <w:left w:w="100" w:type="dxa"/>
              <w:right w:w="100" w:type="dxa"/>
            </w:tcMar>
            <w:shd w:fill="EEF4F7"/>
          </w:tcPr>
          <w:p>
            <w:pPr>
              <w:spacing w:after="0" w:before="0" w:line="264" w:lineRule="auto"/>
            </w:pPr>
            <w:r>
              <w:rPr>
                <w:rFonts w:ascii="DejaVu Sans Mono" w:hAnsi="DejaVu Sans Mono"/>
                <w:b w:val="0"/>
                <w:i w:val="0"/>
                <w:color w:val="163247"/>
                <w:sz w:val="16"/>
              </w:rPr>
              <w:t>ai_analyses</w:t>
            </w:r>
          </w:p>
        </w:tc>
        <w:tc>
          <w:tcPr>
            <w:tcW w:type="dxa" w:w="5616"/>
            <w:vAlign w:val="center"/>
            <w:tcMar>
              <w:top w:w="80" w:type="dxa"/>
              <w:bottom w:w="80" w:type="dxa"/>
              <w:left w:w="100" w:type="dxa"/>
              <w:right w:w="100" w:type="dxa"/>
            </w:tcMar>
            <w:shd w:fill="EEF4F7"/>
          </w:tcPr>
          <w:p>
            <w:pPr>
              <w:spacing w:after="0" w:before="0" w:line="264" w:lineRule="auto"/>
            </w:pPr>
            <w:r>
              <w:rPr>
                <w:b w:val="0"/>
                <w:i w:val="0"/>
                <w:sz w:val="18"/>
              </w:rPr>
              <w:t>ID, itemID, userID, assetID, outcome, immutable result JSON, evidence bundle, provenance/usage JSON, validation report, createdAt.</w:t>
            </w:r>
          </w:p>
        </w:tc>
      </w:tr>
      <w:tr>
        <w:trPr>
          <w:cantSplit/>
        </w:trPr>
        <w:tc>
          <w:tcPr>
            <w:tcW w:type="dxa" w:w="4248"/>
            <w:vAlign w:val="center"/>
            <w:tcMar>
              <w:top w:w="80" w:type="dxa"/>
              <w:bottom w:w="80" w:type="dxa"/>
              <w:left w:w="100" w:type="dxa"/>
              <w:right w:w="100" w:type="dxa"/>
            </w:tcMar>
          </w:tcPr>
          <w:p>
            <w:pPr>
              <w:spacing w:after="0" w:before="0" w:line="264" w:lineRule="auto"/>
            </w:pPr>
            <w:r>
              <w:rPr>
                <w:rFonts w:ascii="DejaVu Sans Mono" w:hAnsi="DejaVu Sans Mono"/>
                <w:b w:val="0"/>
                <w:i w:val="0"/>
                <w:color w:val="163247"/>
                <w:sz w:val="16"/>
              </w:rPr>
              <w:t>ai_drafts</w:t>
            </w:r>
          </w:p>
        </w:tc>
        <w:tc>
          <w:tcPr>
            <w:tcW w:type="dxa" w:w="5616"/>
            <w:vAlign w:val="center"/>
            <w:tcMar>
              <w:top w:w="80" w:type="dxa"/>
              <w:bottom w:w="80" w:type="dxa"/>
              <w:left w:w="100" w:type="dxa"/>
              <w:right w:w="100" w:type="dxa"/>
            </w:tcMar>
          </w:tcPr>
          <w:p>
            <w:pPr>
              <w:spacing w:after="0" w:before="0" w:line="264" w:lineRule="auto"/>
            </w:pPr>
            <w:r>
              <w:rPr>
                <w:b w:val="0"/>
                <w:i w:val="0"/>
                <w:sz w:val="18"/>
              </w:rPr>
              <w:t>ID, userID, instanceKey, source analysis ID, revision, target manifest, selected field values, baseline snapshot, content-stale flags, review state.</w:t>
            </w:r>
          </w:p>
        </w:tc>
      </w:tr>
      <w:tr>
        <w:trPr>
          <w:cantSplit/>
        </w:trPr>
        <w:tc>
          <w:tcPr>
            <w:tcW w:type="dxa" w:w="4248"/>
            <w:vAlign w:val="center"/>
            <w:tcMar>
              <w:top w:w="80" w:type="dxa"/>
              <w:bottom w:w="80" w:type="dxa"/>
              <w:left w:w="100" w:type="dxa"/>
              <w:right w:w="100" w:type="dxa"/>
            </w:tcMar>
            <w:shd w:fill="EEF4F7"/>
          </w:tcPr>
          <w:p>
            <w:pPr>
              <w:spacing w:after="0" w:before="0" w:line="264" w:lineRule="auto"/>
            </w:pPr>
            <w:r>
              <w:rPr>
                <w:rFonts w:ascii="DejaVu Sans Mono" w:hAnsi="DejaVu Sans Mono"/>
                <w:b w:val="0"/>
                <w:i w:val="0"/>
                <w:color w:val="163247"/>
                <w:sz w:val="16"/>
              </w:rPr>
              <w:t>ai_write_operations</w:t>
            </w:r>
          </w:p>
        </w:tc>
        <w:tc>
          <w:tcPr>
            <w:tcW w:type="dxa" w:w="5616"/>
            <w:vAlign w:val="center"/>
            <w:tcMar>
              <w:top w:w="80" w:type="dxa"/>
              <w:bottom w:w="80" w:type="dxa"/>
              <w:left w:w="100" w:type="dxa"/>
              <w:right w:w="100" w:type="dxa"/>
            </w:tcMar>
            <w:shd w:fill="EEF4F7"/>
          </w:tcPr>
          <w:p>
            <w:pPr>
              <w:spacing w:after="0" w:before="0" w:line="264" w:lineRule="auto"/>
            </w:pPr>
            <w:r>
              <w:rPr>
                <w:b w:val="0"/>
                <w:i w:val="0"/>
                <w:sz w:val="18"/>
              </w:rPr>
              <w:t>ID, userID, idempotency key, confirmed plan hash, draft revision, exact immutable plan, status, approval timestamp.</w:t>
            </w:r>
          </w:p>
        </w:tc>
      </w:tr>
      <w:tr>
        <w:trPr>
          <w:cantSplit/>
        </w:trPr>
        <w:tc>
          <w:tcPr>
            <w:tcW w:type="dxa" w:w="4248"/>
            <w:vAlign w:val="center"/>
            <w:tcMar>
              <w:top w:w="80" w:type="dxa"/>
              <w:bottom w:w="80" w:type="dxa"/>
              <w:left w:w="100" w:type="dxa"/>
              <w:right w:w="100" w:type="dxa"/>
            </w:tcMar>
          </w:tcPr>
          <w:p>
            <w:pPr>
              <w:spacing w:after="0" w:before="0" w:line="264" w:lineRule="auto"/>
            </w:pPr>
            <w:r>
              <w:rPr>
                <w:rFonts w:ascii="DejaVu Sans Mono" w:hAnsi="DejaVu Sans Mono"/>
                <w:b w:val="0"/>
                <w:i w:val="0"/>
                <w:color w:val="163247"/>
                <w:sz w:val="16"/>
              </w:rPr>
              <w:t>ai_write_targets</w:t>
            </w:r>
          </w:p>
        </w:tc>
        <w:tc>
          <w:tcPr>
            <w:tcW w:type="dxa" w:w="5616"/>
            <w:vAlign w:val="center"/>
            <w:tcMar>
              <w:top w:w="80" w:type="dxa"/>
              <w:bottom w:w="80" w:type="dxa"/>
              <w:left w:w="100" w:type="dxa"/>
              <w:right w:w="100" w:type="dxa"/>
            </w:tcMar>
          </w:tcPr>
          <w:p>
            <w:pPr>
              <w:spacing w:after="0" w:before="0" w:line="264" w:lineRule="auto"/>
            </w:pPr>
            <w:r>
              <w:rPr>
                <w:b w:val="0"/>
                <w:i w:val="0"/>
                <w:sz w:val="18"/>
              </w:rPr>
              <w:t>Operation ID + assetID, userID, before/intended/observed JSON, per-step states, verification attempts, timestamps, sanitized errors.</w:t>
            </w:r>
          </w:p>
        </w:tc>
      </w:tr>
    </w:tbl>
    <w:p>
      <w:pPr>
        <w:spacing w:after="20" w:before="0" w:line="60" w:lineRule="auto"/>
      </w:pPr>
    </w:p>
    <w:p>
      <w:pPr/>
      <w:r>
        <w:rPr>
          <w:b w:val="0"/>
          <w:i w:val="0"/>
        </w:rPr>
        <w:t xml:space="preserve">Every read and write includes user scope, including joins and uniqueness rules. </w:t>
      </w:r>
      <w:r>
        <w:rPr>
          <w:rFonts w:ascii="DejaVu Sans Mono" w:hAnsi="DejaVu Sans Mono"/>
          <w:b w:val="0"/>
          <w:i w:val="0"/>
          <w:color w:val="163247"/>
          <w:sz w:val="17"/>
        </w:rPr>
        <w:t>instanceKey</w:t>
      </w:r>
      <w:r>
        <w:rPr>
          <w:b w:val="0"/>
          <w:i w:val="0"/>
        </w:rPr>
        <w:t xml:space="preserve"> identifies the configured Immich installation, not just a display URL. Changing the installation requires a controlled reindex and invalidates pending approvals; IDs must not be reused across servers accidentally.</w:t>
      </w:r>
    </w:p>
    <w:p>
      <w:pPr/>
      <w:r>
        <w:rPr>
          <w:b w:val="0"/>
          <w:i w:val="0"/>
        </w:rPr>
        <w:t xml:space="preserve">Useful indexes cover </w:t>
      </w:r>
      <w:r>
        <w:rPr>
          <w:rFonts w:ascii="DejaVu Sans Mono" w:hAnsi="DejaVu Sans Mono"/>
          <w:b w:val="0"/>
          <w:i w:val="0"/>
          <w:color w:val="163247"/>
          <w:sz w:val="17"/>
        </w:rPr>
        <w:t>(userID, createdAt)</w:t>
      </w:r>
      <w:r>
        <w:rPr>
          <w:b w:val="0"/>
          <w:i w:val="0"/>
        </w:rPr>
        <w:t xml:space="preserve">, </w:t>
      </w:r>
      <w:r>
        <w:rPr>
          <w:rFonts w:ascii="DejaVu Sans Mono" w:hAnsi="DejaVu Sans Mono"/>
          <w:b w:val="0"/>
          <w:i w:val="0"/>
          <w:color w:val="163247"/>
          <w:sz w:val="17"/>
        </w:rPr>
        <w:t>(state, nextAttemptAt)</w:t>
      </w:r>
      <w:r>
        <w:rPr>
          <w:b w:val="0"/>
          <w:i w:val="0"/>
        </w:rPr>
        <w:t xml:space="preserve">, </w:t>
      </w:r>
      <w:r>
        <w:rPr>
          <w:rFonts w:ascii="DejaVu Sans Mono" w:hAnsi="DejaVu Sans Mono"/>
          <w:b w:val="0"/>
          <w:i w:val="0"/>
          <w:color w:val="163247"/>
          <w:sz w:val="17"/>
        </w:rPr>
        <w:t>(userID, assetID, createdAt)</w:t>
      </w:r>
      <w:r>
        <w:rPr>
          <w:b w:val="0"/>
          <w:i w:val="0"/>
        </w:rPr>
        <w:t>, and job item membership. Preserve immutable analyses even when their source disappears from the synchronized catalog, but suppress image access and purge private data according to deletion policy. Do not make synchronization overwrite AI history.</w:t>
      </w:r>
    </w:p>
    <w:p>
      <w:pPr/>
      <w:r>
        <w:rPr>
          <w:b w:val="0"/>
          <w:i w:val="0"/>
        </w:rPr>
        <w:t>Descriptions need not be added to the entire local asset index in V1. Fetch live asset metadata when preparing and verifying writes, and store only the relevant baseline in the draft/audit. This avoids expanding every sync operation just to support AI review.</w:t>
      </w:r>
    </w:p>
    <w:p>
      <w:pPr/>
      <w:r>
        <w:rPr>
          <w:b w:val="0"/>
          <w:i w:val="0"/>
        </w:rPr>
        <w:t xml:space="preserve">Backup the database and encryption key together, but protect them separately. Use SQLite's consistent backup mechanism or stop the service for a filesystem copy; do not copy only the live </w:t>
      </w:r>
      <w:r>
        <w:rPr>
          <w:rFonts w:ascii="DejaVu Sans Mono" w:hAnsi="DejaVu Sans Mono"/>
          <w:b w:val="0"/>
          <w:i w:val="0"/>
          <w:color w:val="163247"/>
          <w:sz w:val="17"/>
        </w:rPr>
        <w:t>.db</w:t>
      </w:r>
      <w:r>
        <w:rPr>
          <w:b w:val="0"/>
          <w:i w:val="0"/>
        </w:rPr>
        <w:t xml:space="preserve"> while ignoring WAL state. SQLite WAL is not suitable for a shared network-filesystem database. Use local host storage; a distributed worker design would require a different coordination plan. [M02]</w:t>
      </w:r>
    </w:p>
    <w:p>
      <w:pPr>
        <w:pStyle w:val="Heading1"/>
      </w:pPr>
      <w:r>
        <w:rPr>
          <w:b w:val="0"/>
          <w:i w:val="0"/>
        </w:rPr>
        <w:t>8. Durable execution, states, and budgets</w:t>
      </w:r>
    </w:p>
    <w:p>
      <w:pPr>
        <w:pStyle w:val="Heading2"/>
      </w:pPr>
      <w:r>
        <w:rPr>
          <w:b w:val="0"/>
          <w:i w:val="0"/>
        </w:rPr>
        <w:t>8.1 Independent state dimensions</w:t>
      </w:r>
    </w:p>
    <w:tbl>
      <w:tblPr>
        <w:tblW w:type="auto" w:w="0"/>
        <w:jc w:val="center"/>
        <w:tblLayout w:type="fixed"/>
        <w:tblLook w:firstColumn="1" w:firstRow="1" w:lastColumn="0" w:lastRow="0" w:noHBand="0" w:noVBand="1" w:val="04A0"/>
      </w:tblPr>
      <w:tblGrid>
        <w:gridCol w:w="1656"/>
        <w:gridCol w:w="8208"/>
      </w:tblGrid>
      <w:tr>
        <w:trPr>
          <w:cantSplit/>
          <w:tblHeader/>
        </w:trPr>
        <w:tc>
          <w:tcPr>
            <w:tcW w:type="dxa" w:w="1656"/>
            <w:vAlign w:val="center"/>
            <w:tcMar>
              <w:top w:w="80" w:type="dxa"/>
              <w:bottom w:w="80" w:type="dxa"/>
              <w:left w:w="100" w:type="dxa"/>
              <w:right w:w="100" w:type="dxa"/>
            </w:tcMar>
            <w:shd w:fill="163247"/>
          </w:tcPr>
          <w:p>
            <w:pPr>
              <w:spacing w:after="0" w:before="0" w:line="264" w:lineRule="auto"/>
            </w:pPr>
            <w:r>
              <w:rPr>
                <w:b/>
                <w:i w:val="0"/>
                <w:color w:val="FFFFFF"/>
                <w:sz w:val="18"/>
              </w:rPr>
              <w:t>Dimension</w:t>
            </w:r>
          </w:p>
        </w:tc>
        <w:tc>
          <w:tcPr>
            <w:tcW w:type="dxa" w:w="8208"/>
            <w:vAlign w:val="center"/>
            <w:tcMar>
              <w:top w:w="80" w:type="dxa"/>
              <w:bottom w:w="80" w:type="dxa"/>
              <w:left w:w="100" w:type="dxa"/>
              <w:right w:w="100" w:type="dxa"/>
            </w:tcMar>
            <w:shd w:fill="163247"/>
          </w:tcPr>
          <w:p>
            <w:pPr>
              <w:spacing w:after="0" w:before="0" w:line="264" w:lineRule="auto"/>
            </w:pPr>
            <w:r>
              <w:rPr>
                <w:b/>
                <w:i w:val="0"/>
                <w:color w:val="FFFFFF"/>
                <w:sz w:val="18"/>
              </w:rPr>
              <w:t>States / meaning</w:t>
            </w:r>
          </w:p>
        </w:tc>
      </w:tr>
      <w:tr>
        <w:trPr>
          <w:cantSplit/>
        </w:trPr>
        <w:tc>
          <w:tcPr>
            <w:tcW w:type="dxa" w:w="1656"/>
            <w:vAlign w:val="center"/>
            <w:tcMar>
              <w:top w:w="80" w:type="dxa"/>
              <w:bottom w:w="80" w:type="dxa"/>
              <w:left w:w="100" w:type="dxa"/>
              <w:right w:w="100" w:type="dxa"/>
            </w:tcMar>
            <w:shd w:fill="EEF4F7"/>
          </w:tcPr>
          <w:p>
            <w:pPr>
              <w:spacing w:after="0" w:before="0" w:line="264" w:lineRule="auto"/>
            </w:pPr>
            <w:r>
              <w:rPr>
                <w:b w:val="0"/>
                <w:i w:val="0"/>
                <w:sz w:val="18"/>
              </w:rPr>
              <w:t>Item execution</w:t>
            </w:r>
          </w:p>
        </w:tc>
        <w:tc>
          <w:tcPr>
            <w:tcW w:type="dxa" w:w="8208"/>
            <w:vAlign w:val="center"/>
            <w:tcMar>
              <w:top w:w="80" w:type="dxa"/>
              <w:bottom w:w="80" w:type="dxa"/>
              <w:left w:w="100" w:type="dxa"/>
              <w:right w:w="100" w:type="dxa"/>
            </w:tcMar>
            <w:shd w:fill="EEF4F7"/>
          </w:tcPr>
          <w:p>
            <w:pPr>
              <w:spacing w:after="0" w:before="0" w:line="264" w:lineRule="auto"/>
            </w:pPr>
            <w:r>
              <w:rPr>
                <w:b w:val="0"/>
                <w:i w:val="0"/>
                <w:sz w:val="18"/>
              </w:rPr>
              <w:t>queued, running, retry_wait, blocked, succeeded, failed, canceled.</w:t>
            </w:r>
          </w:p>
        </w:tc>
      </w:tr>
      <w:tr>
        <w:trPr>
          <w:cantSplit/>
        </w:trPr>
        <w:tc>
          <w:tcPr>
            <w:tcW w:type="dxa" w:w="1656"/>
            <w:vAlign w:val="center"/>
            <w:tcMar>
              <w:top w:w="80" w:type="dxa"/>
              <w:bottom w:w="80" w:type="dxa"/>
              <w:left w:w="100" w:type="dxa"/>
              <w:right w:w="100" w:type="dxa"/>
            </w:tcMar>
          </w:tcPr>
          <w:p>
            <w:pPr>
              <w:spacing w:after="0" w:before="0" w:line="264" w:lineRule="auto"/>
            </w:pPr>
            <w:r>
              <w:rPr>
                <w:b w:val="0"/>
                <w:i w:val="0"/>
                <w:sz w:val="18"/>
              </w:rPr>
              <w:t>Analysis outcome</w:t>
            </w:r>
          </w:p>
        </w:tc>
        <w:tc>
          <w:tcPr>
            <w:tcW w:type="dxa" w:w="8208"/>
            <w:vAlign w:val="center"/>
            <w:tcMar>
              <w:top w:w="80" w:type="dxa"/>
              <w:bottom w:w="80" w:type="dxa"/>
              <w:left w:w="100" w:type="dxa"/>
              <w:right w:w="100" w:type="dxa"/>
            </w:tcMar>
          </w:tcPr>
          <w:p>
            <w:pPr>
              <w:spacing w:after="0" w:before="0" w:line="264" w:lineRule="auto"/>
            </w:pPr>
            <w:r>
              <w:rPr>
                <w:b w:val="0"/>
                <w:i w:val="0"/>
                <w:sz w:val="18"/>
              </w:rPr>
              <w:t>located, ambiguous, unknown; only populated after valid completion.</w:t>
            </w:r>
          </w:p>
        </w:tc>
      </w:tr>
      <w:tr>
        <w:trPr>
          <w:cantSplit/>
        </w:trPr>
        <w:tc>
          <w:tcPr>
            <w:tcW w:type="dxa" w:w="1656"/>
            <w:vAlign w:val="center"/>
            <w:tcMar>
              <w:top w:w="80" w:type="dxa"/>
              <w:bottom w:w="80" w:type="dxa"/>
              <w:left w:w="100" w:type="dxa"/>
              <w:right w:w="100" w:type="dxa"/>
            </w:tcMar>
            <w:shd w:fill="EEF4F7"/>
          </w:tcPr>
          <w:p>
            <w:pPr>
              <w:spacing w:after="0" w:before="0" w:line="264" w:lineRule="auto"/>
            </w:pPr>
            <w:r>
              <w:rPr>
                <w:b w:val="0"/>
                <w:i w:val="0"/>
                <w:sz w:val="18"/>
              </w:rPr>
              <w:t>Review</w:t>
            </w:r>
          </w:p>
        </w:tc>
        <w:tc>
          <w:tcPr>
            <w:tcW w:type="dxa" w:w="8208"/>
            <w:vAlign w:val="center"/>
            <w:tcMar>
              <w:top w:w="80" w:type="dxa"/>
              <w:bottom w:w="80" w:type="dxa"/>
              <w:left w:w="100" w:type="dxa"/>
              <w:right w:w="100" w:type="dxa"/>
            </w:tcMar>
            <w:shd w:fill="EEF4F7"/>
          </w:tcPr>
          <w:p>
            <w:pPr>
              <w:spacing w:after="0" w:before="0" w:line="264" w:lineRule="auto"/>
            </w:pPr>
            <w:r>
              <w:rPr>
                <w:b w:val="0"/>
                <w:i w:val="0"/>
                <w:sz w:val="18"/>
              </w:rPr>
              <w:t>unreviewed, draft, staged, rejected; tied to a result/draft revision.</w:t>
            </w:r>
          </w:p>
        </w:tc>
      </w:tr>
      <w:tr>
        <w:trPr>
          <w:cantSplit/>
        </w:trPr>
        <w:tc>
          <w:tcPr>
            <w:tcW w:type="dxa" w:w="1656"/>
            <w:vAlign w:val="center"/>
            <w:tcMar>
              <w:top w:w="80" w:type="dxa"/>
              <w:bottom w:w="80" w:type="dxa"/>
              <w:left w:w="100" w:type="dxa"/>
              <w:right w:w="100" w:type="dxa"/>
            </w:tcMar>
          </w:tcPr>
          <w:p>
            <w:pPr>
              <w:spacing w:after="0" w:before="0" w:line="264" w:lineRule="auto"/>
            </w:pPr>
            <w:r>
              <w:rPr>
                <w:b w:val="0"/>
                <w:i w:val="0"/>
                <w:sz w:val="18"/>
              </w:rPr>
              <w:t>Write</w:t>
            </w:r>
          </w:p>
        </w:tc>
        <w:tc>
          <w:tcPr>
            <w:tcW w:type="dxa" w:w="8208"/>
            <w:vAlign w:val="center"/>
            <w:tcMar>
              <w:top w:w="80" w:type="dxa"/>
              <w:bottom w:w="80" w:type="dxa"/>
              <w:left w:w="100" w:type="dxa"/>
              <w:right w:w="100" w:type="dxa"/>
            </w:tcMar>
          </w:tcPr>
          <w:p>
            <w:pPr>
              <w:spacing w:after="0" w:before="0" w:line="264" w:lineRule="auto"/>
            </w:pPr>
            <w:r>
              <w:rPr>
                <w:b w:val="0"/>
                <w:i w:val="0"/>
                <w:sz w:val="18"/>
              </w:rPr>
              <w:t>not_requested, queued, writing, verifying, succeeded, partial, conflict, failed.</w:t>
            </w:r>
          </w:p>
        </w:tc>
      </w:tr>
    </w:tbl>
    <w:p>
      <w:pPr>
        <w:spacing w:after="20" w:before="0" w:line="60" w:lineRule="auto"/>
      </w:pPr>
    </w:p>
    <w:p>
      <w:pPr/>
      <w:r>
        <w:rPr>
          <w:b w:val="0"/>
          <w:i w:val="0"/>
        </w:rPr>
        <w:t>A job derives its aggregate status from items. “Succeeded + unknown” is valid. “Staged” does not imply an Immich mutation. The AI Results query must not be restricted to currently missing-GPS assets.</w:t>
      </w:r>
    </w:p>
    <w:p>
      <w:pPr>
        <w:pStyle w:val="Heading2"/>
      </w:pPr>
      <w:r>
        <w:rPr>
          <w:b w:val="0"/>
          <w:i w:val="0"/>
        </w:rPr>
        <w:t>8.2 Claiming and recovery</w:t>
      </w:r>
    </w:p>
    <w:p>
      <w:pPr/>
      <w:r>
        <w:rPr>
          <w:b w:val="0"/>
          <w:i w:val="0"/>
        </w:rPr>
        <w:t>Claim one eligible item in a short atomic SQLite transaction, storing a random lease token and expiry. Commit before any network request. Heartbeat while working; finalize only when the lease token still matches. This fencing rule prevents a late worker from overwriting a recovered result.</w:t>
      </w:r>
    </w:p>
    <w:p>
      <w:pPr/>
      <w:r>
        <w:rPr>
          <w:b w:val="0"/>
          <w:i w:val="0"/>
        </w:rPr>
        <w:t>On restart, reconcile expired leases and move eligible interrupted items to retry_wait. On cancellation, stop undispatched items and mark running work cancel-requested; late results cannot create drafts or writes. Completed items and accepted drafts remain intact.</w:t>
      </w:r>
    </w:p>
    <w:p>
      <w:pPr/>
      <w:r>
        <w:rPr>
          <w:b w:val="0"/>
          <w:i w:val="0"/>
        </w:rPr>
        <w:t>Use at-least-once dispatch semantics with bounded attempts. An external provider may charge twice if a request was processed but its response was lost; neither SQLite nor an application idempotency key guarantees exactly-once provider billing. Capture provider request IDs where available and avoid opaque SDK retry loops layered over worker retries.</w:t>
      </w:r>
    </w:p>
    <w:p>
      <w:pPr>
        <w:pStyle w:val="Heading2"/>
      </w:pPr>
      <w:r>
        <w:rPr>
          <w:b w:val="0"/>
          <w:i w:val="0"/>
        </w:rPr>
        <w:t>8.3 Proposed initial defaults</w:t>
      </w:r>
    </w:p>
    <w:p>
      <w:pPr/>
      <w:r>
        <w:rPr>
          <w:b w:val="0"/>
          <w:i w:val="0"/>
        </w:rPr>
        <w:t>Defaults are operator-configurable and must be tested: global concurrency 2; per-user concurrency 1; maximum 500 assets per submission; 120-second provider timeout; 180-second renewable lease; 30-second heartbeat; at most 3 provider dispatches per item in total. A schema-repair call counts toward that total. Poll visible progress every 3 seconds and back off when idle.</w:t>
      </w:r>
    </w:p>
    <w:p>
      <w:pPr/>
      <w:r>
        <w:rPr>
          <w:b w:val="0"/>
          <w:i w:val="0"/>
        </w:rPr>
        <w:t xml:space="preserve">Retry transient 429/5xx/network failures with jitter and bounded </w:t>
      </w:r>
      <w:r>
        <w:rPr>
          <w:rFonts w:ascii="DejaVu Sans Mono" w:hAnsi="DejaVu Sans Mono"/>
          <w:b w:val="0"/>
          <w:i w:val="0"/>
          <w:color w:val="163247"/>
          <w:sz w:val="17"/>
        </w:rPr>
        <w:t>Retry-After</w:t>
      </w:r>
      <w:r>
        <w:rPr>
          <w:b w:val="0"/>
          <w:i w:val="0"/>
        </w:rPr>
        <w:t>. Treat authentication, disallowed egress, unsupported image format, refusal, and persistent invalid output as nontransient unless an explicit capability fallback applies. Pause new provider dispatches on repeated systemic failures rather than consuming every item.</w:t>
      </w:r>
    </w:p>
    <w:p>
      <w:pPr/>
      <w:r>
        <w:rPr>
          <w:b w:val="0"/>
          <w:i w:val="0"/>
        </w:rPr>
        <w:t>Enforce hard call/token limits. Monetary budgets are estimates when tariffs or usage are incomplete. Reserve estimated concurrent cost before dispatch and stop launching new requests at the cap; in-flight provider charges cannot be canceled reliably. Do not label a monetary estimate as an exact billing ceiling.</w:t>
      </w:r>
    </w:p>
    <w:p>
      <w:pPr/>
      <w:r>
        <w:rPr>
          <w:b w:val="0"/>
          <w:i w:val="0"/>
        </w:rPr>
        <w:t>Deduplicate repeated HTTP submissions by an application idempotency key. A content/context hash supports explicit reuse of unchanged results, but never caches across users or bypasses a requested reanalysis. Detect changed image versions before using a previously staged result.</w:t>
      </w:r>
    </w:p>
    <w:p>
      <w:pPr>
        <w:pStyle w:val="Heading1"/>
      </w:pPr>
      <w:r>
        <w:rPr>
          <w:b w:val="0"/>
          <w:i w:val="0"/>
        </w:rPr>
        <w:t>9. Proposed application API</w:t>
      </w:r>
    </w:p>
    <w:p>
      <w:pPr/>
      <w:r>
        <w:rPr>
          <w:b w:val="0"/>
          <w:i w:val="0"/>
        </w:rPr>
        <w:t xml:space="preserve">Paths below are relative to the Go backend. The existing frontend proxy convention can expose them under </w:t>
      </w:r>
      <w:r>
        <w:rPr>
          <w:rFonts w:ascii="DejaVu Sans Mono" w:hAnsi="DejaVu Sans Mono"/>
          <w:b w:val="0"/>
          <w:i w:val="0"/>
          <w:color w:val="163247"/>
          <w:sz w:val="17"/>
        </w:rPr>
        <w:t>/api/backend</w:t>
      </w:r>
      <w:r>
        <w:rPr>
          <w:b w:val="0"/>
          <w:i w:val="0"/>
        </w:rPr>
        <w:t>; confirm the configured prefix rather than adding a second auth path. [R01]</w:t>
      </w:r>
    </w:p>
    <w:tbl>
      <w:tblPr>
        <w:tblW w:type="auto" w:w="0"/>
        <w:jc w:val="center"/>
        <w:tblLayout w:type="fixed"/>
        <w:tblLook w:firstColumn="1" w:firstRow="1" w:lastColumn="0" w:lastRow="0" w:noHBand="0" w:noVBand="1" w:val="04A0"/>
      </w:tblPr>
      <w:tblGrid>
        <w:gridCol w:w="4248"/>
        <w:gridCol w:w="5616"/>
      </w:tblGrid>
      <w:tr>
        <w:trPr>
          <w:cantSplit/>
          <w:tblHeader/>
        </w:trPr>
        <w:tc>
          <w:tcPr>
            <w:tcW w:type="dxa" w:w="4248"/>
            <w:vAlign w:val="center"/>
            <w:tcMar>
              <w:top w:w="80" w:type="dxa"/>
              <w:bottom w:w="80" w:type="dxa"/>
              <w:left w:w="100" w:type="dxa"/>
              <w:right w:w="100" w:type="dxa"/>
            </w:tcMar>
            <w:shd w:fill="163247"/>
          </w:tcPr>
          <w:p>
            <w:pPr>
              <w:spacing w:after="0" w:before="0" w:line="264" w:lineRule="auto"/>
            </w:pPr>
            <w:r>
              <w:rPr>
                <w:b/>
                <w:i w:val="0"/>
                <w:color w:val="FFFFFF"/>
                <w:sz w:val="18"/>
              </w:rPr>
              <w:t>Method and path</w:t>
            </w:r>
          </w:p>
        </w:tc>
        <w:tc>
          <w:tcPr>
            <w:tcW w:type="dxa" w:w="5616"/>
            <w:vAlign w:val="center"/>
            <w:tcMar>
              <w:top w:w="80" w:type="dxa"/>
              <w:bottom w:w="80" w:type="dxa"/>
              <w:left w:w="100" w:type="dxa"/>
              <w:right w:w="100" w:type="dxa"/>
            </w:tcMar>
            <w:shd w:fill="163247"/>
          </w:tcPr>
          <w:p>
            <w:pPr>
              <w:spacing w:after="0" w:before="0" w:line="264" w:lineRule="auto"/>
            </w:pPr>
            <w:r>
              <w:rPr>
                <w:b/>
                <w:i w:val="0"/>
                <w:color w:val="FFFFFF"/>
                <w:sz w:val="18"/>
              </w:rPr>
              <w:t>Contract intent</w:t>
            </w:r>
          </w:p>
        </w:tc>
      </w:tr>
      <w:tr>
        <w:trPr>
          <w:cantSplit/>
        </w:trPr>
        <w:tc>
          <w:tcPr>
            <w:tcW w:type="dxa" w:w="4248"/>
            <w:vAlign w:val="center"/>
            <w:tcMar>
              <w:top w:w="80" w:type="dxa"/>
              <w:bottom w:w="80" w:type="dxa"/>
              <w:left w:w="100" w:type="dxa"/>
              <w:right w:w="100" w:type="dxa"/>
            </w:tcMar>
            <w:shd w:fill="EEF4F7"/>
          </w:tcPr>
          <w:p>
            <w:pPr>
              <w:spacing w:after="0" w:before="0" w:line="264" w:lineRule="auto"/>
            </w:pPr>
            <w:r>
              <w:rPr>
                <w:rFonts w:ascii="DejaVu Sans Mono" w:hAnsi="DejaVu Sans Mono"/>
                <w:b w:val="0"/>
                <w:i w:val="0"/>
                <w:color w:val="163247"/>
                <w:sz w:val="16"/>
              </w:rPr>
              <w:t>GET /ai/providers</w:t>
            </w:r>
          </w:p>
        </w:tc>
        <w:tc>
          <w:tcPr>
            <w:tcW w:type="dxa" w:w="5616"/>
            <w:vAlign w:val="center"/>
            <w:tcMar>
              <w:top w:w="80" w:type="dxa"/>
              <w:bottom w:w="80" w:type="dxa"/>
              <w:left w:w="100" w:type="dxa"/>
              <w:right w:w="100" w:type="dxa"/>
            </w:tcMar>
            <w:shd w:fill="EEF4F7"/>
          </w:tcPr>
          <w:p>
            <w:pPr>
              <w:spacing w:after="0" w:before="0" w:line="264" w:lineRule="auto"/>
            </w:pPr>
            <w:r>
              <w:rPr>
                <w:b w:val="0"/>
                <w:i w:val="0"/>
                <w:sz w:val="18"/>
              </w:rPr>
              <w:t>List this user's redacted profiles and capability summaries.</w:t>
            </w:r>
          </w:p>
        </w:tc>
      </w:tr>
      <w:tr>
        <w:trPr>
          <w:cantSplit/>
        </w:trPr>
        <w:tc>
          <w:tcPr>
            <w:tcW w:type="dxa" w:w="4248"/>
            <w:vAlign w:val="center"/>
            <w:tcMar>
              <w:top w:w="80" w:type="dxa"/>
              <w:bottom w:w="80" w:type="dxa"/>
              <w:left w:w="100" w:type="dxa"/>
              <w:right w:w="100" w:type="dxa"/>
            </w:tcMar>
          </w:tcPr>
          <w:p>
            <w:pPr>
              <w:spacing w:after="0" w:before="0" w:line="264" w:lineRule="auto"/>
            </w:pPr>
            <w:r>
              <w:rPr>
                <w:rFonts w:ascii="DejaVu Sans Mono" w:hAnsi="DejaVu Sans Mono"/>
                <w:b w:val="0"/>
                <w:i w:val="0"/>
                <w:color w:val="163247"/>
                <w:sz w:val="16"/>
              </w:rPr>
              <w:t>POST /ai/providers</w:t>
            </w:r>
          </w:p>
        </w:tc>
        <w:tc>
          <w:tcPr>
            <w:tcW w:type="dxa" w:w="5616"/>
            <w:vAlign w:val="center"/>
            <w:tcMar>
              <w:top w:w="80" w:type="dxa"/>
              <w:bottom w:w="80" w:type="dxa"/>
              <w:left w:w="100" w:type="dxa"/>
              <w:right w:w="100" w:type="dxa"/>
            </w:tcMar>
          </w:tcPr>
          <w:p>
            <w:pPr>
              <w:spacing w:after="0" w:before="0" w:line="264" w:lineRule="auto"/>
            </w:pPr>
            <w:r>
              <w:rPr>
                <w:b w:val="0"/>
                <w:i w:val="0"/>
                <w:sz w:val="18"/>
              </w:rPr>
              <w:t>Create a validated private profile.</w:t>
            </w:r>
          </w:p>
        </w:tc>
      </w:tr>
      <w:tr>
        <w:trPr>
          <w:cantSplit/>
        </w:trPr>
        <w:tc>
          <w:tcPr>
            <w:tcW w:type="dxa" w:w="4248"/>
            <w:vAlign w:val="center"/>
            <w:tcMar>
              <w:top w:w="80" w:type="dxa"/>
              <w:bottom w:w="80" w:type="dxa"/>
              <w:left w:w="100" w:type="dxa"/>
              <w:right w:w="100" w:type="dxa"/>
            </w:tcMar>
            <w:shd w:fill="EEF4F7"/>
          </w:tcPr>
          <w:p>
            <w:pPr>
              <w:spacing w:after="0" w:before="0" w:line="264" w:lineRule="auto"/>
            </w:pPr>
            <w:r>
              <w:rPr>
                <w:rFonts w:ascii="DejaVu Sans Mono" w:hAnsi="DejaVu Sans Mono"/>
                <w:b w:val="0"/>
                <w:i w:val="0"/>
                <w:color w:val="163247"/>
                <w:sz w:val="16"/>
              </w:rPr>
              <w:t>PUT /ai/providers/{id}</w:t>
            </w:r>
          </w:p>
        </w:tc>
        <w:tc>
          <w:tcPr>
            <w:tcW w:type="dxa" w:w="5616"/>
            <w:vAlign w:val="center"/>
            <w:tcMar>
              <w:top w:w="80" w:type="dxa"/>
              <w:bottom w:w="80" w:type="dxa"/>
              <w:left w:w="100" w:type="dxa"/>
              <w:right w:w="100" w:type="dxa"/>
            </w:tcMar>
            <w:shd w:fill="EEF4F7"/>
          </w:tcPr>
          <w:p>
            <w:pPr>
              <w:spacing w:after="0" w:before="0" w:line="264" w:lineRule="auto"/>
            </w:pPr>
            <w:r>
              <w:rPr>
                <w:b w:val="0"/>
                <w:i w:val="0"/>
                <w:sz w:val="18"/>
              </w:rPr>
              <w:t>Create a new profile revision; optimistic concurrency required.</w:t>
            </w:r>
          </w:p>
        </w:tc>
      </w:tr>
      <w:tr>
        <w:trPr>
          <w:cantSplit/>
        </w:trPr>
        <w:tc>
          <w:tcPr>
            <w:tcW w:type="dxa" w:w="4248"/>
            <w:vAlign w:val="center"/>
            <w:tcMar>
              <w:top w:w="80" w:type="dxa"/>
              <w:bottom w:w="80" w:type="dxa"/>
              <w:left w:w="100" w:type="dxa"/>
              <w:right w:w="100" w:type="dxa"/>
            </w:tcMar>
          </w:tcPr>
          <w:p>
            <w:pPr>
              <w:spacing w:after="0" w:before="0" w:line="264" w:lineRule="auto"/>
            </w:pPr>
            <w:r>
              <w:rPr>
                <w:rFonts w:ascii="DejaVu Sans Mono" w:hAnsi="DejaVu Sans Mono"/>
                <w:b w:val="0"/>
                <w:i w:val="0"/>
                <w:color w:val="163247"/>
                <w:sz w:val="16"/>
              </w:rPr>
              <w:t>POST /ai/providers/{id}/test</w:t>
            </w:r>
          </w:p>
        </w:tc>
        <w:tc>
          <w:tcPr>
            <w:tcW w:type="dxa" w:w="5616"/>
            <w:vAlign w:val="center"/>
            <w:tcMar>
              <w:top w:w="80" w:type="dxa"/>
              <w:bottom w:w="80" w:type="dxa"/>
              <w:left w:w="100" w:type="dxa"/>
              <w:right w:w="100" w:type="dxa"/>
            </w:tcMar>
          </w:tcPr>
          <w:p>
            <w:pPr>
              <w:spacing w:after="0" w:before="0" w:line="264" w:lineRule="auto"/>
            </w:pPr>
            <w:r>
              <w:rPr>
                <w:b w:val="0"/>
                <w:i w:val="0"/>
                <w:sz w:val="18"/>
              </w:rPr>
              <w:t>Bounded synthetic-image capability test; explicit user action.</w:t>
            </w:r>
          </w:p>
        </w:tc>
      </w:tr>
      <w:tr>
        <w:trPr>
          <w:cantSplit/>
        </w:trPr>
        <w:tc>
          <w:tcPr>
            <w:tcW w:type="dxa" w:w="4248"/>
            <w:vAlign w:val="center"/>
            <w:tcMar>
              <w:top w:w="80" w:type="dxa"/>
              <w:bottom w:w="80" w:type="dxa"/>
              <w:left w:w="100" w:type="dxa"/>
              <w:right w:w="100" w:type="dxa"/>
            </w:tcMar>
            <w:shd w:fill="EEF4F7"/>
          </w:tcPr>
          <w:p>
            <w:pPr>
              <w:spacing w:after="0" w:before="0" w:line="264" w:lineRule="auto"/>
            </w:pPr>
            <w:r>
              <w:rPr>
                <w:rFonts w:ascii="DejaVu Sans Mono" w:hAnsi="DejaVu Sans Mono"/>
                <w:b w:val="0"/>
                <w:i w:val="0"/>
                <w:color w:val="163247"/>
                <w:sz w:val="16"/>
              </w:rPr>
              <w:t>POST /ai/selection-preview</w:t>
            </w:r>
          </w:p>
        </w:tc>
        <w:tc>
          <w:tcPr>
            <w:tcW w:type="dxa" w:w="5616"/>
            <w:vAlign w:val="center"/>
            <w:tcMar>
              <w:top w:w="80" w:type="dxa"/>
              <w:bottom w:w="80" w:type="dxa"/>
              <w:left w:w="100" w:type="dxa"/>
              <w:right w:w="100" w:type="dxa"/>
            </w:tcMar>
            <w:shd w:fill="EEF4F7"/>
          </w:tcPr>
          <w:p>
            <w:pPr>
              <w:spacing w:after="0" w:before="0" w:line="264" w:lineRule="auto"/>
            </w:pPr>
            <w:r>
              <w:rPr>
                <w:b w:val="0"/>
                <w:i w:val="0"/>
                <w:sz w:val="18"/>
              </w:rPr>
              <w:t>Resolve explicit IDs or current filters to a frozen selection token, counts, exclusions, and expiry.</w:t>
            </w:r>
          </w:p>
        </w:tc>
      </w:tr>
      <w:tr>
        <w:trPr>
          <w:cantSplit/>
        </w:trPr>
        <w:tc>
          <w:tcPr>
            <w:tcW w:type="dxa" w:w="4248"/>
            <w:vAlign w:val="center"/>
            <w:tcMar>
              <w:top w:w="80" w:type="dxa"/>
              <w:bottom w:w="80" w:type="dxa"/>
              <w:left w:w="100" w:type="dxa"/>
              <w:right w:w="100" w:type="dxa"/>
            </w:tcMar>
          </w:tcPr>
          <w:p>
            <w:pPr>
              <w:spacing w:after="0" w:before="0" w:line="264" w:lineRule="auto"/>
            </w:pPr>
            <w:r>
              <w:rPr>
                <w:rFonts w:ascii="DejaVu Sans Mono" w:hAnsi="DejaVu Sans Mono"/>
                <w:b w:val="0"/>
                <w:i w:val="0"/>
                <w:color w:val="163247"/>
                <w:sz w:val="16"/>
              </w:rPr>
              <w:t>POST /ai/jobs</w:t>
            </w:r>
          </w:p>
        </w:tc>
        <w:tc>
          <w:tcPr>
            <w:tcW w:type="dxa" w:w="5616"/>
            <w:vAlign w:val="center"/>
            <w:tcMar>
              <w:top w:w="80" w:type="dxa"/>
              <w:bottom w:w="80" w:type="dxa"/>
              <w:left w:w="100" w:type="dxa"/>
              <w:right w:w="100" w:type="dxa"/>
            </w:tcMar>
          </w:tcPr>
          <w:p>
            <w:pPr>
              <w:spacing w:after="0" w:before="0" w:line="264" w:lineRule="auto"/>
            </w:pPr>
            <w:r>
              <w:rPr>
                <w:b w:val="0"/>
                <w:i w:val="0"/>
                <w:sz w:val="18"/>
              </w:rPr>
              <w:t>Submit token, provider revision, mode, languages, consent, hint, and limits; return 202 plus job ID.</w:t>
            </w:r>
          </w:p>
        </w:tc>
      </w:tr>
      <w:tr>
        <w:trPr>
          <w:cantSplit/>
        </w:trPr>
        <w:tc>
          <w:tcPr>
            <w:tcW w:type="dxa" w:w="4248"/>
            <w:vAlign w:val="center"/>
            <w:tcMar>
              <w:top w:w="80" w:type="dxa"/>
              <w:bottom w:w="80" w:type="dxa"/>
              <w:left w:w="100" w:type="dxa"/>
              <w:right w:w="100" w:type="dxa"/>
            </w:tcMar>
            <w:shd w:fill="EEF4F7"/>
          </w:tcPr>
          <w:p>
            <w:pPr>
              <w:spacing w:after="0" w:before="0" w:line="264" w:lineRule="auto"/>
            </w:pPr>
            <w:r>
              <w:rPr>
                <w:rFonts w:ascii="DejaVu Sans Mono" w:hAnsi="DejaVu Sans Mono"/>
                <w:b w:val="0"/>
                <w:i w:val="0"/>
                <w:color w:val="163247"/>
                <w:sz w:val="16"/>
              </w:rPr>
              <w:t>GET /ai/jobs</w:t>
            </w:r>
            <w:r>
              <w:rPr>
                <w:b w:val="0"/>
                <w:i w:val="0"/>
                <w:sz w:val="18"/>
              </w:rPr>
              <w:t xml:space="preserve"> / </w:t>
            </w:r>
            <w:r>
              <w:rPr>
                <w:rFonts w:ascii="DejaVu Sans Mono" w:hAnsi="DejaVu Sans Mono"/>
                <w:b w:val="0"/>
                <w:i w:val="0"/>
                <w:color w:val="163247"/>
                <w:sz w:val="16"/>
              </w:rPr>
              <w:t>GET /ai/jobs/{id}</w:t>
            </w:r>
          </w:p>
        </w:tc>
        <w:tc>
          <w:tcPr>
            <w:tcW w:type="dxa" w:w="5616"/>
            <w:vAlign w:val="center"/>
            <w:tcMar>
              <w:top w:w="80" w:type="dxa"/>
              <w:bottom w:w="80" w:type="dxa"/>
              <w:left w:w="100" w:type="dxa"/>
              <w:right w:w="100" w:type="dxa"/>
            </w:tcMar>
            <w:shd w:fill="EEF4F7"/>
          </w:tcPr>
          <w:p>
            <w:pPr>
              <w:spacing w:after="0" w:before="0" w:line="264" w:lineRule="auto"/>
            </w:pPr>
            <w:r>
              <w:rPr>
                <w:b w:val="0"/>
                <w:i w:val="0"/>
                <w:sz w:val="18"/>
              </w:rPr>
              <w:t>Paginated jobs and item progress.</w:t>
            </w:r>
          </w:p>
        </w:tc>
      </w:tr>
      <w:tr>
        <w:trPr>
          <w:cantSplit/>
        </w:trPr>
        <w:tc>
          <w:tcPr>
            <w:tcW w:type="dxa" w:w="4248"/>
            <w:vAlign w:val="center"/>
            <w:tcMar>
              <w:top w:w="80" w:type="dxa"/>
              <w:bottom w:w="80" w:type="dxa"/>
              <w:left w:w="100" w:type="dxa"/>
              <w:right w:w="100" w:type="dxa"/>
            </w:tcMar>
          </w:tcPr>
          <w:p>
            <w:pPr>
              <w:spacing w:after="0" w:before="0" w:line="264" w:lineRule="auto"/>
            </w:pPr>
            <w:r>
              <w:rPr>
                <w:rFonts w:ascii="DejaVu Sans Mono" w:hAnsi="DejaVu Sans Mono"/>
                <w:b w:val="0"/>
                <w:i w:val="0"/>
                <w:color w:val="163247"/>
                <w:sz w:val="16"/>
              </w:rPr>
              <w:t>POST /ai/jobs/{id}/cancel</w:t>
            </w:r>
          </w:p>
        </w:tc>
        <w:tc>
          <w:tcPr>
            <w:tcW w:type="dxa" w:w="5616"/>
            <w:vAlign w:val="center"/>
            <w:tcMar>
              <w:top w:w="80" w:type="dxa"/>
              <w:bottom w:w="80" w:type="dxa"/>
              <w:left w:w="100" w:type="dxa"/>
              <w:right w:w="100" w:type="dxa"/>
            </w:tcMar>
          </w:tcPr>
          <w:p>
            <w:pPr>
              <w:spacing w:after="0" w:before="0" w:line="264" w:lineRule="auto"/>
            </w:pPr>
            <w:r>
              <w:rPr>
                <w:b w:val="0"/>
                <w:i w:val="0"/>
                <w:sz w:val="18"/>
              </w:rPr>
              <w:t>Stop future dispatch and request cancellation of active items.</w:t>
            </w:r>
          </w:p>
        </w:tc>
      </w:tr>
      <w:tr>
        <w:trPr>
          <w:cantSplit/>
        </w:trPr>
        <w:tc>
          <w:tcPr>
            <w:tcW w:type="dxa" w:w="4248"/>
            <w:vAlign w:val="center"/>
            <w:tcMar>
              <w:top w:w="80" w:type="dxa"/>
              <w:bottom w:w="80" w:type="dxa"/>
              <w:left w:w="100" w:type="dxa"/>
              <w:right w:w="100" w:type="dxa"/>
            </w:tcMar>
            <w:shd w:fill="EEF4F7"/>
          </w:tcPr>
          <w:p>
            <w:pPr>
              <w:spacing w:after="0" w:before="0" w:line="264" w:lineRule="auto"/>
            </w:pPr>
            <w:r>
              <w:rPr>
                <w:rFonts w:ascii="DejaVu Sans Mono" w:hAnsi="DejaVu Sans Mono"/>
                <w:b w:val="0"/>
                <w:i w:val="0"/>
                <w:color w:val="163247"/>
                <w:sz w:val="16"/>
              </w:rPr>
              <w:t>POST /ai/jobs/{id}/retry-failed</w:t>
            </w:r>
          </w:p>
        </w:tc>
        <w:tc>
          <w:tcPr>
            <w:tcW w:type="dxa" w:w="5616"/>
            <w:vAlign w:val="center"/>
            <w:tcMar>
              <w:top w:w="80" w:type="dxa"/>
              <w:bottom w:w="80" w:type="dxa"/>
              <w:left w:w="100" w:type="dxa"/>
              <w:right w:w="100" w:type="dxa"/>
            </w:tcMar>
            <w:shd w:fill="EEF4F7"/>
          </w:tcPr>
          <w:p>
            <w:pPr>
              <w:spacing w:after="0" w:before="0" w:line="264" w:lineRule="auto"/>
            </w:pPr>
            <w:r>
              <w:rPr>
                <w:b w:val="0"/>
                <w:i w:val="0"/>
                <w:sz w:val="18"/>
              </w:rPr>
              <w:t>Create a new bounded retry run; retain the original history.</w:t>
            </w:r>
          </w:p>
        </w:tc>
      </w:tr>
      <w:tr>
        <w:trPr>
          <w:cantSplit/>
        </w:trPr>
        <w:tc>
          <w:tcPr>
            <w:tcW w:type="dxa" w:w="4248"/>
            <w:vAlign w:val="center"/>
            <w:tcMar>
              <w:top w:w="80" w:type="dxa"/>
              <w:bottom w:w="80" w:type="dxa"/>
              <w:left w:w="100" w:type="dxa"/>
              <w:right w:w="100" w:type="dxa"/>
            </w:tcMar>
          </w:tcPr>
          <w:p>
            <w:pPr>
              <w:spacing w:after="0" w:before="0" w:line="264" w:lineRule="auto"/>
            </w:pPr>
            <w:r>
              <w:rPr>
                <w:rFonts w:ascii="DejaVu Sans Mono" w:hAnsi="DejaVu Sans Mono"/>
                <w:b w:val="0"/>
                <w:i w:val="0"/>
                <w:color w:val="163247"/>
                <w:sz w:val="16"/>
              </w:rPr>
              <w:t>GET /ai/results</w:t>
            </w:r>
            <w:r>
              <w:rPr>
                <w:b w:val="0"/>
                <w:i w:val="0"/>
                <w:sz w:val="18"/>
              </w:rPr>
              <w:t xml:space="preserve"> / </w:t>
            </w:r>
            <w:r>
              <w:rPr>
                <w:rFonts w:ascii="DejaVu Sans Mono" w:hAnsi="DejaVu Sans Mono"/>
                <w:b w:val="0"/>
                <w:i w:val="0"/>
                <w:color w:val="163247"/>
                <w:sz w:val="16"/>
              </w:rPr>
              <w:t>GET /ai/results/{id}</w:t>
            </w:r>
          </w:p>
        </w:tc>
        <w:tc>
          <w:tcPr>
            <w:tcW w:type="dxa" w:w="5616"/>
            <w:vAlign w:val="center"/>
            <w:tcMar>
              <w:top w:w="80" w:type="dxa"/>
              <w:bottom w:w="80" w:type="dxa"/>
              <w:left w:w="100" w:type="dxa"/>
              <w:right w:w="100" w:type="dxa"/>
            </w:tcMar>
          </w:tcPr>
          <w:p>
            <w:pPr>
              <w:spacing w:after="0" w:before="0" w:line="264" w:lineRule="auto"/>
            </w:pPr>
            <w:r>
              <w:rPr>
                <w:b w:val="0"/>
                <w:i w:val="0"/>
                <w:sz w:val="18"/>
              </w:rPr>
              <w:t>Tenant-scoped history, outcomes, provenance, and source records.</w:t>
            </w:r>
          </w:p>
        </w:tc>
      </w:tr>
      <w:tr>
        <w:trPr>
          <w:cantSplit/>
        </w:trPr>
        <w:tc>
          <w:tcPr>
            <w:tcW w:type="dxa" w:w="4248"/>
            <w:vAlign w:val="center"/>
            <w:tcMar>
              <w:top w:w="80" w:type="dxa"/>
              <w:bottom w:w="80" w:type="dxa"/>
              <w:left w:w="100" w:type="dxa"/>
              <w:right w:w="100" w:type="dxa"/>
            </w:tcMar>
            <w:shd w:fill="EEF4F7"/>
          </w:tcPr>
          <w:p>
            <w:pPr>
              <w:spacing w:after="0" w:before="0" w:line="264" w:lineRule="auto"/>
            </w:pPr>
            <w:r>
              <w:rPr>
                <w:rFonts w:ascii="DejaVu Sans Mono" w:hAnsi="DejaVu Sans Mono"/>
                <w:b w:val="0"/>
                <w:i w:val="0"/>
                <w:color w:val="163247"/>
                <w:sz w:val="16"/>
              </w:rPr>
              <w:t>POST /ai/results/{id}/draft</w:t>
            </w:r>
          </w:p>
        </w:tc>
        <w:tc>
          <w:tcPr>
            <w:tcW w:type="dxa" w:w="5616"/>
            <w:vAlign w:val="center"/>
            <w:tcMar>
              <w:top w:w="80" w:type="dxa"/>
              <w:bottom w:w="80" w:type="dxa"/>
              <w:left w:w="100" w:type="dxa"/>
              <w:right w:w="100" w:type="dxa"/>
            </w:tcMar>
            <w:shd w:fill="EEF4F7"/>
          </w:tcPr>
          <w:p>
            <w:pPr>
              <w:spacing w:after="0" w:before="0" w:line="264" w:lineRule="auto"/>
            </w:pPr>
            <w:r>
              <w:rPr>
                <w:b w:val="0"/>
                <w:i w:val="0"/>
                <w:sz w:val="18"/>
              </w:rPr>
              <w:t>Accept/edit locally; never call Immich mutations.</w:t>
            </w:r>
          </w:p>
        </w:tc>
      </w:tr>
      <w:tr>
        <w:trPr>
          <w:cantSplit/>
        </w:trPr>
        <w:tc>
          <w:tcPr>
            <w:tcW w:type="dxa" w:w="4248"/>
            <w:vAlign w:val="center"/>
            <w:tcMar>
              <w:top w:w="80" w:type="dxa"/>
              <w:bottom w:w="80" w:type="dxa"/>
              <w:left w:w="100" w:type="dxa"/>
              <w:right w:w="100" w:type="dxa"/>
            </w:tcMar>
          </w:tcPr>
          <w:p>
            <w:pPr>
              <w:spacing w:after="0" w:before="0" w:line="264" w:lineRule="auto"/>
            </w:pPr>
            <w:r>
              <w:rPr>
                <w:rFonts w:ascii="DejaVu Sans Mono" w:hAnsi="DejaVu Sans Mono"/>
                <w:b w:val="0"/>
                <w:i w:val="0"/>
                <w:color w:val="163247"/>
                <w:sz w:val="16"/>
              </w:rPr>
              <w:t>PATCH /ai/drafts/{id}</w:t>
            </w:r>
          </w:p>
        </w:tc>
        <w:tc>
          <w:tcPr>
            <w:tcW w:type="dxa" w:w="5616"/>
            <w:vAlign w:val="center"/>
            <w:tcMar>
              <w:top w:w="80" w:type="dxa"/>
              <w:bottom w:w="80" w:type="dxa"/>
              <w:left w:w="100" w:type="dxa"/>
              <w:right w:w="100" w:type="dxa"/>
            </w:tcMar>
          </w:tcPr>
          <w:p>
            <w:pPr>
              <w:spacing w:after="0" w:before="0" w:line="264" w:lineRule="auto"/>
            </w:pPr>
            <w:r>
              <w:rPr>
                <w:b w:val="0"/>
                <w:i w:val="0"/>
                <w:sz w:val="18"/>
              </w:rPr>
              <w:t xml:space="preserve">Change selected fields, candidate, or scope with </w:t>
            </w:r>
            <w:r>
              <w:rPr>
                <w:rFonts w:ascii="DejaVu Sans Mono" w:hAnsi="DejaVu Sans Mono"/>
                <w:b w:val="0"/>
                <w:i w:val="0"/>
                <w:color w:val="163247"/>
                <w:sz w:val="16"/>
              </w:rPr>
              <w:t>If-Match</w:t>
            </w:r>
            <w:r>
              <w:rPr>
                <w:b w:val="0"/>
                <w:i w:val="0"/>
                <w:sz w:val="18"/>
              </w:rPr>
              <w:t xml:space="preserve"> revision.</w:t>
            </w:r>
          </w:p>
        </w:tc>
      </w:tr>
      <w:tr>
        <w:trPr>
          <w:cantSplit/>
        </w:trPr>
        <w:tc>
          <w:tcPr>
            <w:tcW w:type="dxa" w:w="4248"/>
            <w:vAlign w:val="center"/>
            <w:tcMar>
              <w:top w:w="80" w:type="dxa"/>
              <w:bottom w:w="80" w:type="dxa"/>
              <w:left w:w="100" w:type="dxa"/>
              <w:right w:w="100" w:type="dxa"/>
            </w:tcMar>
            <w:shd w:fill="EEF4F7"/>
          </w:tcPr>
          <w:p>
            <w:pPr>
              <w:spacing w:after="0" w:before="0" w:line="264" w:lineRule="auto"/>
            </w:pPr>
            <w:r>
              <w:rPr>
                <w:rFonts w:ascii="DejaVu Sans Mono" w:hAnsi="DejaVu Sans Mono"/>
                <w:b w:val="0"/>
                <w:i w:val="0"/>
                <w:color w:val="163247"/>
                <w:sz w:val="16"/>
              </w:rPr>
              <w:t>POST /ai/drafts/{id}/translate</w:t>
            </w:r>
          </w:p>
        </w:tc>
        <w:tc>
          <w:tcPr>
            <w:tcW w:type="dxa" w:w="5616"/>
            <w:vAlign w:val="center"/>
            <w:tcMar>
              <w:top w:w="80" w:type="dxa"/>
              <w:bottom w:w="80" w:type="dxa"/>
              <w:left w:w="100" w:type="dxa"/>
              <w:right w:w="100" w:type="dxa"/>
            </w:tcMar>
            <w:shd w:fill="EEF4F7"/>
          </w:tcPr>
          <w:p>
            <w:pPr>
              <w:spacing w:after="0" w:before="0" w:line="264" w:lineRule="auto"/>
            </w:pPr>
            <w:r>
              <w:rPr>
                <w:b w:val="0"/>
                <w:i w:val="0"/>
                <w:sz w:val="18"/>
              </w:rPr>
              <w:t>Recreate selected language entries from the reviewed fact revision.</w:t>
            </w:r>
          </w:p>
        </w:tc>
      </w:tr>
      <w:tr>
        <w:trPr>
          <w:cantSplit/>
        </w:trPr>
        <w:tc>
          <w:tcPr>
            <w:tcW w:type="dxa" w:w="4248"/>
            <w:vAlign w:val="center"/>
            <w:tcMar>
              <w:top w:w="80" w:type="dxa"/>
              <w:bottom w:w="80" w:type="dxa"/>
              <w:left w:w="100" w:type="dxa"/>
              <w:right w:w="100" w:type="dxa"/>
            </w:tcMar>
          </w:tcPr>
          <w:p>
            <w:pPr>
              <w:spacing w:after="0" w:before="0" w:line="264" w:lineRule="auto"/>
            </w:pPr>
            <w:r>
              <w:rPr>
                <w:rFonts w:ascii="DejaVu Sans Mono" w:hAnsi="DejaVu Sans Mono"/>
                <w:b w:val="0"/>
                <w:i w:val="0"/>
                <w:color w:val="163247"/>
                <w:sz w:val="16"/>
              </w:rPr>
              <w:t>POST /ai/write-previews</w:t>
            </w:r>
          </w:p>
        </w:tc>
        <w:tc>
          <w:tcPr>
            <w:tcW w:type="dxa" w:w="5616"/>
            <w:vAlign w:val="center"/>
            <w:tcMar>
              <w:top w:w="80" w:type="dxa"/>
              <w:bottom w:w="80" w:type="dxa"/>
              <w:left w:w="100" w:type="dxa"/>
              <w:right w:w="100" w:type="dxa"/>
            </w:tcMar>
          </w:tcPr>
          <w:p>
            <w:pPr>
              <w:spacing w:after="0" w:before="0" w:line="264" w:lineRule="auto"/>
            </w:pPr>
            <w:r>
              <w:rPr>
                <w:b w:val="0"/>
                <w:i w:val="0"/>
                <w:sz w:val="18"/>
              </w:rPr>
              <w:t>Read current Immich values; create a time-limited exact write plan and confirmation digest.</w:t>
            </w:r>
          </w:p>
        </w:tc>
      </w:tr>
      <w:tr>
        <w:trPr>
          <w:cantSplit/>
        </w:trPr>
        <w:tc>
          <w:tcPr>
            <w:tcW w:type="dxa" w:w="4248"/>
            <w:vAlign w:val="center"/>
            <w:tcMar>
              <w:top w:w="80" w:type="dxa"/>
              <w:bottom w:w="80" w:type="dxa"/>
              <w:left w:w="100" w:type="dxa"/>
              <w:right w:w="100" w:type="dxa"/>
            </w:tcMar>
            <w:shd w:fill="EEF4F7"/>
          </w:tcPr>
          <w:p>
            <w:pPr>
              <w:spacing w:after="0" w:before="0" w:line="264" w:lineRule="auto"/>
            </w:pPr>
            <w:r>
              <w:rPr>
                <w:rFonts w:ascii="DejaVu Sans Mono" w:hAnsi="DejaVu Sans Mono"/>
                <w:b w:val="0"/>
                <w:i w:val="0"/>
                <w:color w:val="163247"/>
                <w:sz w:val="16"/>
              </w:rPr>
              <w:t>POST /ai/write-operations</w:t>
            </w:r>
          </w:p>
        </w:tc>
        <w:tc>
          <w:tcPr>
            <w:tcW w:type="dxa" w:w="5616"/>
            <w:vAlign w:val="center"/>
            <w:tcMar>
              <w:top w:w="80" w:type="dxa"/>
              <w:bottom w:w="80" w:type="dxa"/>
              <w:left w:w="100" w:type="dxa"/>
              <w:right w:w="100" w:type="dxa"/>
            </w:tcMar>
            <w:shd w:fill="EEF4F7"/>
          </w:tcPr>
          <w:p>
            <w:pPr>
              <w:spacing w:after="0" w:before="0" w:line="264" w:lineRule="auto"/>
            </w:pPr>
            <w:r>
              <w:rPr>
                <w:b w:val="0"/>
                <w:i w:val="0"/>
                <w:sz w:val="18"/>
              </w:rPr>
              <w:t>Confirm the plan; enqueue the immutable approved operation.</w:t>
            </w:r>
          </w:p>
        </w:tc>
      </w:tr>
      <w:tr>
        <w:trPr>
          <w:cantSplit/>
        </w:trPr>
        <w:tc>
          <w:tcPr>
            <w:tcW w:type="dxa" w:w="4248"/>
            <w:vAlign w:val="center"/>
            <w:tcMar>
              <w:top w:w="80" w:type="dxa"/>
              <w:bottom w:w="80" w:type="dxa"/>
              <w:left w:w="100" w:type="dxa"/>
              <w:right w:w="100" w:type="dxa"/>
            </w:tcMar>
          </w:tcPr>
          <w:p>
            <w:pPr>
              <w:spacing w:after="0" w:before="0" w:line="264" w:lineRule="auto"/>
            </w:pPr>
            <w:r>
              <w:rPr>
                <w:rFonts w:ascii="DejaVu Sans Mono" w:hAnsi="DejaVu Sans Mono"/>
                <w:b w:val="0"/>
                <w:i w:val="0"/>
                <w:color w:val="163247"/>
                <w:sz w:val="16"/>
              </w:rPr>
              <w:t>GET /ai/write-operations/{id}</w:t>
            </w:r>
          </w:p>
        </w:tc>
        <w:tc>
          <w:tcPr>
            <w:tcW w:type="dxa" w:w="5616"/>
            <w:vAlign w:val="center"/>
            <w:tcMar>
              <w:top w:w="80" w:type="dxa"/>
              <w:bottom w:w="80" w:type="dxa"/>
              <w:left w:w="100" w:type="dxa"/>
              <w:right w:w="100" w:type="dxa"/>
            </w:tcMar>
          </w:tcPr>
          <w:p>
            <w:pPr>
              <w:spacing w:after="0" w:before="0" w:line="264" w:lineRule="auto"/>
            </w:pPr>
            <w:r>
              <w:rPr>
                <w:b w:val="0"/>
                <w:i w:val="0"/>
                <w:sz w:val="18"/>
              </w:rPr>
              <w:t>Per-asset, per-step outcomes and verified values.</w:t>
            </w:r>
          </w:p>
        </w:tc>
      </w:tr>
      <w:tr>
        <w:trPr>
          <w:cantSplit/>
        </w:trPr>
        <w:tc>
          <w:tcPr>
            <w:tcW w:type="dxa" w:w="4248"/>
            <w:vAlign w:val="center"/>
            <w:tcMar>
              <w:top w:w="80" w:type="dxa"/>
              <w:bottom w:w="80" w:type="dxa"/>
              <w:left w:w="100" w:type="dxa"/>
              <w:right w:w="100" w:type="dxa"/>
            </w:tcMar>
            <w:shd w:fill="EEF4F7"/>
          </w:tcPr>
          <w:p>
            <w:pPr>
              <w:spacing w:after="0" w:before="0" w:line="264" w:lineRule="auto"/>
            </w:pPr>
            <w:r>
              <w:rPr>
                <w:rFonts w:ascii="DejaVu Sans Mono" w:hAnsi="DejaVu Sans Mono"/>
                <w:b w:val="0"/>
                <w:i w:val="0"/>
                <w:color w:val="163247"/>
                <w:sz w:val="16"/>
              </w:rPr>
              <w:t>POST /ai/write-operations/{id}/retry</w:t>
            </w:r>
          </w:p>
        </w:tc>
        <w:tc>
          <w:tcPr>
            <w:tcW w:type="dxa" w:w="5616"/>
            <w:vAlign w:val="center"/>
            <w:tcMar>
              <w:top w:w="80" w:type="dxa"/>
              <w:bottom w:w="80" w:type="dxa"/>
              <w:left w:w="100" w:type="dxa"/>
              <w:right w:w="100" w:type="dxa"/>
            </w:tcMar>
            <w:shd w:fill="EEF4F7"/>
          </w:tcPr>
          <w:p>
            <w:pPr>
              <w:spacing w:after="0" w:before="0" w:line="264" w:lineRule="auto"/>
            </w:pPr>
            <w:r>
              <w:rPr>
                <w:b w:val="0"/>
                <w:i w:val="0"/>
                <w:sz w:val="18"/>
              </w:rPr>
              <w:t>Reconcile and retry only unfinished steps under the same valid approval.</w:t>
            </w:r>
          </w:p>
        </w:tc>
      </w:tr>
      <w:tr>
        <w:trPr>
          <w:cantSplit/>
        </w:trPr>
        <w:tc>
          <w:tcPr>
            <w:tcW w:type="dxa" w:w="4248"/>
            <w:vAlign w:val="center"/>
            <w:tcMar>
              <w:top w:w="80" w:type="dxa"/>
              <w:bottom w:w="80" w:type="dxa"/>
              <w:left w:w="100" w:type="dxa"/>
              <w:right w:w="100" w:type="dxa"/>
            </w:tcMar>
          </w:tcPr>
          <w:p>
            <w:pPr>
              <w:spacing w:after="0" w:before="0" w:line="264" w:lineRule="auto"/>
            </w:pPr>
            <w:r>
              <w:rPr>
                <w:rFonts w:ascii="DejaVu Sans Mono" w:hAnsi="DejaVu Sans Mono"/>
                <w:b w:val="0"/>
                <w:i w:val="0"/>
                <w:color w:val="163247"/>
                <w:sz w:val="16"/>
              </w:rPr>
              <w:t>DELETE /ai/results/{id}</w:t>
            </w:r>
            <w:r>
              <w:rPr>
                <w:b w:val="0"/>
                <w:i w:val="0"/>
                <w:sz w:val="18"/>
              </w:rPr>
              <w:t xml:space="preserve"> / </w:t>
            </w:r>
            <w:r>
              <w:rPr>
                <w:rFonts w:ascii="DejaVu Sans Mono" w:hAnsi="DejaVu Sans Mono"/>
                <w:b w:val="0"/>
                <w:i w:val="0"/>
                <w:color w:val="163247"/>
                <w:sz w:val="16"/>
              </w:rPr>
              <w:t>GET /ai/results/{id}/export</w:t>
            </w:r>
          </w:p>
        </w:tc>
        <w:tc>
          <w:tcPr>
            <w:tcW w:type="dxa" w:w="5616"/>
            <w:vAlign w:val="center"/>
            <w:tcMar>
              <w:top w:w="80" w:type="dxa"/>
              <w:bottom w:w="80" w:type="dxa"/>
              <w:left w:w="100" w:type="dxa"/>
              <w:right w:w="100" w:type="dxa"/>
            </w:tcMar>
          </w:tcPr>
          <w:p>
            <w:pPr>
              <w:spacing w:after="0" w:before="0" w:line="264" w:lineRule="auto"/>
            </w:pPr>
            <w:r>
              <w:rPr>
                <w:b w:val="0"/>
                <w:i w:val="0"/>
                <w:sz w:val="18"/>
              </w:rPr>
              <w:t>Apply retention/deletion policy or export authorized local information.</w:t>
            </w:r>
          </w:p>
        </w:tc>
      </w:tr>
    </w:tbl>
    <w:p>
      <w:pPr>
        <w:spacing w:after="20" w:before="0" w:line="60" w:lineRule="auto"/>
      </w:pPr>
    </w:p>
    <w:p>
      <w:pPr/>
      <w:r>
        <w:rPr>
          <w:b w:val="0"/>
          <w:i w:val="0"/>
        </w:rPr>
        <w:t>Provider enable/disable can use the profile update contract. Result deletion returns a conflict while related work is active or a retained write audit prevents full removal; allow redaction of nonessential result content without falsifying history.</w:t>
      </w:r>
    </w:p>
    <w:p>
      <w:pPr/>
      <w:r>
        <w:rPr>
          <w:b w:val="0"/>
          <w:i w:val="0"/>
        </w:rPr>
        <w:t xml:space="preserve">New APIs use typed camelCase DTOs to fit the frontend. The provider-facing schema uses snake_case; conversion is explicit. Error responses contain a stable code, safe message, retryability, and request ID. Suggested codes include </w:t>
      </w:r>
      <w:r>
        <w:rPr>
          <w:rFonts w:ascii="DejaVu Sans Mono" w:hAnsi="DejaVu Sans Mono"/>
          <w:b w:val="0"/>
          <w:i w:val="0"/>
          <w:color w:val="163247"/>
          <w:sz w:val="17"/>
        </w:rPr>
        <w:t>ASSET_UNAVAILABLE</w:t>
      </w:r>
      <w:r>
        <w:rPr>
          <w:b w:val="0"/>
          <w:i w:val="0"/>
        </w:rPr>
        <w:t xml:space="preserve">, </w:t>
      </w:r>
      <w:r>
        <w:rPr>
          <w:rFonts w:ascii="DejaVu Sans Mono" w:hAnsi="DejaVu Sans Mono"/>
          <w:b w:val="0"/>
          <w:i w:val="0"/>
          <w:color w:val="163247"/>
          <w:sz w:val="17"/>
        </w:rPr>
        <w:t>PROVIDER_AUTH_FAILED</w:t>
      </w:r>
      <w:r>
        <w:rPr>
          <w:b w:val="0"/>
          <w:i w:val="0"/>
        </w:rPr>
        <w:t xml:space="preserve">, </w:t>
      </w:r>
      <w:r>
        <w:rPr>
          <w:rFonts w:ascii="DejaVu Sans Mono" w:hAnsi="DejaVu Sans Mono"/>
          <w:b w:val="0"/>
          <w:i w:val="0"/>
          <w:color w:val="163247"/>
          <w:sz w:val="17"/>
        </w:rPr>
        <w:t>VISION_UNSUPPORTED</w:t>
      </w:r>
      <w:r>
        <w:rPr>
          <w:b w:val="0"/>
          <w:i w:val="0"/>
        </w:rPr>
        <w:t xml:space="preserve">, </w:t>
      </w:r>
      <w:r>
        <w:rPr>
          <w:rFonts w:ascii="DejaVu Sans Mono" w:hAnsi="DejaVu Sans Mono"/>
          <w:b w:val="0"/>
          <w:i w:val="0"/>
          <w:color w:val="163247"/>
          <w:sz w:val="17"/>
        </w:rPr>
        <w:t>INVALID_AI_OUTPUT</w:t>
      </w:r>
      <w:r>
        <w:rPr>
          <w:b w:val="0"/>
          <w:i w:val="0"/>
        </w:rPr>
        <w:t xml:space="preserve">, </w:t>
      </w:r>
      <w:r>
        <w:rPr>
          <w:rFonts w:ascii="DejaVu Sans Mono" w:hAnsi="DejaVu Sans Mono"/>
          <w:b w:val="0"/>
          <w:i w:val="0"/>
          <w:color w:val="163247"/>
          <w:sz w:val="17"/>
        </w:rPr>
        <w:t>BUDGET_EXCEEDED</w:t>
      </w:r>
      <w:r>
        <w:rPr>
          <w:b w:val="0"/>
          <w:i w:val="0"/>
        </w:rPr>
        <w:t xml:space="preserve">, </w:t>
      </w:r>
      <w:r>
        <w:rPr>
          <w:rFonts w:ascii="DejaVu Sans Mono" w:hAnsi="DejaVu Sans Mono"/>
          <w:b w:val="0"/>
          <w:i w:val="0"/>
          <w:color w:val="163247"/>
          <w:sz w:val="17"/>
        </w:rPr>
        <w:t>DRAFT_CONFLICT</w:t>
      </w:r>
      <w:r>
        <w:rPr>
          <w:b w:val="0"/>
          <w:i w:val="0"/>
        </w:rPr>
        <w:t xml:space="preserve">, </w:t>
      </w:r>
      <w:r>
        <w:rPr>
          <w:rFonts w:ascii="DejaVu Sans Mono" w:hAnsi="DejaVu Sans Mono"/>
          <w:b w:val="0"/>
          <w:i w:val="0"/>
          <w:color w:val="163247"/>
          <w:sz w:val="17"/>
        </w:rPr>
        <w:t>IMMICH_CONFLICT</w:t>
      </w:r>
      <w:r>
        <w:rPr>
          <w:b w:val="0"/>
          <w:i w:val="0"/>
        </w:rPr>
        <w:t xml:space="preserve">, and </w:t>
      </w:r>
      <w:r>
        <w:rPr>
          <w:rFonts w:ascii="DejaVu Sans Mono" w:hAnsi="DejaVu Sans Mono"/>
          <w:b w:val="0"/>
          <w:i w:val="0"/>
          <w:color w:val="163247"/>
          <w:sz w:val="17"/>
        </w:rPr>
        <w:t>WRITE_PARTIAL</w:t>
      </w:r>
      <w:r>
        <w:rPr>
          <w:b w:val="0"/>
          <w:i w:val="0"/>
        </w:rPr>
        <w:t>.</w:t>
      </w:r>
    </w:p>
    <w:p>
      <w:pPr/>
      <w:r>
        <w:rPr>
          <w:b w:val="0"/>
          <w:i w:val="0"/>
        </w:rPr>
        <w:t>Enforce session authentication, origin/CSRF protection for mutations, bounded bodies, and ownership on every referenced ID. Never accept a result ID from one user and a draft or provider from another. A selection token is time-limited and user-bound, not an authorization bypass.</w:t>
      </w:r>
    </w:p>
    <w:p>
      <w:pPr>
        <w:pStyle w:val="Heading1"/>
      </w:pPr>
      <w:r>
        <w:rPr>
          <w:b w:val="0"/>
          <w:i w:val="0"/>
        </w:rPr>
        <w:t>10. Review and frontend integration</w:t>
      </w:r>
    </w:p>
    <w:p>
      <w:pPr/>
      <w:r>
        <w:rPr>
          <w:b w:val="0"/>
          <w:i w:val="0"/>
        </w:rPr>
        <w:t>Add “AI Locate” to existing selection actions. Preserve current keyboard selection and manual/GPX workflows. Add an AI-state filter and a dedicated results view within the existing shell, not a replacement browsing implementation.</w:t>
      </w:r>
    </w:p>
    <w:p>
      <w:pPr/>
      <w:r>
        <w:rPr>
          <w:b w:val="0"/>
          <w:i w:val="0"/>
        </w:rPr>
        <w:t>Add a review panel to the existing image/map experience. Render candidate camera and subject markers differently, use a circle only when a radius exists, and show a heading sector only when direction is supported. The map overlay is draft state; it must not overwrite the synchronized asset coordinates until writeback is verified.</w:t>
      </w:r>
    </w:p>
    <w:p>
      <w:pPr/>
      <w:r>
        <w:rPr>
          <w:b w:val="0"/>
          <w:i w:val="0"/>
        </w:rPr>
        <w:t xml:space="preserve">Introduce </w:t>
      </w:r>
      <w:r>
        <w:rPr>
          <w:rFonts w:ascii="DejaVu Sans Mono" w:hAnsi="DejaVu Sans Mono"/>
          <w:b w:val="0"/>
          <w:i w:val="0"/>
          <w:color w:val="163247"/>
          <w:sz w:val="17"/>
        </w:rPr>
        <w:t>source: 'ai'</w:t>
      </w:r>
      <w:r>
        <w:rPr>
          <w:b w:val="0"/>
          <w:i w:val="0"/>
        </w:rPr>
        <w:t xml:space="preserve"> for staged map coordinates and reference a server draft ID/revision. Do not stuff descriptions or the complete evidence bundle into </w:t>
      </w:r>
      <w:r>
        <w:rPr>
          <w:rFonts w:ascii="DejaVu Sans Mono" w:hAnsi="DejaVu Sans Mono"/>
          <w:b w:val="0"/>
          <w:i w:val="0"/>
          <w:color w:val="163247"/>
          <w:sz w:val="17"/>
        </w:rPr>
        <w:t>TPendingLocation</w:t>
      </w:r>
      <w:r>
        <w:rPr>
          <w:b w:val="0"/>
          <w:i w:val="0"/>
        </w:rPr>
        <w:t>. A small adapter routes AI-origin save actions through the approved AI write operation. Existing manual changes retain their established path until separately refactored. [R14]</w:t>
      </w:r>
    </w:p>
    <w:p>
      <w:pPr/>
      <w:r>
        <w:rPr>
          <w:b w:val="0"/>
          <w:i w:val="0"/>
        </w:rPr>
        <w:t>Do not allow a mixed manual/AI save bar to send AI drafts through the old coordinate-only handler. Show separate groups if necessary, or unify the presentation behind a typed dispatcher. When an unsaved manual location and an AI proposal target the same asset, present the conflict; neither silently replaces the other.</w:t>
      </w:r>
    </w:p>
    <w:p>
      <w:pPr/>
      <w:r>
        <w:rPr>
          <w:b w:val="0"/>
          <w:i w:val="0"/>
        </w:rPr>
        <w:t>Refresh catalog counts, map markers, and AI status after verified writes. Preserve failed drafts. Render generated text as escaped text or sanitized Markdown without executable HTML. Source links use safe URL schemes and do not auto-fetch arbitrary model-provided URLs.</w:t>
      </w:r>
    </w:p>
    <w:p>
      <w:pPr>
        <w:pStyle w:val="Heading1"/>
      </w:pPr>
      <w:r>
        <w:rPr>
          <w:b w:val="0"/>
          <w:i w:val="0"/>
        </w:rPr>
        <w:t>11. Immich writeback contract</w:t>
      </w:r>
    </w:p>
    <w:p>
      <w:pPr>
        <w:pStyle w:val="Heading2"/>
      </w:pPr>
      <w:r>
        <w:rPr>
          <w:b w:val="0"/>
          <w:i w:val="0"/>
        </w:rPr>
        <w:t>11.1 Versioned adapter</w:t>
      </w:r>
    </w:p>
    <w:p>
      <w:pPr/>
      <w:r>
        <w:rPr>
          <w:b w:val="0"/>
          <w:i w:val="0"/>
        </w:rPr>
        <w:t>The inspected Immich v3.2.2 DTO accepts GPS pairs and a description string, plus object-valued custom metadata. Camera direction is not a standard update field. Its controller retains deprecated PUT updates and implements PATCH alternatives. The adapter must use a tested version-specific route, not guess from generated documentation alone. [I01, I02]</w:t>
      </w:r>
    </w:p>
    <w:p>
      <w:pPr/>
      <w:r>
        <w:rPr>
          <w:b w:val="0"/>
          <w:i w:val="0"/>
        </w:rPr>
        <w:t xml:space="preserve">Read standard values with </w:t>
      </w:r>
      <w:r>
        <w:rPr>
          <w:rFonts w:ascii="DejaVu Sans Mono" w:hAnsi="DejaVu Sans Mono"/>
          <w:b w:val="0"/>
          <w:i w:val="0"/>
          <w:color w:val="163247"/>
          <w:sz w:val="17"/>
        </w:rPr>
        <w:t>GET /api/assets/{id}</w:t>
      </w:r>
      <w:r>
        <w:rPr>
          <w:b w:val="0"/>
          <w:i w:val="0"/>
        </w:rPr>
        <w:t xml:space="preserve">. For the v3.2.2 adapter, the proposed standard-field call is </w:t>
      </w:r>
      <w:r>
        <w:rPr>
          <w:rFonts w:ascii="DejaVu Sans Mono" w:hAnsi="DejaVu Sans Mono"/>
          <w:b w:val="0"/>
          <w:i w:val="0"/>
          <w:color w:val="163247"/>
          <w:sz w:val="17"/>
        </w:rPr>
        <w:t>PATCH /api/assets/{id}</w:t>
      </w:r>
      <w:r>
        <w:rPr>
          <w:b w:val="0"/>
          <w:i w:val="0"/>
        </w:rPr>
        <w:t xml:space="preserve"> with only approved fields. A documented compatible PUT profile may be selected for another tested deployment. Never try a second mutation route automatically after an ambiguous timeout.</w:t>
      </w:r>
    </w:p>
    <w:p>
      <w:pPr/>
      <w:r>
        <w:rPr>
          <w:b w:val="0"/>
          <w:i w:val="0"/>
        </w:rPr>
        <w:t>A capability check may use read-only requests and declared version support. Any write verification uses disposable fixtures with explicit authorization; do not “test” permissions by rewriting an arbitrary user's real photo.</w:t>
      </w:r>
    </w:p>
    <w:p>
      <w:pPr>
        <w:pStyle w:val="Heading2"/>
      </w:pPr>
      <w:r>
        <w:rPr>
          <w:b w:val="0"/>
          <w:i w:val="0"/>
        </w:rPr>
        <w:t>11.2 Approval protocol</w:t>
      </w:r>
    </w:p>
    <w:p>
      <w:pPr/>
      <w:r>
        <w:rPr>
          <w:b w:val="0"/>
          <w:i w:val="0"/>
        </w:rPr>
        <w:t>The write-preview step fetches fresh values and builds an immutable plan containing exact target IDs, intended field values, relevant before-values, draft revision, source-image fingerprint, optional mirror choice, user, instance identity, and expiry. Return a digest of canonical serialized plan data.</w:t>
      </w:r>
    </w:p>
    <w:p>
      <w:pPr/>
      <w:r>
        <w:rPr>
          <w:b w:val="0"/>
          <w:i w:val="0"/>
        </w:rPr>
        <w:t>The confirmation request includes the preview ID, matching digest, and application idempotency key. The backend validates the current draft revision and records approval durably before dispatch. A matching browser flag alone is not approval for a different plan.</w:t>
      </w:r>
    </w:p>
    <w:p>
      <w:pPr/>
      <w:r>
        <w:rPr>
          <w:b w:val="0"/>
          <w:i w:val="0"/>
        </w:rPr>
        <w:t xml:space="preserve">Immediately before each target write, reread that target. If relevant values differ from the baseline, stop that target with </w:t>
      </w:r>
      <w:r>
        <w:rPr>
          <w:rFonts w:ascii="DejaVu Sans Mono" w:hAnsi="DejaVu Sans Mono"/>
          <w:b w:val="0"/>
          <w:i w:val="0"/>
          <w:color w:val="163247"/>
          <w:sz w:val="17"/>
        </w:rPr>
        <w:t>IMMICH_CONFLICT</w:t>
      </w:r>
      <w:r>
        <w:rPr>
          <w:b w:val="0"/>
          <w:i w:val="0"/>
        </w:rPr>
        <w:t>. If the source image changed materially, require a new review. Serialize conflicting add-on writes per target; reject overlapping active plans. External clients can still race between read and write because no atomic conditional-update guarantee has been established. Document this residual limitation rather than claim complete race prevention.</w:t>
      </w:r>
    </w:p>
    <w:p>
      <w:pPr>
        <w:pStyle w:val="Heading2"/>
      </w:pPr>
      <w:r>
        <w:rPr>
          <w:b w:val="0"/>
          <w:i w:val="0"/>
        </w:rPr>
        <w:t>11.3 Exact targets and field rules</w:t>
      </w:r>
    </w:p>
    <w:p>
      <w:pPr/>
      <w:r>
        <w:rPr>
          <w:b w:val="0"/>
          <w:i w:val="0"/>
        </w:rPr>
        <w:t>The AI path writes only the explicitly approved list. Default scope is the analyzed asset; optional stack expansion is resolved before confirmation and frozen. Do not reuse implicit stack expansion. Every extra target needs independent access and baseline checks. GPS propagation can be approved for a stack; descriptions and direction remain per-image unless separately reviewed.</w:t>
      </w:r>
    </w:p>
    <w:p>
      <w:pPr/>
      <w:r>
        <w:rPr>
          <w:b w:val="0"/>
          <w:i w:val="0"/>
        </w:rPr>
        <w:t>Build one standard update payload per target to combine selected GPS and description values where supported. GPS is an all-or-nothing pair. Unsupported or absent fields are omitted, not set to zero or fabricated values. Updating GPS does not imply replacing descriptions, timestamps, ratings, favorite flags, or other metadata.</w:t>
      </w:r>
    </w:p>
    <w:p>
      <w:pPr/>
      <w:r>
        <w:rPr>
          <w:b w:val="0"/>
          <w:i w:val="0"/>
        </w:rPr>
        <w:t xml:space="preserve">Description policy is </w:t>
      </w:r>
      <w:r>
        <w:rPr>
          <w:rFonts w:ascii="DejaVu Sans Mono" w:hAnsi="DejaVu Sans Mono"/>
          <w:b w:val="0"/>
          <w:i w:val="0"/>
          <w:color w:val="163247"/>
          <w:sz w:val="17"/>
        </w:rPr>
        <w:t>preserve</w:t>
      </w:r>
      <w:r>
        <w:rPr>
          <w:b w:val="0"/>
          <w:i w:val="0"/>
        </w:rPr>
        <w:t xml:space="preserve">, </w:t>
      </w:r>
      <w:r>
        <w:rPr>
          <w:rFonts w:ascii="DejaVu Sans Mono" w:hAnsi="DejaVu Sans Mono"/>
          <w:b w:val="0"/>
          <w:i w:val="0"/>
          <w:color w:val="163247"/>
          <w:sz w:val="17"/>
        </w:rPr>
        <w:t>replace</w:t>
      </w:r>
      <w:r>
        <w:rPr>
          <w:b w:val="0"/>
          <w:i w:val="0"/>
        </w:rPr>
        <w:t xml:space="preserve">, or </w:t>
      </w:r>
      <w:r>
        <w:rPr>
          <w:rFonts w:ascii="DejaVu Sans Mono" w:hAnsi="DejaVu Sans Mono"/>
          <w:b w:val="0"/>
          <w:i w:val="0"/>
          <w:color w:val="163247"/>
          <w:sz w:val="17"/>
        </w:rPr>
        <w:t>managed_append</w:t>
      </w:r>
      <w:r>
        <w:rPr>
          <w:b w:val="0"/>
          <w:i w:val="0"/>
        </w:rPr>
        <w:t>. Managed append uses a deterministic block marker and hash stored in the audit. Replace a previously owned block only if its current content still matches the recorded version; otherwise raise a conflict. Default standard description is the chosen primary language. All translations remain local.</w:t>
      </w:r>
    </w:p>
    <w:p>
      <w:pPr>
        <w:pStyle w:val="Heading2"/>
      </w:pPr>
      <w:r>
        <w:rPr>
          <w:b w:val="0"/>
          <w:i w:val="0"/>
        </w:rPr>
        <w:t>11.4 Optional extended metadata</w:t>
      </w:r>
    </w:p>
    <w:p>
      <w:pPr/>
      <w:r>
        <w:rPr>
          <w:b w:val="0"/>
          <w:i w:val="0"/>
        </w:rPr>
        <w:t xml:space="preserve">When enabled and supported, mirror a compact reviewed payload through </w:t>
      </w:r>
      <w:r>
        <w:rPr>
          <w:rFonts w:ascii="DejaVu Sans Mono" w:hAnsi="DejaVu Sans Mono"/>
          <w:b w:val="0"/>
          <w:i w:val="0"/>
          <w:color w:val="163247"/>
          <w:sz w:val="17"/>
        </w:rPr>
        <w:t>PUT /api/assets/{id}/metadata</w:t>
      </w:r>
      <w:r>
        <w:rPr>
          <w:b w:val="0"/>
          <w:i w:val="0"/>
        </w:rPr>
        <w:t xml:space="preserve"> under key </w:t>
      </w:r>
      <w:r>
        <w:rPr>
          <w:rFonts w:ascii="DejaVu Sans Mono" w:hAnsi="DejaVu Sans Mono"/>
          <w:b w:val="0"/>
          <w:i w:val="0"/>
          <w:color w:val="163247"/>
          <w:sz w:val="17"/>
        </w:rPr>
        <w:t>immich-places-ai-addon</w:t>
      </w:r>
      <w:r>
        <w:rPr>
          <w:b w:val="0"/>
          <w:i w:val="0"/>
        </w:rPr>
        <w:t>. Include schema version, camera precision, reviewed direction, chosen place, translations, and minimal provenance. Do not mirror API secrets, private user hints, neighboring photographs' coordinates, or raw prompts. Explain that asset readers may be able to read mirrored metadata.</w:t>
      </w:r>
    </w:p>
    <w:p>
      <w:pPr/>
      <w:r>
        <w:rPr>
          <w:b w:val="0"/>
          <w:i w:val="0"/>
        </w:rPr>
        <w:t>This is an optional second step, not a transaction with the standard update. The inspected service upserts custom metadata separately and checks asset-update access. Its standard update path can queue sidecar work, so successful API readback does not certify completion of all filesystem-side processing. [I03]</w:t>
      </w:r>
    </w:p>
    <w:p>
      <w:pPr/>
      <w:r>
        <w:rPr>
          <w:b w:val="0"/>
          <w:i w:val="0"/>
        </w:rPr>
        <w:t>Do not assume custom JSON will be visible in Immich's standard details UI or exported into a camera-direction EXIF field. Local storage is authoritative for the add-on's complete record.</w:t>
      </w:r>
    </w:p>
    <w:p>
      <w:pPr>
        <w:pStyle w:val="Heading2"/>
      </w:pPr>
      <w:r>
        <w:rPr>
          <w:b w:val="0"/>
          <w:i w:val="0"/>
        </w:rPr>
        <w:t>11.5 Readback, retries, and rollback limits</w:t>
      </w:r>
    </w:p>
    <w:p>
      <w:pPr/>
      <w:r>
        <w:rPr>
          <w:b w:val="0"/>
          <w:i w:val="0"/>
        </w:rPr>
        <w:t>After each mutation, read the fields back. Compare coordinates with a documented numerical tolerance, not string equality; compare description content and namespaced metadata semantically. Update the local catalog only after confirmation. If Immich succeeded but the local update failed, retain the write operation and reconcile instead of resending blindly.</w:t>
      </w:r>
    </w:p>
    <w:p>
      <w:pPr/>
      <w:r>
        <w:rPr>
          <w:b w:val="0"/>
          <w:i w:val="0"/>
        </w:rPr>
        <w:t>A lost response moves the target to verifying. Read current state: intended values mean success; unchanged baseline permits a bounded retry; a different value means conflict. For multi-step work, retry only the incomplete step. A batch may have successful, conflicting, and failed targets without pretending to be atomic.</w:t>
      </w:r>
    </w:p>
    <w:p>
      <w:pPr/>
      <w:r>
        <w:rPr>
          <w:b w:val="0"/>
          <w:i w:val="0"/>
        </w:rPr>
        <w:t xml:space="preserve">Expose pre-save discard and a complete before-value audit. Full restoration to missing GPS is not implemented unless an explicitly tested API supports clearing coordinates; the inspected numeric schemas do not accept null. Do not encode missing GPS as </w:t>
      </w:r>
      <w:r>
        <w:rPr>
          <w:rFonts w:ascii="DejaVu Sans Mono" w:hAnsi="DejaVu Sans Mono"/>
          <w:b w:val="0"/>
          <w:i w:val="0"/>
          <w:color w:val="163247"/>
          <w:sz w:val="17"/>
        </w:rPr>
        <w:t>0,0</w:t>
      </w:r>
      <w:r>
        <w:rPr>
          <w:b w:val="0"/>
          <w:i w:val="0"/>
        </w:rPr>
        <w:t>. [I04]</w:t>
      </w:r>
    </w:p>
    <w:p>
      <w:pPr>
        <w:pStyle w:val="Heading1"/>
      </w:pPr>
      <w:r>
        <w:rPr>
          <w:b w:val="0"/>
          <w:i w:val="0"/>
        </w:rPr>
        <w:t>12. Security, privacy, and lifecycle</w:t>
      </w:r>
    </w:p>
    <w:p>
      <w:pPr/>
      <w:r>
        <w:rPr>
          <w:b w:val="0"/>
          <w:i w:val="0"/>
        </w:rPr>
        <w:t>Recheck access before image fetch, context assembly, review, and write. A local cached asset is not permanent authorization after sharing or API-key permissions change. Provider tests never use a private library image. Egress consent is versioned and does not expand when a user changes filters later.</w:t>
      </w:r>
    </w:p>
    <w:p>
      <w:pPr/>
      <w:r>
        <w:rPr>
          <w:b w:val="0"/>
          <w:i w:val="0"/>
        </w:rPr>
        <w:t>Treat image text, album names, hints, web pages, and model content as untrusted data. System instructions and application policies are not editable by those inputs. The structured response can propose facts but cannot alter limits, select another user, call arbitrary tools, or authorize a write.</w:t>
      </w:r>
    </w:p>
    <w:p>
      <w:pPr/>
      <w:r>
        <w:rPr>
          <w:b w:val="0"/>
          <w:i w:val="0"/>
        </w:rPr>
        <w:t>Persist the minimum context needed for reproducibility: hashes, selected context classes, and bounded evidence records. Proposed retention defaults are 30 days for unreviewed results, 7 days for sanitized terminal-error details, immediate deletion of temporary image copies, and retention of confirmed write history until explicit user/admin action. Accepted drafts remain until saved, rejected, or deleted. These defaults require owner approval before release.</w:t>
      </w:r>
    </w:p>
    <w:p>
      <w:pPr/>
      <w:r>
        <w:rPr>
          <w:b w:val="0"/>
          <w:i w:val="0"/>
        </w:rPr>
        <w:t>Delete user-associated secrets, queued work, and private results on account deletion under a defined cascade/redaction policy. Local result deletion does not undo Immich metadata; offer a separately confirmed supported deletion of the namespaced mirror only when requested. No default telemetry sends images, locations, or prompts outside the configured processing services.</w:t>
      </w:r>
    </w:p>
    <w:p>
      <w:pPr>
        <w:pStyle w:val="Heading1"/>
      </w:pPr>
      <w:r>
        <w:rPr>
          <w:b w:val="0"/>
          <w:i w:val="0"/>
        </w:rPr>
        <w:t>13. Deployment and observability</w:t>
      </w:r>
    </w:p>
    <w:p>
      <w:pPr/>
      <w:r>
        <w:rPr>
          <w:b w:val="0"/>
          <w:i w:val="0"/>
        </w:rPr>
        <w:t xml:space="preserve">Keep the current two-service Compose topology. Add backend-only settings such as </w:t>
      </w:r>
      <w:r>
        <w:rPr>
          <w:rFonts w:ascii="DejaVu Sans Mono" w:hAnsi="DejaVu Sans Mono"/>
          <w:b w:val="0"/>
          <w:i w:val="0"/>
          <w:color w:val="163247"/>
          <w:sz w:val="17"/>
        </w:rPr>
        <w:t>AI_ENABLED</w:t>
      </w:r>
      <w:r>
        <w:rPr>
          <w:b w:val="0"/>
          <w:i w:val="0"/>
        </w:rPr>
        <w:t xml:space="preserve">, global concurrency, request/image limits, egress allowlists, and retention controls. User-specific endpoints/models/secrets live in private provider profiles; no secret uses a </w:t>
      </w:r>
      <w:r>
        <w:rPr>
          <w:rFonts w:ascii="DejaVu Sans Mono" w:hAnsi="DejaVu Sans Mono"/>
          <w:b w:val="0"/>
          <w:i w:val="0"/>
          <w:color w:val="163247"/>
          <w:sz w:val="17"/>
        </w:rPr>
        <w:t>NEXT_PUBLIC_*</w:t>
      </w:r>
      <w:r>
        <w:rPr>
          <w:b w:val="0"/>
          <w:i w:val="0"/>
        </w:rPr>
        <w:t xml:space="preserve"> environment variable.</w:t>
      </w:r>
    </w:p>
    <w:p>
      <w:pPr/>
      <w:r>
        <w:rPr>
          <w:b w:val="0"/>
          <w:i w:val="0"/>
        </w:rPr>
        <w:t>Start AI disabled until migrations and configuration checks succeed. Shut down workers gracefully, stop claiming new items, and release or expire unfinished leases safely. Run one backend writer instance against a local SQLite volume in V1. A second process sharing that volume across hosts is unsupported.</w:t>
      </w:r>
    </w:p>
    <w:p>
      <w:pPr/>
      <w:r>
        <w:rPr>
          <w:b w:val="0"/>
          <w:i w:val="0"/>
        </w:rPr>
        <w:t>Expose queue depth, outcome counts, retry/error rates, latency, token usage, and verified/partial writes as aggregate metrics. Use request/job/item IDs in logs, not filenames, coordinate values, image content, or full provider responses. Disabling AI must leave the rest of Places functional.</w:t>
      </w:r>
    </w:p>
    <w:p>
      <w:pPr/>
      <w:r>
        <w:rPr>
          <w:b w:val="0"/>
          <w:i w:val="0"/>
        </w:rPr>
        <w:t>Preserve upstream notices and document the fork's changes. The inspected repository carries an MIT license and copyright notice; retain them rather than replace the upstream attribution. [R16]</w:t>
      </w:r>
    </w:p>
    <w:p>
      <w:pPr>
        <w:pStyle w:val="Heading1"/>
      </w:pPr>
      <w:r>
        <w:rPr>
          <w:b w:val="0"/>
          <w:i w:val="0"/>
        </w:rPr>
        <w:t>14. Verification and release strategy</w:t>
      </w:r>
    </w:p>
    <w:p>
      <w:pPr/>
      <w:r>
        <w:rPr>
          <w:b w:val="0"/>
          <w:i w:val="0"/>
        </w:rPr>
        <w:t>Unit tests cover schema and semantic validation, consent filtering, coordinate boundaries, language coverage, revision checks, result-state transitions, managed descriptions, and target manifests. Repository tests use in-memory or temporary SQLite fixtures with real migrations, not mocks alone.</w:t>
      </w:r>
    </w:p>
    <w:p>
      <w:pPr/>
      <w:r>
        <w:rPr>
          <w:b w:val="0"/>
          <w:i w:val="0"/>
        </w:rPr>
        <w:t>Concurrency/recovery tests cover lease expiry, late responses, restart during requests, duplicate submit, cancellation, budget reservations, overlapping drafts, and local persistence failure after Immich success. Provider fixtures cover strict JSON, JSON-only, malformed output, refusal, truncation, unsupported options, 401/429/5xx, and unknown usage.</w:t>
      </w:r>
    </w:p>
    <w:p>
      <w:pPr/>
      <w:r>
        <w:rPr>
          <w:b w:val="0"/>
          <w:i w:val="0"/>
        </w:rPr>
        <w:t>Immich integration tests use a separately configured disposable library: one GPS-less image, one geotagged image, existing descriptions, a stack with mixed coordinates, inaccessible assets, and relevant external-library modes. Record the Immich version and verified methods. Validate standard fields, optional metadata, partial write, sidecar caveats, and inability to clear GPS where applicable.</w:t>
      </w:r>
    </w:p>
    <w:p>
      <w:pPr/>
      <w:r>
        <w:rPr>
          <w:b w:val="0"/>
          <w:i w:val="0"/>
        </w:rPr>
        <w:t>End-to-end tests implement PRD AC-01–12 and confirm that Accept causes zero Immich mutations. Assert the exact IDs of every outgoing write, not merely the number of API requests. Add UI regression checks for existing manual placement, GPX import, selection, map refresh, and AI-disabled operation.</w:t>
      </w:r>
    </w:p>
    <w:p>
      <w:pPr/>
      <w:r>
        <w:rPr>
          <w:b w:val="0"/>
          <w:i w:val="0"/>
        </w:rPr>
        <w:t>For model evaluation, hide ground-truth GPS and disallowed filename/album clues without modifying originals. Separate Visual from Context-assisted evaluation, split by trip, and report coverage alongside accuracy. Use independently verified camera coordinates rather than POI centroids. Store no benchmark photographs in the public fork without permission.</w:t>
      </w:r>
    </w:p>
    <w:p>
      <w:pPr>
        <w:pStyle w:val="Heading1"/>
      </w:pPr>
      <w:r>
        <w:rPr>
          <w:b w:val="0"/>
          <w:i w:val="0"/>
        </w:rPr>
        <w:t>15. Decisions and implementation gates</w:t>
      </w:r>
    </w:p>
    <w:tbl>
      <w:tblPr>
        <w:tblW w:type="auto" w:w="0"/>
        <w:jc w:val="center"/>
        <w:tblLayout w:type="fixed"/>
        <w:tblLook w:firstColumn="1" w:firstRow="1" w:lastColumn="0" w:lastRow="0" w:noHBand="0" w:noVBand="1" w:val="04A0"/>
      </w:tblPr>
      <w:tblGrid>
        <w:gridCol w:w="1656"/>
        <w:gridCol w:w="8208"/>
      </w:tblGrid>
      <w:tr>
        <w:trPr>
          <w:cantSplit/>
          <w:tblHeader/>
        </w:trPr>
        <w:tc>
          <w:tcPr>
            <w:tcW w:type="dxa" w:w="1656"/>
            <w:vAlign w:val="center"/>
            <w:tcMar>
              <w:top w:w="80" w:type="dxa"/>
              <w:bottom w:w="80" w:type="dxa"/>
              <w:left w:w="100" w:type="dxa"/>
              <w:right w:w="100" w:type="dxa"/>
            </w:tcMar>
            <w:shd w:fill="163247"/>
          </w:tcPr>
          <w:p>
            <w:pPr>
              <w:spacing w:after="0" w:before="0" w:line="264" w:lineRule="auto"/>
            </w:pPr>
            <w:r>
              <w:rPr>
                <w:b/>
                <w:i w:val="0"/>
                <w:color w:val="FFFFFF"/>
                <w:sz w:val="18"/>
              </w:rPr>
              <w:t>ID</w:t>
            </w:r>
          </w:p>
        </w:tc>
        <w:tc>
          <w:tcPr>
            <w:tcW w:type="dxa" w:w="8208"/>
            <w:vAlign w:val="center"/>
            <w:tcMar>
              <w:top w:w="80" w:type="dxa"/>
              <w:bottom w:w="80" w:type="dxa"/>
              <w:left w:w="100" w:type="dxa"/>
              <w:right w:w="100" w:type="dxa"/>
            </w:tcMar>
            <w:shd w:fill="163247"/>
          </w:tcPr>
          <w:p>
            <w:pPr>
              <w:spacing w:after="0" w:before="0" w:line="264" w:lineRule="auto"/>
            </w:pPr>
            <w:r>
              <w:rPr>
                <w:b/>
                <w:i w:val="0"/>
                <w:color w:val="FFFFFF"/>
                <w:sz w:val="18"/>
              </w:rPr>
              <w:t>Decision / remaining gate</w:t>
            </w:r>
          </w:p>
        </w:tc>
      </w:tr>
      <w:tr>
        <w:trPr>
          <w:cantSplit/>
        </w:trPr>
        <w:tc>
          <w:tcPr>
            <w:tcW w:type="dxa" w:w="1656"/>
            <w:vAlign w:val="center"/>
            <w:tcMar>
              <w:top w:w="80" w:type="dxa"/>
              <w:bottom w:w="80" w:type="dxa"/>
              <w:left w:w="100" w:type="dxa"/>
              <w:right w:w="100" w:type="dxa"/>
            </w:tcMar>
            <w:shd w:fill="EEF4F7"/>
          </w:tcPr>
          <w:p>
            <w:pPr>
              <w:spacing w:after="0" w:before="0" w:line="264" w:lineRule="auto"/>
            </w:pPr>
            <w:r>
              <w:rPr>
                <w:b w:val="0"/>
                <w:i w:val="0"/>
                <w:sz w:val="18"/>
              </w:rPr>
              <w:t>ADR-01</w:t>
            </w:r>
          </w:p>
        </w:tc>
        <w:tc>
          <w:tcPr>
            <w:tcW w:type="dxa" w:w="8208"/>
            <w:vAlign w:val="center"/>
            <w:tcMar>
              <w:top w:w="80" w:type="dxa"/>
              <w:bottom w:w="80" w:type="dxa"/>
              <w:left w:w="100" w:type="dxa"/>
              <w:right w:w="100" w:type="dxa"/>
            </w:tcMar>
            <w:shd w:fill="EEF4F7"/>
          </w:tcPr>
          <w:p>
            <w:pPr>
              <w:spacing w:after="0" w:before="0" w:line="264" w:lineRule="auto"/>
            </w:pPr>
            <w:r>
              <w:rPr>
                <w:b w:val="0"/>
                <w:i w:val="0"/>
                <w:sz w:val="18"/>
              </w:rPr>
              <w:t>Reuse Go/Next.js/SQLite; no new service in V1.</w:t>
            </w:r>
          </w:p>
        </w:tc>
      </w:tr>
      <w:tr>
        <w:trPr>
          <w:cantSplit/>
        </w:trPr>
        <w:tc>
          <w:tcPr>
            <w:tcW w:type="dxa" w:w="1656"/>
            <w:vAlign w:val="center"/>
            <w:tcMar>
              <w:top w:w="80" w:type="dxa"/>
              <w:bottom w:w="80" w:type="dxa"/>
              <w:left w:w="100" w:type="dxa"/>
              <w:right w:w="100" w:type="dxa"/>
            </w:tcMar>
          </w:tcPr>
          <w:p>
            <w:pPr>
              <w:spacing w:after="0" w:before="0" w:line="264" w:lineRule="auto"/>
            </w:pPr>
            <w:r>
              <w:rPr>
                <w:b w:val="0"/>
                <w:i w:val="0"/>
                <w:sz w:val="18"/>
              </w:rPr>
              <w:t>ADR-02</w:t>
            </w:r>
          </w:p>
        </w:tc>
        <w:tc>
          <w:tcPr>
            <w:tcW w:type="dxa" w:w="8208"/>
            <w:vAlign w:val="center"/>
            <w:tcMar>
              <w:top w:w="80" w:type="dxa"/>
              <w:bottom w:w="80" w:type="dxa"/>
              <w:left w:w="100" w:type="dxa"/>
              <w:right w:w="100" w:type="dxa"/>
            </w:tcMar>
          </w:tcPr>
          <w:p>
            <w:pPr>
              <w:spacing w:after="0" w:before="0" w:line="264" w:lineRule="auto"/>
            </w:pPr>
            <w:r>
              <w:rPr>
                <w:b w:val="0"/>
                <w:i w:val="0"/>
                <w:sz w:val="18"/>
              </w:rPr>
              <w:t>AI creates proposals only; a separate confirmed writer owns mutations.</w:t>
            </w:r>
          </w:p>
        </w:tc>
      </w:tr>
      <w:tr>
        <w:trPr>
          <w:cantSplit/>
        </w:trPr>
        <w:tc>
          <w:tcPr>
            <w:tcW w:type="dxa" w:w="1656"/>
            <w:vAlign w:val="center"/>
            <w:tcMar>
              <w:top w:w="80" w:type="dxa"/>
              <w:bottom w:w="80" w:type="dxa"/>
              <w:left w:w="100" w:type="dxa"/>
              <w:right w:w="100" w:type="dxa"/>
            </w:tcMar>
            <w:shd w:fill="EEF4F7"/>
          </w:tcPr>
          <w:p>
            <w:pPr>
              <w:spacing w:after="0" w:before="0" w:line="264" w:lineRule="auto"/>
            </w:pPr>
            <w:r>
              <w:rPr>
                <w:b w:val="0"/>
                <w:i w:val="0"/>
                <w:sz w:val="18"/>
              </w:rPr>
              <w:t>ADR-03</w:t>
            </w:r>
          </w:p>
        </w:tc>
        <w:tc>
          <w:tcPr>
            <w:tcW w:type="dxa" w:w="8208"/>
            <w:vAlign w:val="center"/>
            <w:tcMar>
              <w:top w:w="80" w:type="dxa"/>
              <w:bottom w:w="80" w:type="dxa"/>
              <w:left w:w="100" w:type="dxa"/>
              <w:right w:w="100" w:type="dxa"/>
            </w:tcMar>
            <w:shd w:fill="EEF4F7"/>
          </w:tcPr>
          <w:p>
            <w:pPr>
              <w:spacing w:after="0" w:before="0" w:line="264" w:lineRule="auto"/>
            </w:pPr>
            <w:r>
              <w:rPr>
                <w:b w:val="0"/>
                <w:i w:val="0"/>
                <w:sz w:val="18"/>
              </w:rPr>
              <w:t>Immutable results plus durable, versioned drafts; no direct model-output write.</w:t>
            </w:r>
          </w:p>
        </w:tc>
      </w:tr>
      <w:tr>
        <w:trPr>
          <w:cantSplit/>
        </w:trPr>
        <w:tc>
          <w:tcPr>
            <w:tcW w:type="dxa" w:w="1656"/>
            <w:vAlign w:val="center"/>
            <w:tcMar>
              <w:top w:w="80" w:type="dxa"/>
              <w:bottom w:w="80" w:type="dxa"/>
              <w:left w:w="100" w:type="dxa"/>
              <w:right w:w="100" w:type="dxa"/>
            </w:tcMar>
          </w:tcPr>
          <w:p>
            <w:pPr>
              <w:spacing w:after="0" w:before="0" w:line="264" w:lineRule="auto"/>
            </w:pPr>
            <w:r>
              <w:rPr>
                <w:b w:val="0"/>
                <w:i w:val="0"/>
                <w:sz w:val="18"/>
              </w:rPr>
              <w:t>ADR-04</w:t>
            </w:r>
          </w:p>
        </w:tc>
        <w:tc>
          <w:tcPr>
            <w:tcW w:type="dxa" w:w="8208"/>
            <w:vAlign w:val="center"/>
            <w:tcMar>
              <w:top w:w="80" w:type="dxa"/>
              <w:bottom w:w="80" w:type="dxa"/>
              <w:left w:w="100" w:type="dxa"/>
              <w:right w:w="100" w:type="dxa"/>
            </w:tcMar>
          </w:tcPr>
          <w:p>
            <w:pPr>
              <w:spacing w:after="0" w:before="0" w:line="264" w:lineRule="auto"/>
            </w:pPr>
            <w:r>
              <w:rPr>
                <w:b w:val="0"/>
                <w:i w:val="0"/>
                <w:sz w:val="18"/>
              </w:rPr>
              <w:t>Explicit asset targets; no implicit stack propagation in the AI path.</w:t>
            </w:r>
          </w:p>
        </w:tc>
      </w:tr>
      <w:tr>
        <w:trPr>
          <w:cantSplit/>
        </w:trPr>
        <w:tc>
          <w:tcPr>
            <w:tcW w:type="dxa" w:w="1656"/>
            <w:vAlign w:val="center"/>
            <w:tcMar>
              <w:top w:w="80" w:type="dxa"/>
              <w:bottom w:w="80" w:type="dxa"/>
              <w:left w:w="100" w:type="dxa"/>
              <w:right w:w="100" w:type="dxa"/>
            </w:tcMar>
            <w:shd w:fill="EEF4F7"/>
          </w:tcPr>
          <w:p>
            <w:pPr>
              <w:spacing w:after="0" w:before="0" w:line="264" w:lineRule="auto"/>
            </w:pPr>
            <w:r>
              <w:rPr>
                <w:b w:val="0"/>
                <w:i w:val="0"/>
                <w:sz w:val="18"/>
              </w:rPr>
              <w:t>ADR-05</w:t>
            </w:r>
          </w:p>
        </w:tc>
        <w:tc>
          <w:tcPr>
            <w:tcW w:type="dxa" w:w="8208"/>
            <w:vAlign w:val="center"/>
            <w:tcMar>
              <w:top w:w="80" w:type="dxa"/>
              <w:bottom w:w="80" w:type="dxa"/>
              <w:left w:w="100" w:type="dxa"/>
              <w:right w:w="100" w:type="dxa"/>
            </w:tcMar>
            <w:shd w:fill="EEF4F7"/>
          </w:tcPr>
          <w:p>
            <w:pPr>
              <w:spacing w:after="0" w:before="0" w:line="264" w:lineRule="auto"/>
            </w:pPr>
            <w:r>
              <w:rPr>
                <w:b w:val="0"/>
                <w:i w:val="0"/>
                <w:sz w:val="18"/>
              </w:rPr>
              <w:t>Standard GPS/description write required; extended metadata mirror is optional.</w:t>
            </w:r>
          </w:p>
        </w:tc>
      </w:tr>
      <w:tr>
        <w:trPr>
          <w:cantSplit/>
        </w:trPr>
        <w:tc>
          <w:tcPr>
            <w:tcW w:type="dxa" w:w="1656"/>
            <w:vAlign w:val="center"/>
            <w:tcMar>
              <w:top w:w="80" w:type="dxa"/>
              <w:bottom w:w="80" w:type="dxa"/>
              <w:left w:w="100" w:type="dxa"/>
              <w:right w:w="100" w:type="dxa"/>
            </w:tcMar>
          </w:tcPr>
          <w:p>
            <w:pPr>
              <w:spacing w:after="0" w:before="0" w:line="264" w:lineRule="auto"/>
            </w:pPr>
            <w:r>
              <w:rPr>
                <w:b w:val="0"/>
                <w:i w:val="0"/>
                <w:sz w:val="18"/>
              </w:rPr>
              <w:t>ADR-06</w:t>
            </w:r>
          </w:p>
        </w:tc>
        <w:tc>
          <w:tcPr>
            <w:tcW w:type="dxa" w:w="8208"/>
            <w:vAlign w:val="center"/>
            <w:tcMar>
              <w:top w:w="80" w:type="dxa"/>
              <w:bottom w:w="80" w:type="dxa"/>
              <w:left w:w="100" w:type="dxa"/>
              <w:right w:w="100" w:type="dxa"/>
            </w:tcMar>
          </w:tcPr>
          <w:p>
            <w:pPr>
              <w:spacing w:after="0" w:before="0" w:line="264" w:lineRule="auto"/>
            </w:pPr>
            <w:r>
              <w:rPr>
                <w:b w:val="0"/>
                <w:i w:val="0"/>
                <w:sz w:val="18"/>
              </w:rPr>
              <w:t>V1 includes direction and multilingual descriptions; advanced research is separately scoped.</w:t>
            </w:r>
          </w:p>
        </w:tc>
      </w:tr>
      <w:tr>
        <w:trPr>
          <w:cantSplit/>
        </w:trPr>
        <w:tc>
          <w:tcPr>
            <w:tcW w:type="dxa" w:w="1656"/>
            <w:vAlign w:val="center"/>
            <w:tcMar>
              <w:top w:w="80" w:type="dxa"/>
              <w:bottom w:w="80" w:type="dxa"/>
              <w:left w:w="100" w:type="dxa"/>
              <w:right w:w="100" w:type="dxa"/>
            </w:tcMar>
            <w:shd w:fill="EEF4F7"/>
          </w:tcPr>
          <w:p>
            <w:pPr>
              <w:spacing w:after="0" w:before="0" w:line="264" w:lineRule="auto"/>
            </w:pPr>
            <w:r>
              <w:rPr>
                <w:b w:val="0"/>
                <w:i w:val="0"/>
                <w:sz w:val="18"/>
              </w:rPr>
              <w:t>GATE-01</w:t>
            </w:r>
          </w:p>
        </w:tc>
        <w:tc>
          <w:tcPr>
            <w:tcW w:type="dxa" w:w="8208"/>
            <w:vAlign w:val="center"/>
            <w:tcMar>
              <w:top w:w="80" w:type="dxa"/>
              <w:bottom w:w="80" w:type="dxa"/>
              <w:left w:w="100" w:type="dxa"/>
              <w:right w:w="100" w:type="dxa"/>
            </w:tcMar>
            <w:shd w:fill="EEF4F7"/>
          </w:tcPr>
          <w:p>
            <w:pPr>
              <w:spacing w:after="0" w:before="0" w:line="264" w:lineRule="auto"/>
            </w:pPr>
            <w:r>
              <w:rPr>
                <w:b w:val="0"/>
                <w:i w:val="0"/>
                <w:sz w:val="18"/>
              </w:rPr>
              <w:t>Record checkout SHA and reconcile verified paths before generating detailed tasks.</w:t>
            </w:r>
          </w:p>
        </w:tc>
      </w:tr>
      <w:tr>
        <w:trPr>
          <w:cantSplit/>
        </w:trPr>
        <w:tc>
          <w:tcPr>
            <w:tcW w:type="dxa" w:w="1656"/>
            <w:vAlign w:val="center"/>
            <w:tcMar>
              <w:top w:w="80" w:type="dxa"/>
              <w:bottom w:w="80" w:type="dxa"/>
              <w:left w:w="100" w:type="dxa"/>
              <w:right w:w="100" w:type="dxa"/>
            </w:tcMar>
          </w:tcPr>
          <w:p>
            <w:pPr>
              <w:spacing w:after="0" w:before="0" w:line="264" w:lineRule="auto"/>
            </w:pPr>
            <w:r>
              <w:rPr>
                <w:b w:val="0"/>
                <w:i w:val="0"/>
                <w:sz w:val="18"/>
              </w:rPr>
              <w:t>GATE-02</w:t>
            </w:r>
          </w:p>
        </w:tc>
        <w:tc>
          <w:tcPr>
            <w:tcW w:type="dxa" w:w="8208"/>
            <w:vAlign w:val="center"/>
            <w:tcMar>
              <w:top w:w="80" w:type="dxa"/>
              <w:bottom w:w="80" w:type="dxa"/>
              <w:left w:w="100" w:type="dxa"/>
              <w:right w:w="100" w:type="dxa"/>
            </w:tcMar>
          </w:tcPr>
          <w:p>
            <w:pPr>
              <w:spacing w:after="0" w:before="0" w:line="264" w:lineRule="auto"/>
            </w:pPr>
            <w:r>
              <w:rPr>
                <w:b w:val="0"/>
                <w:i w:val="0"/>
                <w:sz w:val="18"/>
              </w:rPr>
              <w:t>Record deployed Immich version and validate API methods, rights, and sidecar/library behavior.</w:t>
            </w:r>
          </w:p>
        </w:tc>
      </w:tr>
      <w:tr>
        <w:trPr>
          <w:cantSplit/>
        </w:trPr>
        <w:tc>
          <w:tcPr>
            <w:tcW w:type="dxa" w:w="1656"/>
            <w:vAlign w:val="center"/>
            <w:tcMar>
              <w:top w:w="80" w:type="dxa"/>
              <w:bottom w:w="80" w:type="dxa"/>
              <w:left w:w="100" w:type="dxa"/>
              <w:right w:w="100" w:type="dxa"/>
            </w:tcMar>
            <w:shd w:fill="EEF4F7"/>
          </w:tcPr>
          <w:p>
            <w:pPr>
              <w:spacing w:after="0" w:before="0" w:line="264" w:lineRule="auto"/>
            </w:pPr>
            <w:r>
              <w:rPr>
                <w:b w:val="0"/>
                <w:i w:val="0"/>
                <w:sz w:val="18"/>
              </w:rPr>
              <w:t>GATE-03</w:t>
            </w:r>
          </w:p>
        </w:tc>
        <w:tc>
          <w:tcPr>
            <w:tcW w:type="dxa" w:w="8208"/>
            <w:vAlign w:val="center"/>
            <w:tcMar>
              <w:top w:w="80" w:type="dxa"/>
              <w:bottom w:w="80" w:type="dxa"/>
              <w:left w:w="100" w:type="dxa"/>
              <w:right w:w="100" w:type="dxa"/>
            </w:tcMar>
            <w:shd w:fill="EEF4F7"/>
          </w:tcPr>
          <w:p>
            <w:pPr>
              <w:spacing w:after="0" w:before="0" w:line="264" w:lineRule="auto"/>
            </w:pPr>
            <w:r>
              <w:rPr>
                <w:b w:val="0"/>
                <w:i w:val="0"/>
                <w:sz w:val="18"/>
              </w:rPr>
              <w:t>Choose/test the first vision endpoint and its strict-schema/JSON compatibility.</w:t>
            </w:r>
          </w:p>
        </w:tc>
      </w:tr>
      <w:tr>
        <w:trPr>
          <w:cantSplit/>
        </w:trPr>
        <w:tc>
          <w:tcPr>
            <w:tcW w:type="dxa" w:w="1656"/>
            <w:vAlign w:val="center"/>
            <w:tcMar>
              <w:top w:w="80" w:type="dxa"/>
              <w:bottom w:w="80" w:type="dxa"/>
              <w:left w:w="100" w:type="dxa"/>
              <w:right w:w="100" w:type="dxa"/>
            </w:tcMar>
          </w:tcPr>
          <w:p>
            <w:pPr>
              <w:spacing w:after="0" w:before="0" w:line="264" w:lineRule="auto"/>
            </w:pPr>
            <w:r>
              <w:rPr>
                <w:b w:val="0"/>
                <w:i w:val="0"/>
                <w:sz w:val="18"/>
              </w:rPr>
              <w:t>GATE-04</w:t>
            </w:r>
          </w:p>
        </w:tc>
        <w:tc>
          <w:tcPr>
            <w:tcW w:type="dxa" w:w="8208"/>
            <w:vAlign w:val="center"/>
            <w:tcMar>
              <w:top w:w="80" w:type="dxa"/>
              <w:bottom w:w="80" w:type="dxa"/>
              <w:left w:w="100" w:type="dxa"/>
              <w:right w:w="100" w:type="dxa"/>
            </w:tcMar>
          </w:tcPr>
          <w:p>
            <w:pPr>
              <w:spacing w:after="0" w:before="0" w:line="264" w:lineRule="auto"/>
            </w:pPr>
            <w:r>
              <w:rPr>
                <w:b w:val="0"/>
                <w:i w:val="0"/>
                <w:sz w:val="18"/>
              </w:rPr>
              <w:t>Approve retention defaults, network allowlists, and quality benchmark fixture.</w:t>
            </w:r>
          </w:p>
        </w:tc>
      </w:tr>
    </w:tbl>
    <w:p>
      <w:pPr>
        <w:spacing w:after="20" w:before="0" w:line="60" w:lineRule="auto"/>
      </w:pPr>
    </w:p>
    <w:p>
      <w:pPr/>
      <w:r>
        <w:rPr>
          <w:b w:val="0"/>
          <w:i w:val="0"/>
        </w:rPr>
        <w:t xml:space="preserve">OpenSpec should derive capability specifications, scenarios, and implementation tasks from this baseline, not treat proposed filenames, numeric limits, or unresolved gates as already implemented facts. See </w:t>
      </w:r>
      <w:r>
        <w:rPr>
          <w:rFonts w:ascii="DejaVu Sans Mono" w:hAnsi="DejaVu Sans Mono"/>
          <w:b w:val="0"/>
          <w:i w:val="0"/>
          <w:color w:val="163247"/>
          <w:sz w:val="17"/>
        </w:rPr>
        <w:t>OPENSPEC_HANDOFF.md</w:t>
      </w:r>
      <w:r>
        <w:rPr>
          <w:b w:val="0"/>
          <w:i w:val="0"/>
        </w:rPr>
        <w:t xml:space="preserve"> for the planning boundary.</w:t>
      </w:r>
    </w:p>
    <w:p>
      <w:pPr>
        <w:pStyle w:val="Heading1"/>
      </w:pPr>
      <w:r>
        <w:t>Sources and verification</w:t>
      </w:r>
    </w:p>
    <w:p>
      <w:pPr>
        <w:pStyle w:val="SourceText"/>
      </w:pPr>
      <w:r>
        <w:t>Public sources inspected on 17 September 2026. Fork references are to the mutable main branch; the checkout commit must be recorded before implementation. Immich implementation references are pinned to v3.2.2. Proposed behavior is not a runtime compatibility claim.</w:t>
      </w:r>
    </w:p>
    <w:p>
      <w:bookmarkStart w:id="1" w:name="R01"/>
      <w:pPr>
        <w:pStyle w:val="SourceText"/>
        <w:keepLines/>
      </w:pPr>
      <w:bookmarkEnd w:id="1"/>
      <w:r>
        <w:rPr>
          <w:b/>
        </w:rPr>
        <w:t xml:space="preserve">[R01] </w:t>
      </w:r>
      <w:hyperlink r:id="rId12">
        <w:r>
          <w:rPr>
            <w:color w:val="167D8D"/>
          </w:rPr>
          <w:t>Fork README and repository overview</w:t>
        </w:r>
      </w:hyperlink>
      <w:r>
        <w:br/>
        <w:t>Documented features, auth/deployment overview and frontend proxy defaults. README is not a runtime test.</w:t>
      </w:r>
    </w:p>
    <w:p>
      <w:bookmarkStart w:id="2" w:name="R02"/>
      <w:pPr>
        <w:pStyle w:val="SourceText"/>
        <w:keepLines/>
      </w:pPr>
      <w:bookmarkEnd w:id="2"/>
      <w:r>
        <w:rPr>
          <w:b/>
        </w:rPr>
        <w:t xml:space="preserve">[R02] </w:t>
      </w:r>
      <w:hyperlink r:id="rId13">
        <w:r>
          <w:rPr>
            <w:color w:val="167D8D"/>
          </w:rPr>
          <w:t>Frontend dependency manifest</w:t>
        </w:r>
      </w:hyperlink>
      <w:r>
        <w:br/>
        <w:t>Declared Next.js, React, Leaflet, TypeScript and build/lint scripts.</w:t>
      </w:r>
    </w:p>
    <w:p>
      <w:bookmarkStart w:id="3" w:name="R03"/>
      <w:pPr>
        <w:pStyle w:val="SourceText"/>
        <w:keepLines/>
      </w:pPr>
      <w:bookmarkEnd w:id="3"/>
      <w:r>
        <w:rPr>
          <w:b/>
        </w:rPr>
        <w:t xml:space="preserve">[R03] </w:t>
      </w:r>
      <w:hyperlink r:id="rId14">
        <w:r>
          <w:rPr>
            <w:color w:val="167D8D"/>
          </w:rPr>
          <w:t>Go module manifest</w:t>
        </w:r>
      </w:hyperlink>
      <w:r>
        <w:br/>
        <w:t>Go toolchain declaration, SQLite driver and Goose dependency.</w:t>
      </w:r>
    </w:p>
    <w:p>
      <w:bookmarkStart w:id="4" w:name="R04"/>
      <w:pPr>
        <w:pStyle w:val="SourceText"/>
        <w:keepLines/>
      </w:pPr>
      <w:bookmarkEnd w:id="4"/>
      <w:r>
        <w:rPr>
          <w:b/>
        </w:rPr>
        <w:t xml:space="preserve">[R04] </w:t>
      </w:r>
      <w:hyperlink r:id="rId15">
        <w:r>
          <w:rPr>
            <w:color w:val="167D8D"/>
          </w:rPr>
          <w:t>Go service composition and route registration</w:t>
        </w:r>
      </w:hyperlink>
      <w:r>
        <w:br/>
        <w:t>Protected application routes and startup wiring.</w:t>
      </w:r>
    </w:p>
    <w:p>
      <w:bookmarkStart w:id="5" w:name="R05"/>
      <w:pPr>
        <w:pStyle w:val="SourceText"/>
        <w:keepLines/>
      </w:pPr>
      <w:bookmarkEnd w:id="5"/>
      <w:r>
        <w:rPr>
          <w:b/>
        </w:rPr>
        <w:t xml:space="preserve">[R05] </w:t>
      </w:r>
      <w:hyperlink r:id="rId16">
        <w:r>
          <w:rPr>
            <w:color w:val="167D8D"/>
          </w:rPr>
          <w:t>Asset handlers and current location writer</w:t>
        </w:r>
      </w:hyperlink>
      <w:r>
        <w:br/>
        <w:t>Date/GPS parsing; preview reads; handleUpdateLocation; resolveAndUpdateLocation expands stack IDs and writes immediately.</w:t>
      </w:r>
    </w:p>
    <w:p>
      <w:bookmarkStart w:id="6" w:name="R06"/>
      <w:pPr>
        <w:pStyle w:val="SourceText"/>
        <w:keepLines/>
      </w:pPr>
      <w:bookmarkEnd w:id="6"/>
      <w:r>
        <w:rPr>
          <w:b/>
        </w:rPr>
        <w:t xml:space="preserve">[R06] </w:t>
      </w:r>
      <w:hyperlink r:id="rId17">
        <w:r>
          <w:rPr>
            <w:color w:val="167D8D"/>
          </w:rPr>
          <w:t>Local database and asset queries</w:t>
        </w:r>
      </w:hyperlink>
      <w:r>
        <w:br/>
        <w:t>WAL setup, tenant scope, missing-GPS and source timestamp filtering, stack-primary filtering and synchronized asset projection.</w:t>
      </w:r>
    </w:p>
    <w:p>
      <w:bookmarkStart w:id="7" w:name="R07"/>
      <w:pPr>
        <w:pStyle w:val="SourceText"/>
        <w:keepLines/>
      </w:pPr>
      <w:bookmarkEnd w:id="7"/>
      <w:r>
        <w:rPr>
          <w:b/>
        </w:rPr>
        <w:t xml:space="preserve">[R07] </w:t>
      </w:r>
      <w:hyperlink r:id="rId18">
        <w:r>
          <w:rPr>
            <w:color w:val="167D8D"/>
          </w:rPr>
          <w:t>Embedded database migration runner</w:t>
        </w:r>
      </w:hyperlink>
      <w:r>
        <w:br/>
        <w:t>Goose loads migrations/*.sql; numbering must be checked in the working checkout.</w:t>
      </w:r>
    </w:p>
    <w:p>
      <w:bookmarkStart w:id="8" w:name="R08"/>
      <w:pPr>
        <w:pStyle w:val="SourceText"/>
        <w:keepLines/>
      </w:pPr>
      <w:bookmarkEnd w:id="8"/>
      <w:r>
        <w:rPr>
          <w:b/>
        </w:rPr>
        <w:t xml:space="preserve">[R08] </w:t>
      </w:r>
      <w:hyperlink r:id="rId19">
        <w:r>
          <w:rPr>
            <w:color w:val="167D8D"/>
          </w:rPr>
          <w:t>Credential encryption helpers</w:t>
        </w:r>
      </w:hyperlink>
      <w:r>
        <w:br/>
        <w:t>AES-GCM helpers and legacy plaintext-compatible decryption branch.</w:t>
      </w:r>
    </w:p>
    <w:p>
      <w:bookmarkStart w:id="9" w:name="R09"/>
      <w:pPr>
        <w:pStyle w:val="SourceText"/>
        <w:keepLines/>
      </w:pPr>
      <w:bookmarkEnd w:id="9"/>
      <w:r>
        <w:rPr>
          <w:b/>
        </w:rPr>
        <w:t xml:space="preserve">[R09] </w:t>
      </w:r>
      <w:hyperlink r:id="rId20">
        <w:r>
          <w:rPr>
            <w:color w:val="167D8D"/>
          </w:rPr>
          <w:t>Application page composition</w:t>
        </w:r>
      </w:hyperlink>
      <w:r>
        <w:br/>
        <w:t>Existing authenticated shell, photo list, and map integration.</w:t>
      </w:r>
    </w:p>
    <w:p>
      <w:bookmarkStart w:id="10" w:name="R10"/>
      <w:pPr>
        <w:pStyle w:val="SourceText"/>
        <w:keepLines/>
      </w:pPr>
      <w:bookmarkEnd w:id="10"/>
      <w:r>
        <w:rPr>
          <w:b/>
        </w:rPr>
        <w:t xml:space="preserve">[R10] </w:t>
      </w:r>
      <w:hyperlink r:id="rId21">
        <w:r>
          <w:rPr>
            <w:color w:val="167D8D"/>
          </w:rPr>
          <w:t>Frontend application contexts</w:t>
        </w:r>
      </w:hyperlink>
      <w:r>
        <w:br/>
        <w:t>Catalog, view, selection, and map contexts.</w:t>
      </w:r>
    </w:p>
    <w:p>
      <w:bookmarkStart w:id="11" w:name="R11"/>
      <w:pPr>
        <w:pStyle w:val="SourceText"/>
        <w:keepLines/>
      </w:pPr>
      <w:bookmarkEnd w:id="11"/>
      <w:r>
        <w:rPr>
          <w:b/>
        </w:rPr>
        <w:t xml:space="preserve">[R11] </w:t>
      </w:r>
      <w:hyperlink r:id="rId22">
        <w:r>
          <w:rPr>
            <w:color w:val="167D8D"/>
          </w:rPr>
          <w:t>Frontend orchestration</w:t>
        </w:r>
      </w:hyperlink>
      <w:r>
        <w:br/>
        <w:t>Selection callbacks, suggestions, save state, and map refresh integration.</w:t>
      </w:r>
    </w:p>
    <w:p>
      <w:bookmarkStart w:id="12" w:name="R12"/>
      <w:pPr>
        <w:pStyle w:val="SourceText"/>
        <w:keepLines/>
      </w:pPr>
      <w:bookmarkEnd w:id="12"/>
      <w:r>
        <w:rPr>
          <w:b/>
        </w:rPr>
        <w:t xml:space="preserve">[R12] </w:t>
      </w:r>
      <w:hyperlink r:id="rId23">
        <w:r>
          <w:rPr>
            <w:color w:val="167D8D"/>
          </w:rPr>
          <w:t>Photo list integration</w:t>
        </w:r>
      </w:hyperlink>
      <w:r>
        <w:br/>
        <w:t>Album/date controls, catalog view and selection integration.</w:t>
      </w:r>
    </w:p>
    <w:p>
      <w:bookmarkStart w:id="13" w:name="R13"/>
      <w:pPr>
        <w:pStyle w:val="SourceText"/>
        <w:keepLines/>
      </w:pPr>
      <w:bookmarkEnd w:id="13"/>
      <w:r>
        <w:rPr>
          <w:b/>
        </w:rPr>
        <w:t xml:space="preserve">[R13] </w:t>
      </w:r>
      <w:hyperlink r:id="rId24">
        <w:r>
          <w:rPr>
            <w:color w:val="167D8D"/>
          </w:rPr>
          <w:t>Selection controller</w:t>
        </w:r>
      </w:hyperlink>
      <w:r>
        <w:br/>
        <w:t>Composition of location assignment and save callbacks.</w:t>
      </w:r>
    </w:p>
    <w:p>
      <w:bookmarkStart w:id="14" w:name="R14"/>
      <w:pPr>
        <w:pStyle w:val="SourceText"/>
        <w:keepLines/>
      </w:pPr>
      <w:bookmarkEnd w:id="14"/>
      <w:r>
        <w:rPr>
          <w:b/>
        </w:rPr>
        <w:t xml:space="preserve">[R14] </w:t>
      </w:r>
      <w:hyperlink r:id="rId25">
        <w:r>
          <w:rPr>
            <w:color w:val="167D8D"/>
          </w:rPr>
          <w:t>Map and pending-location types</w:t>
        </w:r>
      </w:hyperlink>
      <w:r>
        <w:br/>
        <w:t>Coordinate-only pending types and existing source discriminator values.</w:t>
      </w:r>
    </w:p>
    <w:p>
      <w:bookmarkStart w:id="15" w:name="R15"/>
      <w:pPr>
        <w:pStyle w:val="SourceText"/>
        <w:keepLines/>
      </w:pPr>
      <w:bookmarkEnd w:id="15"/>
      <w:r>
        <w:rPr>
          <w:b/>
        </w:rPr>
        <w:t xml:space="preserve">[R15] </w:t>
      </w:r>
      <w:hyperlink r:id="rId26">
        <w:r>
          <w:rPr>
            <w:color w:val="167D8D"/>
          </w:rPr>
          <w:t>Compose deployment</w:t>
        </w:r>
      </w:hyperlink>
      <w:r>
        <w:br/>
        <w:t>Frontend/backend service split and backend /data volume.</w:t>
      </w:r>
    </w:p>
    <w:p>
      <w:bookmarkStart w:id="16" w:name="R16"/>
      <w:pPr>
        <w:pStyle w:val="SourceText"/>
        <w:keepLines/>
      </w:pPr>
      <w:bookmarkEnd w:id="16"/>
      <w:r>
        <w:rPr>
          <w:b/>
        </w:rPr>
        <w:t xml:space="preserve">[R16] </w:t>
      </w:r>
      <w:hyperlink r:id="rId27">
        <w:r>
          <w:rPr>
            <w:color w:val="167D8D"/>
          </w:rPr>
          <w:t>Repository license</w:t>
        </w:r>
      </w:hyperlink>
      <w:r>
        <w:br/>
        <w:t>MIT license with upstream copyright notice. Preserve attribution; no broader legal analysis is provided.</w:t>
      </w:r>
    </w:p>
    <w:p>
      <w:bookmarkStart w:id="17" w:name="I01"/>
      <w:pPr>
        <w:pStyle w:val="SourceText"/>
        <w:keepLines/>
      </w:pPr>
      <w:bookmarkEnd w:id="17"/>
      <w:r>
        <w:rPr>
          <w:b/>
        </w:rPr>
        <w:t xml:space="preserve">[I01] </w:t>
      </w:r>
      <w:hyperlink r:id="rId28">
        <w:r>
          <w:rPr>
            <w:color w:val="167D8D"/>
          </w:rPr>
          <w:t>Immich v3.2.2 asset DTOs</w:t>
        </w:r>
      </w:hyperlink>
      <w:r>
        <w:br/>
        <w:t>GPS-pair validation, description string, custom metadata object schema and no standard heading field in the inspected update schema.</w:t>
      </w:r>
    </w:p>
    <w:p>
      <w:bookmarkStart w:id="18" w:name="I02"/>
      <w:pPr>
        <w:pStyle w:val="SourceText"/>
        <w:keepLines/>
      </w:pPr>
      <w:bookmarkEnd w:id="18"/>
      <w:r>
        <w:rPr>
          <w:b/>
        </w:rPr>
        <w:t xml:space="preserve">[I02] </w:t>
      </w:r>
      <w:hyperlink r:id="rId29">
        <w:r>
          <w:rPr>
            <w:color w:val="167D8D"/>
          </w:rPr>
          <w:t>Immich v3.2.2 asset controller</w:t>
        </w:r>
      </w:hyperlink>
      <w:r>
        <w:br/>
        <w:t>Read/update routes, deprecated PUT and PATCH alternatives, metadata routes and permissions.</w:t>
      </w:r>
    </w:p>
    <w:p>
      <w:bookmarkStart w:id="19" w:name="I03"/>
      <w:pPr>
        <w:pStyle w:val="SourceText"/>
        <w:keepLines/>
      </w:pPr>
      <w:bookmarkEnd w:id="19"/>
      <w:r>
        <w:rPr>
          <w:b/>
        </w:rPr>
        <w:t xml:space="preserve">[I03] </w:t>
      </w:r>
      <w:hyperlink r:id="rId30">
        <w:r>
          <w:rPr>
            <w:color w:val="167D8D"/>
          </w:rPr>
          <w:t>Immich v3.2.2 asset service</w:t>
        </w:r>
      </w:hyperlink>
      <w:r>
        <w:br/>
        <w:t>Separate standard-field and custom metadata operations; access checks; sidecar job enqueue.</w:t>
      </w:r>
    </w:p>
    <w:p>
      <w:bookmarkStart w:id="20" w:name="I04"/>
      <w:pPr>
        <w:pStyle w:val="SourceText"/>
        <w:keepLines/>
      </w:pPr>
      <w:bookmarkEnd w:id="20"/>
      <w:r>
        <w:rPr>
          <w:b/>
        </w:rPr>
        <w:t xml:space="preserve">[I04] </w:t>
      </w:r>
      <w:hyperlink r:id="rId31">
        <w:r>
          <w:rPr>
            <w:color w:val="167D8D"/>
          </w:rPr>
          <w:t>Immich v3.2.2 validation schemas</w:t>
        </w:r>
      </w:hyperlink>
      <w:r>
        <w:br/>
        <w:t>Coordinate schemas accept numeric latitude/longitude with bounds, not null.</w:t>
      </w:r>
    </w:p>
    <w:p>
      <w:bookmarkStart w:id="21" w:name="O01"/>
      <w:pPr>
        <w:pStyle w:val="SourceText"/>
        <w:keepLines/>
      </w:pPr>
      <w:bookmarkEnd w:id="21"/>
      <w:r>
        <w:rPr>
          <w:b/>
        </w:rPr>
        <w:t xml:space="preserve">[O01] </w:t>
      </w:r>
      <w:hyperlink r:id="rId32">
        <w:r>
          <w:rPr>
            <w:color w:val="167D8D"/>
          </w:rPr>
          <w:t>OpenAI: Images and vision</w:t>
        </w:r>
      </w:hyperlink>
      <w:r>
        <w:br/>
        <w:t>Image input formats and vision constraints. Third-party endpoint support is not implied.</w:t>
      </w:r>
    </w:p>
    <w:p>
      <w:bookmarkStart w:id="22" w:name="O02"/>
      <w:pPr>
        <w:pStyle w:val="SourceText"/>
        <w:keepLines/>
      </w:pPr>
      <w:bookmarkEnd w:id="22"/>
      <w:r>
        <w:rPr>
          <w:b/>
        </w:rPr>
        <w:t xml:space="preserve">[O02] </w:t>
      </w:r>
      <w:hyperlink r:id="rId33">
        <w:r>
          <w:rPr>
            <w:color w:val="167D8D"/>
          </w:rPr>
          <w:t>OpenAI: Structured model outputs</w:t>
        </w:r>
      </w:hyperlink>
      <w:r>
        <w:br/>
        <w:t>Schema-constrained output versus JSON mode, supported schema constraints and edge-case handling.</w:t>
      </w:r>
    </w:p>
    <w:p>
      <w:bookmarkStart w:id="23" w:name="O03"/>
      <w:pPr>
        <w:pStyle w:val="SourceText"/>
        <w:keepLines/>
      </w:pPr>
      <w:bookmarkEnd w:id="23"/>
      <w:r>
        <w:rPr>
          <w:b/>
        </w:rPr>
        <w:t xml:space="preserve">[O03] </w:t>
      </w:r>
      <w:hyperlink r:id="rId34">
        <w:r>
          <w:rPr>
            <w:color w:val="167D8D"/>
          </w:rPr>
          <w:t>OpenAI: Web search</w:t>
        </w:r>
      </w:hyperlink>
      <w:r>
        <w:br/>
        <w:t>Web search as a separately enabled tool/integration capability.</w:t>
      </w:r>
    </w:p>
    <w:p>
      <w:bookmarkStart w:id="24" w:name="M01"/>
      <w:pPr>
        <w:pStyle w:val="SourceText"/>
        <w:keepLines/>
      </w:pPr>
      <w:bookmarkEnd w:id="24"/>
      <w:r>
        <w:rPr>
          <w:b/>
        </w:rPr>
        <w:t xml:space="preserve">[M01] </w:t>
      </w:r>
      <w:hyperlink r:id="rId35">
        <w:r>
          <w:rPr>
            <w:color w:val="167D8D"/>
          </w:rPr>
          <w:t>OpenStreetMap Foundation: Nominatim Usage Policy</w:t>
        </w:r>
      </w:hyperlink>
      <w:r>
        <w:br/>
        <w:t>Public endpoint rate limits, caching, identification, bulk restrictions and autocomplete prohibition; does not govern separately hosted services.</w:t>
      </w:r>
    </w:p>
    <w:p>
      <w:bookmarkStart w:id="25" w:name="M02"/>
      <w:pPr>
        <w:pStyle w:val="SourceText"/>
        <w:keepLines/>
      </w:pPr>
      <w:bookmarkEnd w:id="25"/>
      <w:r>
        <w:rPr>
          <w:b/>
        </w:rPr>
        <w:t xml:space="preserve">[M02] </w:t>
      </w:r>
      <w:hyperlink r:id="rId36">
        <w:r>
          <w:rPr>
            <w:color w:val="167D8D"/>
          </w:rPr>
          <w:t>SQLite: Write-Ahead Logging</w:t>
        </w:r>
      </w:hyperlink>
      <w:r>
        <w:br/>
        <w:t>WAL behavior, persistent state, backup considerations and same-host/network-filesystem constraints.</w:t>
      </w:r>
    </w:p>
    <w:sectPr w:rsidR="00FC693F" w:rsidRPr="0006063C" w:rsidSect="00034616">
      <w:headerReference w:type="default" r:id="rId9"/>
      <w:footerReference w:type="default" r:id="rId10"/>
      <w:footerReference w:type="first" r:id="rId11"/>
      <w:pgSz w:w="11909" w:h="16834"/>
      <w:pgMar w:top="979" w:right="1022" w:bottom="922" w:left="1022" w:header="403" w:footer="38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0707D"/>
        <w:sz w:val="16"/>
      </w:rPr>
      <w:t xml:space="preserve">Technical Design  ·  v1.0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0707D"/>
        <w:sz w:val="16"/>
      </w:rPr>
      <w:t>PLANNING BASELINE  /  17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spacing w:after="0"/>
    </w:pPr>
    <w:r>
      <w:t>IMMICH PLACES AI ADD-ON  /  TECHNICAL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1" w:lineRule="auto"/>
    </w:pPr>
    <w:rPr>
      <w:rFonts w:ascii="Lato" w:hAnsi="Lato"/>
      <w:color w:val="2434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Lato" w:hAnsi="Lato"/>
      <w:b/>
      <w:bCs/>
      <w:color w:val="163247"/>
      <w:sz w:val="34"/>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ato" w:hAnsi="Lato"/>
      <w:b/>
      <w:bCs/>
      <w:color w:val="167D8D"/>
      <w:sz w:val="25"/>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Lato" w:hAnsi="Lato"/>
      <w:b/>
      <w:bCs/>
      <w:color w:val="2434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Lato" w:hAnsi="Lato"/>
      <w:color w:val="163247"/>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Lato" w:hAnsi="Lato"/>
      <w:i/>
      <w:iCs/>
      <w:color w:val="167D8D"/>
      <w:spacing w:val="15"/>
      <w:sz w:val="3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100" w:after="180" w:line="252" w:lineRule="auto"/>
      <w:ind w:left="173"/>
    </w:pPr>
    <w:rPr>
      <w:rFonts w:ascii="DejaVu Sans Mono" w:hAnsi="DejaVu Sans Mono"/>
      <w:color w:val="163247"/>
      <w:sz w:val="16"/>
    </w:rPr>
  </w:style>
  <w:style w:type="paragraph" w:customStyle="1" w:styleId="SourceText">
    <w:name w:val="SourceText"/>
    <w:pPr>
      <w:spacing w:after="140" w:line="252" w:lineRule="auto"/>
    </w:pPr>
    <w:rPr>
      <w:rFonts w:ascii="Lato" w:hAnsi="Lato"/>
      <w:sz w:val="18"/>
    </w:rPr>
  </w:style>
  <w:style w:type="paragraph" w:customStyle="1" w:styleId="Kicker">
    <w:name w:val="Kicker"/>
    <w:pPr>
      <w:spacing w:after="180"/>
    </w:pPr>
    <w:rPr>
      <w:rFonts w:ascii="Lato" w:hAnsi="Lato"/>
      <w:b/>
      <w:color w:val="167D8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github.com/crazz/immich-places-ai-addon" TargetMode="External"/><Relationship Id="rId13" Type="http://schemas.openxmlformats.org/officeDocument/2006/relationships/hyperlink" Target="https://raw.githubusercontent.com/crazz/immich-places-ai-addon/main/package.json" TargetMode="External"/><Relationship Id="rId14" Type="http://schemas.openxmlformats.org/officeDocument/2006/relationships/hyperlink" Target="https://raw.githubusercontent.com/crazz/immich-places-ai-addon/main/backend/go.mod" TargetMode="External"/><Relationship Id="rId15" Type="http://schemas.openxmlformats.org/officeDocument/2006/relationships/hyperlink" Target="https://raw.githubusercontent.com/crazz/immich-places-ai-addon/main/backend/main.go" TargetMode="External"/><Relationship Id="rId16" Type="http://schemas.openxmlformats.org/officeDocument/2006/relationships/hyperlink" Target="https://raw.githubusercontent.com/crazz/immich-places-ai-addon/main/backend/handlers.go" TargetMode="External"/><Relationship Id="rId17" Type="http://schemas.openxmlformats.org/officeDocument/2006/relationships/hyperlink" Target="https://raw.githubusercontent.com/crazz/immich-places-ai-addon/main/backend/database.go" TargetMode="External"/><Relationship Id="rId18" Type="http://schemas.openxmlformats.org/officeDocument/2006/relationships/hyperlink" Target="https://raw.githubusercontent.com/crazz/immich-places-ai-addon/main/backend/migrations.go" TargetMode="External"/><Relationship Id="rId19" Type="http://schemas.openxmlformats.org/officeDocument/2006/relationships/hyperlink" Target="https://raw.githubusercontent.com/crazz/immich-places-ai-addon/main/backend/crypto.go" TargetMode="External"/><Relationship Id="rId20" Type="http://schemas.openxmlformats.org/officeDocument/2006/relationships/hyperlink" Target="https://raw.githubusercontent.com/crazz/immich-places-ai-addon/main/src/app/page.tsx" TargetMode="External"/><Relationship Id="rId21" Type="http://schemas.openxmlformats.org/officeDocument/2006/relationships/hyperlink" Target="https://raw.githubusercontent.com/crazz/immich-places-ai-addon/main/src/shared/context/AppContext.tsx" TargetMode="External"/><Relationship Id="rId22" Type="http://schemas.openxmlformats.org/officeDocument/2006/relationships/hyperlink" Target="https://raw.githubusercontent.com/crazz/immich-places-ai-addon/main/src/shared/context/useAppProviderState.ts" TargetMode="External"/><Relationship Id="rId23" Type="http://schemas.openxmlformats.org/officeDocument/2006/relationships/hyperlink" Target="https://raw.githubusercontent.com/crazz/immich-places-ai-addon/main/src/shared/components/PhotoListContainer.tsx" TargetMode="External"/><Relationship Id="rId24" Type="http://schemas.openxmlformats.org/officeDocument/2006/relationships/hyperlink" Target="https://raw.githubusercontent.com/crazz/immich-places-ai-addon/main/src/features/selection/useSelectionController.ts" TargetMode="External"/><Relationship Id="rId25" Type="http://schemas.openxmlformats.org/officeDocument/2006/relationships/hyperlink" Target="https://raw.githubusercontent.com/crazz/immich-places-ai-addon/main/src/shared/types/map.ts" TargetMode="External"/><Relationship Id="rId26" Type="http://schemas.openxmlformats.org/officeDocument/2006/relationships/hyperlink" Target="https://raw.githubusercontent.com/crazz/immich-places-ai-addon/main/docker-compose.yml" TargetMode="External"/><Relationship Id="rId27" Type="http://schemas.openxmlformats.org/officeDocument/2006/relationships/hyperlink" Target="https://raw.githubusercontent.com/crazz/immich-places-ai-addon/main/LICENSE" TargetMode="External"/><Relationship Id="rId28" Type="http://schemas.openxmlformats.org/officeDocument/2006/relationships/hyperlink" Target="https://raw.githubusercontent.com/immich-app/immich/v3.2.2/server/src/dtos/asset.dto.ts" TargetMode="External"/><Relationship Id="rId29" Type="http://schemas.openxmlformats.org/officeDocument/2006/relationships/hyperlink" Target="https://raw.githubusercontent.com/immich-app/immich/v3.2.2/server/src/controllers/asset.controller.ts" TargetMode="External"/><Relationship Id="rId30" Type="http://schemas.openxmlformats.org/officeDocument/2006/relationships/hyperlink" Target="https://raw.githubusercontent.com/immich-app/immich/v3.2.2/server/src/services/asset.service.ts" TargetMode="External"/><Relationship Id="rId31" Type="http://schemas.openxmlformats.org/officeDocument/2006/relationships/hyperlink" Target="https://raw.githubusercontent.com/immich-app/immich/v3.2.2/server/src/validation.ts" TargetMode="External"/><Relationship Id="rId32" Type="http://schemas.openxmlformats.org/officeDocument/2006/relationships/hyperlink" Target="https://developers.openai.com/api/docs/guides/images-vision" TargetMode="External"/><Relationship Id="rId33" Type="http://schemas.openxmlformats.org/officeDocument/2006/relationships/hyperlink" Target="https://developers.openai.com/api/docs/guides/structured-outputs" TargetMode="External"/><Relationship Id="rId34" Type="http://schemas.openxmlformats.org/officeDocument/2006/relationships/hyperlink" Target="https://developers.openai.com/api/docs/guides/tools-web-search" TargetMode="External"/><Relationship Id="rId35" Type="http://schemas.openxmlformats.org/officeDocument/2006/relationships/hyperlink" Target="https://operations.osmfoundation.org/policies/nominatim/" TargetMode="External"/><Relationship Id="rId36" Type="http://schemas.openxmlformats.org/officeDocument/2006/relationships/hyperlink" Target="https://www.sqlite.org/wa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Immich Places AI Add-on — Technical Design</dc:title>
  <dc:subject>AI photo geolocation, review, and safe Immich writeback</dc:subject>
  <dc:creator/>
  <cp:keywords>Immich Places, AI Locate, PRD, OpenSpec, architecture</cp:keywords>
  <dc:description>Proposed planning baseline. See source and verification notes.</dc:description>
  <cp:lastModifiedBy/>
  <cp:revision>1</cp:revision>
  <dcterms:created xsi:type="dcterms:W3CDTF">2013-12-23T23:15:00Z</dcterms:created>
  <dcterms:modified xsi:type="dcterms:W3CDTF">2013-12-23T23:15:00Z</dcterms:modified>
  <cp:category/>
</cp:coreProperties>
</file>