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FieldChartOCR: Extraction of Handwritten Charts and Tables</w:t>
      </w:r>
      <w:r>
        <w:br w:type="page"/>
      </w:r>
    </w:p>
    <w:p>
      <w:pPr>
        <w:pStyle w:val="Heading1"/>
        <w:spacing w:before="0" w:after="240"/>
        <w:rPr/>
      </w:pPr>
      <w:r>
        <w:rPr/>
        <w:t>Abstract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Handwritten charts and technical notes are rich with quantitative insight yet remain locked inside scanned pages. FieldChartOCR extends ChartOCR to converting hand-drawn charts and tables into structured datasets. The procedure goes through chart classification, element detection, and handwriting OCR, to information extraction. The focus is on delivering a practical tool that field technicians and researchers can rely on without exhaustive manual transcription.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1. Introduction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Digitizing handwritten technical notebooks is labour-intensive. Engineers, students, and analysts rely on annotations, sketches, and mixed layouts that resist automated extraction. Existing OCR tools, like ChartOCR, provide plain text at best; they ignore hand-drawn informatics in order to optimize accuracy. On the other hand, professionals (such as field technicians) must manually re-create charts in tools such as Excel, Desmos, or CAD systems—a significant barrier to iteration and collaboration.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The goal of FieldChartOCR is to build a unified pipeline that ingests handwritten graphs, tables, and mechanical annotations and produces structured artifacts suitable for analytics and visualization. By coupling deep learning with rule-based reasoning, I hope to generalize across chart families while maintaining transparency in intermediate outputs. Delivering this capability advances document understanding, accelerates knowledge sharing, and supports accessibility by providing machine-readable alternatives to complex figures.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2. Related Work</w:t>
      </w:r>
    </w:p>
    <w:p>
      <w:pPr>
        <w:pStyle w:val="ListParagraph"/>
        <w:numPr>
          <w:ilvl w:val="0"/>
          <w:numId w:val="6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Chart Understanding Frameworks:</w:t>
      </w:r>
      <w:r>
        <w:rPr>
          <w:rFonts w:eastAsia="Georgia" w:cs="Georgia"/>
          <w:sz w:val="24"/>
          <w:szCs w:val="24"/>
        </w:rPr>
        <w:t xml:space="preserve"> ChartOCR’s hybrid keypoint-and-rule architecture demonstrates the effectiveness of combining deep detection with domain logic. ChartSense and ReVision apply rule-based heuristics but struggle with diverse layouts. DVQA and FigureQA focus on question answering but assume neatly rendered charts.</w:t>
      </w:r>
    </w:p>
    <w:p>
      <w:pPr>
        <w:pStyle w:val="ListParagraph"/>
        <w:numPr>
          <w:ilvl w:val="0"/>
          <w:numId w:val="7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Diagram &amp; Table Recognition:</w:t>
      </w:r>
      <w:r>
        <w:rPr>
          <w:rFonts w:eastAsia="Georgia" w:cs="Georgia"/>
          <w:sz w:val="24"/>
          <w:szCs w:val="24"/>
        </w:rPr>
        <w:t xml:space="preserve"> DiagramParseNet and other graph-parsing models detect nodes and edges in structured diagrams. DeepDeSRT and PubTabNet handle printed tables yet rely on sharp lines and consistent fonts, unlike the irregular strokes in hand-drawn notes.</w:t>
      </w:r>
    </w:p>
    <w:p>
      <w:pPr>
        <w:pStyle w:val="ListParagraph"/>
        <w:numPr>
          <w:ilvl w:val="0"/>
          <w:numId w:val="8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Handwriting OCR &amp; Math Recognition:</w:t>
      </w:r>
      <w:r>
        <w:rPr>
          <w:rFonts w:eastAsia="Georgia" w:cs="Georgia"/>
          <w:sz w:val="24"/>
          <w:szCs w:val="24"/>
        </w:rPr>
        <w:t xml:space="preserve"> Transformer-based handwriting recognizers and MathOCR systems convert cursive and symbolic notation into LaTeX. They typically operate on grayscale inputs and overlook complex layouts.</w:t>
      </w:r>
    </w:p>
    <w:p>
      <w:pPr>
        <w:pStyle w:val="ListParagraph"/>
        <w:numPr>
          <w:ilvl w:val="0"/>
          <w:numId w:val="9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Document Normalization &amp; Imaging:</w:t>
      </w:r>
      <w:r>
        <w:rPr>
          <w:rFonts w:eastAsia="Georgia" w:cs="Georgia"/>
          <w:sz w:val="24"/>
          <w:szCs w:val="24"/>
        </w:rPr>
        <w:t xml:space="preserve"> Research on illumination correction and phase-based representations inspires our preprocessing layer. Multispectral imaging studies inform our roadmap for future sensing modalities.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Proposed Work</w:t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3.1 Data Sources</w:t>
      </w:r>
    </w:p>
    <w:p>
      <w:pPr>
        <w:pStyle w:val="ListParagraph"/>
        <w:numPr>
          <w:ilvl w:val="0"/>
          <w:numId w:val="10"/>
        </w:numPr>
        <w:spacing w:before="80" w:after="80"/>
        <w:rPr/>
      </w:pPr>
      <w:r>
        <w:rPr>
          <w:rFonts w:eastAsia="Georgia" w:cs="Georgia"/>
          <w:sz w:val="24"/>
          <w:szCs w:val="24"/>
        </w:rPr>
        <w:t>handwritten notebooks and diagrams.</w:t>
      </w:r>
    </w:p>
    <w:p>
      <w:pPr>
        <w:pStyle w:val="ListParagraph"/>
        <w:numPr>
          <w:ilvl w:val="0"/>
          <w:numId w:val="11"/>
        </w:numPr>
        <w:spacing w:before="80" w:after="80"/>
        <w:rPr/>
      </w:pPr>
      <w:r>
        <w:rPr>
          <w:rFonts w:eastAsia="Georgia" w:cs="Georgia"/>
          <w:sz w:val="24"/>
          <w:szCs w:val="24"/>
        </w:rPr>
        <w:t>corresponding digital diagrams and comma separated list of data for training validation</w:t>
      </w:r>
    </w:p>
    <w:p>
      <w:pPr>
        <w:pStyle w:val="ListParagraph"/>
        <w:numPr>
          <w:ilvl w:val="0"/>
          <w:numId w:val="12"/>
        </w:numPr>
        <w:spacing w:before="80" w:after="80"/>
        <w:rPr/>
      </w:pPr>
      <w:r>
        <w:rPr>
          <w:rFonts w:eastAsia="Georgia" w:cs="Georgia"/>
          <w:sz w:val="24"/>
          <w:szCs w:val="24"/>
        </w:rPr>
        <w:t>In order to avoid informational leaks, I will synthesize my datasets to cover varied topics of study.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3.2 System Architecture</w:t>
      </w:r>
    </w:p>
    <w:p>
      <w:pPr>
        <w:pStyle w:val="ListParagraph"/>
        <w:numPr>
          <w:ilvl w:val="0"/>
          <w:numId w:val="13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Preprocessing &amp; Layout Normalization</w:t>
      </w:r>
    </w:p>
    <w:p>
      <w:pPr>
        <w:pStyle w:val="ListParagraph"/>
        <w:numPr>
          <w:ilvl w:val="1"/>
          <w:numId w:val="14"/>
        </w:numPr>
        <w:spacing w:before="80" w:after="80"/>
        <w:rPr/>
      </w:pPr>
      <w:r>
        <w:rPr>
          <w:rFonts w:eastAsia="Georgia" w:cs="Georgia"/>
          <w:sz w:val="24"/>
          <w:szCs w:val="24"/>
        </w:rPr>
        <w:t>Perform denoising, skew correction, grid suppression, and edge enhancement tailored to notebook paper.</w:t>
      </w:r>
    </w:p>
    <w:p>
      <w:pPr>
        <w:pStyle w:val="ListParagraph"/>
        <w:numPr>
          <w:ilvl w:val="1"/>
          <w:numId w:val="15"/>
        </w:numPr>
        <w:spacing w:before="80" w:after="80"/>
        <w:rPr/>
      </w:pPr>
      <w:r>
        <w:rPr>
          <w:rFonts w:eastAsia="Georgia" w:cs="Georgia"/>
          <w:sz w:val="24"/>
          <w:szCs w:val="24"/>
        </w:rPr>
        <w:t>Standardize contrast and dynamic range to support downstream detectors.</w:t>
      </w:r>
    </w:p>
    <w:p>
      <w:pPr>
        <w:pStyle w:val="ListParagraph"/>
        <w:numPr>
          <w:ilvl w:val="1"/>
          <w:numId w:val="16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Note:</w:t>
      </w:r>
      <w:r>
        <w:rPr>
          <w:rFonts w:eastAsia="Georgia" w:cs="Georgia"/>
          <w:sz w:val="24"/>
          <w:szCs w:val="24"/>
        </w:rPr>
        <w:t xml:space="preserve"> I may move to scanning the images if this part proves too onerous.</w:t>
      </w:r>
    </w:p>
    <w:p>
      <w:pPr>
        <w:pStyle w:val="ListParagraph"/>
        <w:numPr>
          <w:ilvl w:val="0"/>
          <w:numId w:val="17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Chart Type Classification</w:t>
      </w:r>
    </w:p>
    <w:p>
      <w:pPr>
        <w:pStyle w:val="ListParagraph"/>
        <w:numPr>
          <w:ilvl w:val="1"/>
          <w:numId w:val="18"/>
        </w:numPr>
        <w:spacing w:before="80" w:after="80"/>
        <w:rPr/>
      </w:pPr>
      <w:r>
        <w:rPr>
          <w:rFonts w:eastAsia="Georgia" w:cs="Georgia"/>
          <w:sz w:val="24"/>
          <w:szCs w:val="24"/>
        </w:rPr>
        <w:t>Lightweight CNN-transformer hybrid predicts dominant chart categories for each region.</w:t>
      </w:r>
    </w:p>
    <w:p>
      <w:pPr>
        <w:pStyle w:val="ListParagraph"/>
        <w:numPr>
          <w:ilvl w:val="2"/>
          <w:numId w:val="19"/>
        </w:numPr>
        <w:spacing w:before="80" w:after="80"/>
        <w:rPr/>
      </w:pPr>
      <w:r>
        <w:rPr>
          <w:rFonts w:eastAsia="Georgia" w:cs="Georgia"/>
          <w:sz w:val="24"/>
          <w:szCs w:val="24"/>
        </w:rPr>
        <w:t>The goal is to match the 3 charts recognized by ChartOCR: bar charts, line charts, and pie charts.</w:t>
      </w:r>
    </w:p>
    <w:p>
      <w:pPr>
        <w:pStyle w:val="ListParagraph"/>
        <w:numPr>
          <w:ilvl w:val="1"/>
          <w:numId w:val="20"/>
        </w:numPr>
        <w:spacing w:before="80" w:after="80"/>
        <w:rPr/>
      </w:pPr>
      <w:r>
        <w:rPr>
          <w:rFonts w:eastAsia="Georgia" w:cs="Georgia"/>
          <w:sz w:val="24"/>
          <w:szCs w:val="24"/>
        </w:rPr>
        <w:t>Supports mixed-content pages by assigning probabilities per region.</w:t>
      </w:r>
    </w:p>
    <w:p>
      <w:pPr>
        <w:pStyle w:val="ListParagraph"/>
        <w:numPr>
          <w:ilvl w:val="0"/>
          <w:numId w:val="21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Element Identification &amp; OCR</w:t>
      </w:r>
    </w:p>
    <w:p>
      <w:pPr>
        <w:pStyle w:val="ListParagraph"/>
        <w:numPr>
          <w:ilvl w:val="1"/>
          <w:numId w:val="22"/>
        </w:numPr>
        <w:spacing w:before="80" w:after="80"/>
        <w:rPr/>
      </w:pPr>
      <w:r>
        <w:rPr>
          <w:rFonts w:eastAsia="Georgia" w:cs="Georgia"/>
          <w:sz w:val="24"/>
          <w:szCs w:val="24"/>
        </w:rPr>
        <w:t>Shared detection backbone with heads for axes, scales, titles, data marks, and table structure.</w:t>
      </w:r>
    </w:p>
    <w:p>
      <w:pPr>
        <w:pStyle w:val="ListParagraph"/>
        <w:numPr>
          <w:ilvl w:val="0"/>
          <w:numId w:val="23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Semantic Assembly &amp; Output</w:t>
      </w:r>
    </w:p>
    <w:p>
      <w:pPr>
        <w:pStyle w:val="ListParagraph"/>
        <w:numPr>
          <w:ilvl w:val="1"/>
          <w:numId w:val="24"/>
        </w:numPr>
        <w:spacing w:before="80" w:after="80"/>
        <w:rPr/>
      </w:pPr>
      <w:r>
        <w:rPr>
          <w:rFonts w:eastAsia="Georgia" w:cs="Georgia"/>
          <w:sz w:val="24"/>
          <w:szCs w:val="24"/>
        </w:rPr>
        <w:t>Associates text blocks with detected elements, enforces basic geometric constraints, and exports Markdown summaries plus CSV datasets.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3.3 Development Plan</w:t>
      </w:r>
    </w:p>
    <w:p>
      <w:pPr>
        <w:pStyle w:val="ListParagraph"/>
        <w:numPr>
          <w:ilvl w:val="0"/>
          <w:numId w:val="25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Phase 1:</w:t>
      </w:r>
      <w:r>
        <w:rPr>
          <w:rFonts w:eastAsia="Georgia" w:cs="Georgia"/>
          <w:sz w:val="24"/>
          <w:szCs w:val="24"/>
        </w:rPr>
        <w:t xml:space="preserve"> Build preprocessing pipeline, layout normalization, and table-to-CSV baseline.</w:t>
      </w:r>
    </w:p>
    <w:p>
      <w:pPr>
        <w:pStyle w:val="ListParagraph"/>
        <w:numPr>
          <w:ilvl w:val="0"/>
          <w:numId w:val="26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Phase 2:</w:t>
      </w:r>
      <w:r>
        <w:rPr>
          <w:rFonts w:eastAsia="Georgia" w:cs="Georgia"/>
          <w:sz w:val="24"/>
          <w:szCs w:val="24"/>
        </w:rPr>
        <w:t xml:space="preserve"> Train chart classifier and core element detectors; integrate handwriting OCR.</w:t>
      </w:r>
    </w:p>
    <w:p>
      <w:pPr>
        <w:pStyle w:val="ListParagraph"/>
        <w:numPr>
          <w:ilvl w:val="0"/>
          <w:numId w:val="27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Phase 3:</w:t>
      </w:r>
      <w:r>
        <w:rPr>
          <w:rFonts w:eastAsia="Georgia" w:cs="Georgia"/>
          <w:sz w:val="24"/>
          <w:szCs w:val="24"/>
        </w:rPr>
        <w:t xml:space="preserve"> Finalize semantic assembly, polish outputs, and iterate on error analysis.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Evaluation Plan</w:t>
      </w:r>
    </w:p>
    <w:p>
      <w:pPr>
        <w:pStyle w:val="ListParagraph"/>
        <w:numPr>
          <w:ilvl w:val="0"/>
          <w:numId w:val="28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Effectiveness Metrics</w:t>
      </w:r>
    </w:p>
    <w:p>
      <w:pPr>
        <w:pStyle w:val="ListParagraph"/>
        <w:numPr>
          <w:ilvl w:val="1"/>
          <w:numId w:val="29"/>
        </w:numPr>
        <w:spacing w:before="80" w:after="80"/>
        <w:rPr/>
      </w:pPr>
      <w:r>
        <w:rPr>
          <w:rFonts w:eastAsia="Georgia" w:cs="Georgia"/>
          <w:sz w:val="24"/>
          <w:szCs w:val="24"/>
        </w:rPr>
        <w:t>Chart classification macro-F1 across core categories (bar, line, scatter, tables).</w:t>
      </w:r>
    </w:p>
    <w:p>
      <w:pPr>
        <w:pStyle w:val="ListParagraph"/>
        <w:numPr>
          <w:ilvl w:val="1"/>
          <w:numId w:val="30"/>
        </w:numPr>
        <w:spacing w:before="80" w:after="80"/>
        <w:rPr/>
      </w:pPr>
      <w:r>
        <w:rPr>
          <w:rFonts w:eastAsia="Georgia" w:cs="Georgia"/>
          <w:sz w:val="24"/>
          <w:szCs w:val="24"/>
        </w:rPr>
        <w:t>Element detection precision/recall for axes, titles, and data marks.</w:t>
      </w:r>
    </w:p>
    <w:p>
      <w:pPr>
        <w:pStyle w:val="ListParagraph"/>
        <w:numPr>
          <w:ilvl w:val="1"/>
          <w:numId w:val="31"/>
        </w:numPr>
        <w:spacing w:before="80" w:after="80"/>
        <w:rPr/>
      </w:pPr>
      <w:r>
        <w:rPr>
          <w:rFonts w:eastAsia="Georgia" w:cs="Georgia"/>
          <w:sz w:val="24"/>
          <w:szCs w:val="24"/>
        </w:rPr>
        <w:t>OCR character error rate (CER) and table reconstruction F1.</w:t>
      </w:r>
    </w:p>
    <w:p>
      <w:pPr>
        <w:pStyle w:val="ListParagraph"/>
        <w:numPr>
          <w:ilvl w:val="0"/>
          <w:numId w:val="32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Efficiency Metrics</w:t>
      </w:r>
    </w:p>
    <w:p>
      <w:pPr>
        <w:pStyle w:val="ListParagraph"/>
        <w:numPr>
          <w:ilvl w:val="1"/>
          <w:numId w:val="33"/>
        </w:numPr>
        <w:spacing w:before="80" w:after="80"/>
        <w:rPr/>
      </w:pPr>
      <w:r>
        <w:rPr>
          <w:rFonts w:eastAsia="Georgia" w:cs="Georgia"/>
          <w:sz w:val="24"/>
          <w:szCs w:val="24"/>
        </w:rPr>
        <w:t>End-to-end runtime per page and memory footprint.</w:t>
      </w:r>
    </w:p>
    <w:p>
      <w:pPr>
        <w:pStyle w:val="ListParagraph"/>
        <w:numPr>
          <w:ilvl w:val="0"/>
          <w:numId w:val="34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Experimental Setup</w:t>
      </w:r>
    </w:p>
    <w:p>
      <w:pPr>
        <w:pStyle w:val="ListParagraph"/>
        <w:numPr>
          <w:ilvl w:val="1"/>
          <w:numId w:val="35"/>
        </w:numPr>
        <w:spacing w:before="80" w:after="80"/>
        <w:rPr/>
      </w:pPr>
      <w:r>
        <w:rPr>
          <w:rFonts w:eastAsia="Georgia" w:cs="Georgia"/>
          <w:sz w:val="24"/>
          <w:szCs w:val="24"/>
        </w:rPr>
        <w:t>Stratified train/validation/test split by chart type and handwriting style.</w:t>
      </w:r>
    </w:p>
    <w:p>
      <w:pPr>
        <w:pStyle w:val="ListParagraph"/>
        <w:numPr>
          <w:ilvl w:val="1"/>
          <w:numId w:val="36"/>
        </w:numPr>
        <w:spacing w:before="80" w:after="80"/>
        <w:rPr/>
      </w:pPr>
      <w:r>
        <w:rPr>
          <w:rFonts w:eastAsia="Georgia" w:cs="Georgia"/>
          <w:sz w:val="24"/>
          <w:szCs w:val="24"/>
        </w:rPr>
        <w:t>Baselines: ChartOCR, generic OCR plus heuristic extraction, and manual transcription samples.</w:t>
      </w:r>
    </w:p>
    <w:p>
      <w:pPr>
        <w:pStyle w:val="ListParagraph"/>
        <w:numPr>
          <w:ilvl w:val="1"/>
          <w:numId w:val="37"/>
        </w:numPr>
        <w:spacing w:before="80" w:after="80"/>
        <w:rPr/>
      </w:pPr>
      <w:r>
        <w:rPr>
          <w:rFonts w:eastAsia="Georgia" w:cs="Georgia"/>
          <w:sz w:val="24"/>
          <w:szCs w:val="24"/>
        </w:rPr>
        <w:t>Ablations on preprocessing and semantic assembly.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5. Timeline &amp; Milestones</w:t>
      </w:r>
    </w:p>
    <w:tbl>
      <w:tblPr>
        <w:tblW w:w="5000" w:type="pct"/>
        <w:jc w:val="center"/>
        <w:tblInd w:w="0" w:type="dxa"/>
        <w:tblLayout w:type="fixed"/>
        <w:tblCellMar>
          <w:top w:w="115" w:type="dxa"/>
          <w:left w:w="172" w:type="dxa"/>
          <w:bottom w:w="115" w:type="dxa"/>
          <w:right w:w="172" w:type="dxa"/>
        </w:tblCellMar>
      </w:tblPr>
      <w:tblGrid>
        <w:gridCol w:w="1799"/>
        <w:gridCol w:w="7226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Week</w:t>
            </w:r>
          </w:p>
        </w:tc>
        <w:tc>
          <w:tcPr>
            <w:tcW w:w="7226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Milestone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1</w:t>
            </w:r>
          </w:p>
        </w:tc>
        <w:tc>
          <w:tcPr>
            <w:tcW w:w="7226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Finalize annotation schema, label initial dataset, implement normalization prototype.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2</w:t>
            </w:r>
          </w:p>
        </w:tc>
        <w:tc>
          <w:tcPr>
            <w:tcW w:w="7226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Integrate baseline handwriting OCR and chart classifier; evaluate on sample pages.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3</w:t>
            </w:r>
          </w:p>
        </w:tc>
        <w:tc>
          <w:tcPr>
            <w:tcW w:w="7226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Deploy element detectors and table recognizer; stand up Markdown/CSV writers.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4</w:t>
            </w:r>
          </w:p>
        </w:tc>
        <w:tc>
          <w:tcPr>
            <w:tcW w:w="7226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Iterate on semantic assembly, run core evaluations, and prepare presentation materials.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Current progress: completed literature review, defined architecture, and collected representative notebook scans.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6. Risks and Mitigation</w:t>
      </w:r>
    </w:p>
    <w:p>
      <w:pPr>
        <w:pStyle w:val="ListParagraph"/>
        <w:numPr>
          <w:ilvl w:val="0"/>
          <w:numId w:val="38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Limited Hand-Drawn Training Data</w:t>
      </w:r>
    </w:p>
    <w:p>
      <w:pPr>
        <w:pStyle w:val="ListParagraph"/>
        <w:numPr>
          <w:ilvl w:val="1"/>
          <w:numId w:val="39"/>
        </w:numPr>
        <w:spacing w:before="80" w:after="80"/>
        <w:rPr/>
      </w:pPr>
      <w:r>
        <w:rPr>
          <w:rFonts w:eastAsia="Georgia" w:cs="Georgia"/>
          <w:sz w:val="24"/>
          <w:szCs w:val="24"/>
        </w:rPr>
        <w:t>Mitigation: remove the information extraction steps and keep only the classification.</w:t>
      </w:r>
    </w:p>
    <w:p>
      <w:pPr>
        <w:pStyle w:val="ListParagraph"/>
        <w:numPr>
          <w:ilvl w:val="0"/>
          <w:numId w:val="40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Complex Page Layouts</w:t>
      </w:r>
    </w:p>
    <w:p>
      <w:pPr>
        <w:pStyle w:val="ListParagraph"/>
        <w:numPr>
          <w:ilvl w:val="1"/>
          <w:numId w:val="41"/>
        </w:numPr>
        <w:spacing w:before="80" w:after="80"/>
        <w:rPr/>
      </w:pPr>
      <w:r>
        <w:rPr>
          <w:rFonts w:eastAsia="Georgia" w:cs="Georgia"/>
          <w:sz w:val="24"/>
          <w:szCs w:val="24"/>
        </w:rPr>
        <w:t>Mitigation: flag difficult cases for human review.</w:t>
      </w:r>
    </w:p>
    <w:p>
      <w:pPr>
        <w:pStyle w:val="ListParagraph"/>
        <w:numPr>
          <w:ilvl w:val="0"/>
          <w:numId w:val="42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Lighting Noise</w:t>
      </w:r>
    </w:p>
    <w:p>
      <w:pPr>
        <w:pStyle w:val="ListParagraph"/>
        <w:numPr>
          <w:ilvl w:val="1"/>
          <w:numId w:val="43"/>
        </w:numPr>
        <w:spacing w:before="80" w:after="80"/>
        <w:rPr/>
      </w:pPr>
      <w:r>
        <w:rPr>
          <w:rFonts w:eastAsia="Georgia" w:cs="Georgia"/>
          <w:sz w:val="24"/>
          <w:szCs w:val="24"/>
        </w:rPr>
        <w:t>Mitigation: use normalization targets, augment brightness/contrast, and monitor detector confidence.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Conclusion and Future Work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FieldChartOCR delivers a modular approach to handwritten chart understanding that bridges the gap between raw scans and analytic-ready datasets. The simplified plan concentrates on a single, reliable pipeline that extracts layout structure and exports Markdown and CSV artifacts. Future work will explore richer diagram types and collaborative review tooling once the MVP demonstrates consistent performance.</w:t>
      </w:r>
    </w:p>
    <w:p>
      <w:pPr>
        <w:pStyle w:val="Heading2"/>
        <w:spacing w:before="240" w:after="160"/>
        <w:rPr>
          <w:rFonts w:ascii="Georgia" w:hAnsi="Georgia" w:eastAsia="Georgia" w:cs="Georgia"/>
          <w:b/>
          <w:bCs/>
          <w:color w:val="2F5597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2F5597"/>
          <w:sz w:val="32"/>
          <w:szCs w:val="32"/>
        </w:rPr>
      </w:r>
      <w:r>
        <w:br w:type="page"/>
      </w:r>
    </w:p>
    <w:p>
      <w:pPr>
        <w:pStyle w:val="Heading1"/>
        <w:spacing w:before="0" w:after="240"/>
        <w:rPr/>
      </w:pPr>
      <w:r>
        <w:rPr/>
        <w:t>References</w:t>
      </w:r>
    </w:p>
    <w:p>
      <w:pPr>
        <w:pStyle w:val="Normal"/>
        <w:rPr/>
      </w:pPr>
      <w:r>
        <w:rPr/>
        <w:t xml:space="preserve">1. Liu, X., Chen, L., Wei, Y., Luo, Y., Zhang, H., &amp; Zhou, S. (2021). ChartOCR: Data extraction from chart images via a deep hybrid framework. WACV 2021. </w:t>
      </w:r>
      <w:hyperlink r:id="rId2">
        <w:r>
          <w:rPr>
            <w:rStyle w:val="Hyperlink"/>
          </w:rPr>
          <w:t>https://openaccess.thecvf.com/content/WACV2021/papers/Luo_ChartOCR_Data_Extraction_From_Charts_Images_via_a_Deep_Hybrid_WACV_2021_paper.pdf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2. Savva, M., Kong, N., Chhoun, C., Agrawala, M., &amp; Heer, J. (2011). ReVision: Automated classification, analysis, and redesign of chart images. UIST ’11, 393–402. </w:t>
      </w:r>
      <w:hyperlink r:id="rId3">
        <w:r>
          <w:rPr>
            <w:rStyle w:val="Hyperlink"/>
          </w:rPr>
          <w:t>https://doi.org/10.1145/2047196.2047247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3. Jung, D., Kim, W., Song, H., Hwang, J.-I., Lee, B., Kim, B., &amp; Seo, J. (2017). ChartSense: Interactive data extraction from chart images. CHI ’17, 6706–6717. </w:t>
      </w:r>
      <w:hyperlink r:id="rId4">
        <w:r>
          <w:rPr>
            <w:rStyle w:val="Hyperlink"/>
          </w:rPr>
          <w:t>https://www.microsoft.com/en-us/research/wp-content/uploads/2017/02/ChartSense-CHI2017.pdf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4. Rowtula, V., Oota, S. R., &amp; Jawahar, C. V. (2019). Towards automated evaluation of handwritten assessments. (Conference details unavailable). </w:t>
      </w:r>
      <w:hyperlink r:id="rId5">
        <w:r>
          <w:rPr>
            <w:rStyle w:val="Hyperlink"/>
          </w:rPr>
          <w:t>https://cvit.iiit.ac.in/images/ConferencePapers/2019/PID6008523.pdf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5. Huang, K.-H., Chan, H. P., Fung, Y. R., Qiu, H., Zhou, M., Joty, S., Chang, S.-F., &amp; Ji, H. (2024). From pixels to insights: A survey on automatic chart understanding in the era of large foundation models. IEEE Transactions on Knowledge and Data Engineering. </w:t>
      </w:r>
      <w:hyperlink r:id="rId6">
        <w:r>
          <w:rPr>
            <w:rStyle w:val="Hyperlink"/>
          </w:rPr>
          <w:t>https://arxiv.org/pdf/2403.12027v4</w:t>
        </w:r>
      </w:hyperlink>
      <w:r>
        <w:rPr/>
        <w:t xml:space="preserve"> </w:t>
      </w:r>
    </w:p>
    <w:p>
      <w:pPr>
        <w:pStyle w:val="Normal"/>
        <w:spacing w:before="0" w:after="200"/>
        <w:rPr/>
      </w:pPr>
      <w:r>
        <w:rPr/>
        <w:t xml:space="preserve">6. Li, Z., et al. (2024). Improving handwritten mathematical expression recognition via integrating convolutional neural network with transformer and diffusion-based data augmentation. IEEE Access. </w:t>
      </w:r>
      <w:hyperlink r:id="rId7">
        <w:r>
          <w:rPr>
            <w:rStyle w:val="Hyperlink"/>
          </w:rPr>
          <w:t>https://www.researchgate.net/publication/380548640_Improving_Handwritten_Mathematical_Expression_Recognition_via_Integrating_Convolutional_Neural_Network_with_Transformer_and_Diffusion-Based_Data_Augmentation</w:t>
        </w:r>
      </w:hyperlink>
      <w:r>
        <w:rPr/>
        <w:t xml:space="preserve"> 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0" w:top="1440" w:footer="1440" w:bottom="233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charset w:val="00"/>
    <w:family w:val="roman"/>
    <w:pitch w:val="variable"/>
  </w:font>
  <w:font w:name="Segoe UI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right"/>
      <w:rPr/>
    </w:pPr>
    <w:bookmarkStart w:id="0" w:name="PageNumWizard_FOOT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right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/>
      <w:t xml:space="preserve"> of </w:t>
    </w:r>
    <w:r>
      <w:rPr/>
      <w:t>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Project Proposal by: Chris Brechin</w:t>
    </w:r>
  </w:p>
  <w:p>
    <w:pPr>
      <w:pStyle w:val="Footer"/>
      <w:rPr/>
    </w:pPr>
    <w:r>
      <w:rPr/>
      <w:t>Prepared for: DTSA-5506</w:t>
    </w:r>
  </w:p>
  <w:p>
    <w:pPr>
      <w:pStyle w:val="Footer"/>
      <w:spacing w:before="0" w:after="200"/>
      <w:rPr/>
    </w:pPr>
    <w:r>
      <w:rPr/>
      <w:t>Date: November 12</w:t>
    </w:r>
    <w:r>
      <w:rPr>
        <w:vertAlign w:val="superscript"/>
      </w:rPr>
      <w:t>th</w:t>
    </w:r>
    <w:r>
      <w:rPr/>
      <w:t>,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4"/>
    <w:lvlOverride w:ilvl="0">
      <w:startOverride w:val="1"/>
    </w:lvlOverride>
  </w:num>
  <w:num w:numId="14">
    <w:abstractNumId w:val="3"/>
  </w:num>
  <w:num w:numId="15">
    <w:abstractNumId w:val="3"/>
  </w:num>
  <w:num w:numId="16">
    <w:abstractNumId w:val="3"/>
  </w:num>
  <w:num w:numId="17">
    <w:abstractNumId w:val="4"/>
  </w:num>
  <w:num w:numId="18">
    <w:abstractNumId w:val="3"/>
  </w:num>
  <w:num w:numId="19">
    <w:abstractNumId w:val="3"/>
  </w:num>
  <w:num w:numId="20">
    <w:abstractNumId w:val="3"/>
  </w:num>
  <w:num w:numId="21">
    <w:abstractNumId w:val="4"/>
  </w:num>
  <w:num w:numId="22">
    <w:abstractNumId w:val="3"/>
  </w:num>
  <w:num w:numId="23">
    <w:abstractNumId w:val="4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200"/>
      <w:jc w:val="left"/>
    </w:pPr>
    <w:rPr>
      <w:rFonts w:ascii="Georgia" w:hAnsi="Georgia" w:eastAsia="Georgia" w:cs="Georgia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240"/>
    </w:pPr>
    <w:rPr>
      <w:rFonts w:ascii="Segoe UI" w:hAnsi="Segoe UI" w:eastAsia="Segoe UI" w:cs="Segoe UI"/>
      <w:b/>
      <w:bCs/>
      <w:color w:val="1A365D"/>
      <w:sz w:val="40"/>
      <w:szCs w:val="40"/>
    </w:rPr>
  </w:style>
  <w:style w:type="paragraph" w:styleId="Heading2">
    <w:name w:val="heading 2"/>
    <w:basedOn w:val="Heading"/>
    <w:qFormat/>
    <w:pPr>
      <w:spacing w:before="360" w:after="200"/>
    </w:pPr>
    <w:rPr>
      <w:rFonts w:ascii="Segoe UI" w:hAnsi="Segoe UI" w:eastAsia="Segoe UI" w:cs="Segoe UI"/>
      <w:b/>
      <w:bCs/>
      <w:color w:val="2C5282"/>
      <w:sz w:val="34"/>
      <w:szCs w:val="34"/>
    </w:rPr>
  </w:style>
  <w:style w:type="paragraph" w:styleId="Heading3">
    <w:name w:val="heading 3"/>
    <w:basedOn w:val="Heading"/>
    <w:qFormat/>
    <w:pPr>
      <w:spacing w:before="280" w:after="160"/>
    </w:pPr>
    <w:rPr>
      <w:rFonts w:ascii="Segoe UI" w:hAnsi="Segoe UI" w:eastAsia="Segoe UI" w:cs="Segoe UI"/>
      <w:b/>
      <w:bCs/>
      <w:color w:val="2D3748"/>
      <w:sz w:val="30"/>
      <w:szCs w:val="30"/>
    </w:rPr>
  </w:style>
  <w:style w:type="paragraph" w:styleId="Heading4">
    <w:name w:val="heading 4"/>
    <w:basedOn w:val="Heading"/>
    <w:qFormat/>
    <w:pPr>
      <w:spacing w:before="240" w:after="120"/>
    </w:pPr>
    <w:rPr>
      <w:rFonts w:ascii="Segoe UI" w:hAnsi="Segoe UI" w:eastAsia="Segoe UI" w:cs="Segoe UI"/>
      <w:b/>
      <w:bCs/>
      <w:color w:val="2D3748"/>
      <w:sz w:val="26"/>
      <w:szCs w:val="26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lineRule="auto" w:line="360" w:before="0" w:after="200"/>
      <w:jc w:val="left"/>
    </w:pPr>
    <w:rPr>
      <w:rFonts w:ascii="Georgia" w:hAnsi="Georgia" w:eastAsia="Georgia" w:cs="Georgia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lineRule="auto" w:line="360" w:before="0" w:after="200"/>
      <w:jc w:val="left"/>
    </w:pPr>
    <w:rPr>
      <w:rFonts w:ascii="Georgia" w:hAnsi="Georgia" w:eastAsia="Georgia" w:cs="Georgia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Quote">
    <w:name w:val="Quote"/>
    <w:qFormat/>
    <w:pPr>
      <w:widowControl/>
      <w:suppressAutoHyphens w:val="true"/>
      <w:bidi w:val="0"/>
      <w:spacing w:lineRule="auto" w:line="360" w:before="240" w:after="240"/>
      <w:ind w:left="720"/>
      <w:jc w:val="left"/>
    </w:pPr>
    <w:rPr>
      <w:rFonts w:ascii="Georgia" w:hAnsi="Georgia" w:eastAsia="Georgia" w:cs="Georgia"/>
      <w:i/>
      <w:iCs/>
      <w:color w:val="4A5568"/>
      <w:kern w:val="0"/>
      <w:sz w:val="24"/>
      <w:szCs w:val="24"/>
      <w:lang w:val="en-US" w:eastAsia="zh-CN" w:bidi="hi-IN"/>
    </w:rPr>
  </w:style>
  <w:style w:type="paragraph" w:styleId="Code">
    <w:name w:val="Code"/>
    <w:qFormat/>
    <w:pPr>
      <w:widowControl/>
      <w:suppressAutoHyphens w:val="true"/>
      <w:bidi w:val="0"/>
      <w:spacing w:lineRule="auto" w:line="360" w:before="240" w:after="240"/>
      <w:ind w:left="360"/>
      <w:jc w:val="left"/>
    </w:pPr>
    <w:rPr>
      <w:rFonts w:ascii="Consolas" w:hAnsi="Consolas" w:eastAsia="Consolas" w:cs="Consolas"/>
      <w:color w:val="1A202C"/>
      <w:kern w:val="0"/>
      <w:sz w:val="22"/>
      <w:szCs w:val="22"/>
      <w:lang w:val="en-US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access.thecvf.com/content/WACV2021/papers/Luo_ChartOCR_Data_Extraction_From_Charts_Images_via_a_Deep_Hybrid_WACV_2021_paper.pdf" TargetMode="External"/><Relationship Id="rId3" Type="http://schemas.openxmlformats.org/officeDocument/2006/relationships/hyperlink" Target="https://doi.org/10.1145/2047196.2047247" TargetMode="External"/><Relationship Id="rId4" Type="http://schemas.openxmlformats.org/officeDocument/2006/relationships/hyperlink" Target="https://www.microsoft.com/en-us/research/wp-content/uploads/2017/02/ChartSense-CHI2017.pdf" TargetMode="External"/><Relationship Id="rId5" Type="http://schemas.openxmlformats.org/officeDocument/2006/relationships/hyperlink" Target="https://cvit.iiit.ac.in/images/ConferencePapers/2019/PID6008523.pdf" TargetMode="External"/><Relationship Id="rId6" Type="http://schemas.openxmlformats.org/officeDocument/2006/relationships/hyperlink" Target="https://arxiv.org/pdf/2403.12027v4" TargetMode="External"/><Relationship Id="rId7" Type="http://schemas.openxmlformats.org/officeDocument/2006/relationships/hyperlink" Target="https://www.researchgate.net/publication/380548640_Improving_Handwritten_Mathematical_Expression_Recognition_via_Integrating_Convolutional_Neural_Network_with_Transformer_and_Diffusion-Based_Data_Augmentation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LibreOffice/25.2.6.2$Windows_X86_64 LibreOffice_project/729c5bfe710f5eb71ed3bbde9e06a6065e9c6c5d</Application>
  <AppVersion>15.0000</AppVersion>
  <Pages>9</Pages>
  <Words>1006</Words>
  <Characters>6734</Characters>
  <CharactersWithSpaces>7628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2025-11-14T05:58:35Z</dcterms:created>
  <dc:creator>Markdown to Word Converter</dc:creator>
  <dc:description>Document created with Markdown to Word Converter</dc:description>
  <dc:language>en-US</dc:language>
  <cp:lastModifiedBy/>
  <dcterms:modified xsi:type="dcterms:W3CDTF">2025-11-13T22:26:06Z</dcterms:modified>
  <cp:revision>4</cp:revision>
  <dc:subject/>
  <dc:title>Markdown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