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r>
        <w:t>1. Liu, X., et al. (2020). ChartOCR: Data extraction from chart images via a deep hybrid framework. https://arxiv.org/abs/2003.12232</w:t>
      </w:r>
    </w:p>
    <w:p>
      <w:r>
        <w:t>2. Savva, M., Kong, N., Chhoun, C., Agrawala, M., &amp; Heer, J. (2011). Revision: Automated classification, analysis, and redesign of chart images. In UIST ’11: Proceedings of the 24th Annual ACM Symposium on User Interface Software and Technology (pp. 393–402). https://doi.org/10.1145/2047196.2047247</w:t>
      </w:r>
    </w:p>
    <w:p>
      <w:r>
        <w:t>3. Jung, D., Ko, G., Kim, B., &amp; Seo, J. (2017). ChartSense: Interactive data extraction from chart images. In CHI ’17: Proceedings of the 2017 CHI Conference on Human Factors in Computing Systems (pp. 6706–6717). https://doi.org/10.1145/3025453.3025957</w:t>
      </w:r>
    </w:p>
    <w:p>
      <w:r>
        <w:t>4. Mondal, P., Shrestha, B., Shit, S. R., &amp; Patel, S. (2019). DeepDeSRT: Deep learning for table structure recognition. In ICDAR 2019: 15th International Conference on Document Analysis and Recognition (pp. 413–418). https://doi.org/10.1109/ICDAR.2019.00075</w:t>
      </w:r>
    </w:p>
    <w:p>
      <w:r>
        <w:t>5. Huang, C.-Z. A., et al. (2021). Diagram understanding methods: A survey. https://arxiv.org/abs/2105.07404</w:t>
      </w:r>
    </w:p>
    <w:p>
      <w:r>
        <w:t>6. Li, Z., et al. (2022). Handwritten mathematical expression recognition via transformer. https://arxiv.org/abs/2202.09120</w:t>
      </w:r>
    </w:p>
    <w:p>
      <w:r>
        <w:t>7. Gatos, N., Pratikakis, I., &amp; Perantonis, S. (2004). Adaptive document image binarization. In ICPR 2004: 17th International Conference on Pattern Recognition (Vol. 2, pp. 117–120). https://doi.org/10.1109/ICPR.2004.1334613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