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ME BATCH SUMMARY v1.1-final</w:t>
      </w:r>
    </w:p>
    <w:p>
      <w:pPr>
        <w:spacing w:after="60"/>
        <w:jc w:val="center"/>
      </w:pPr>
      <w:r>
        <w:rPr>
          <w:sz w:val="24"/>
          <w:szCs w:val="24"/>
        </w:rPr>
        <w:t xml:space="preserve">OMNI Geometry MLB — Paper 1</w:t>
      </w:r>
    </w:p>
    <w:p>
      <w:pPr>
        <w:spacing w:after="240"/>
        <w:jc w:val="center"/>
      </w:pPr>
      <w:r>
        <w:rPr>
          <w:i/>
          <w:iCs/>
        </w:rPr>
        <w:t xml:space="preserve">Phase 1 Confirmatory Batch — Mercury (ME) Origin — Phase 1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VX, EA, MO Batch Summaries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Batch Summary v1.1-final —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(pending PI sign-off)</w:t>
            </w:r>
          </w:p>
        </w:tc>
      </w:tr>
    </w:tbl>
    <w:p>
      <w:r>
        <w:t xml:space="preserve"/>
      </w:r>
    </w:p>
    <w:p>
      <w:pPr>
        <w:pStyle w:val="Heading1"/>
        <w:spacing w:after="180" w:before="360"/>
      </w:pPr>
      <w:r>
        <w:t xml:space="preserve">§1. Document Scope and Authority</w:t>
      </w:r>
    </w:p>
    <w:p>
      <w:pPr>
        <w:spacing w:after="80" w:before="80"/>
      </w:pPr>
      <w:r>
        <w:t xml:space="preserve">This document is the authoritative internal reference for the Mercury (ME) origin batch in Phase 1 of the OMNI Geometry MLB study. It mirrors the structure of the EA Batch Summary v1.1-final and applies the identical locked methodological framework: the H1 support floor, the four-regime sampling-geometry framework, the coverage-tier framework, the separation-domain principle, the two-regime signal architecture, and the concentration-regime caveat. Controlled vocabulary is sourced from paper_language.md.</w:t>
      </w:r>
    </w:p>
    <w:p>
      <w:pPr>
        <w:spacing w:after="80" w:before="80"/>
      </w:pPr>
      <w:r>
        <w:t xml:space="preserve">ME is structurally distinct from the prior five origin batches in three respects. First, ME is geocentrically bound to the Sun's elongation envelope (±28°), constraining Mercury's longitude to the portion of the zodiac within roughly Pisces through early Sagittarius across the MLB season window (March–October Sun in Pisces through Scorpio/Sagittarius). This produces approximately 270° of longitude coverage in the data, with a roughly 90°-wide gap centered on the December–February sky. Second, ME is a moving body with substantially constrained motion relative to the four prior moving-or-anchor origins: faster than the angle origins in inertial-frame sense but with bounded geocentric reach. Third, the faster-to-slower naming convention excludes MO, PFff, and PFdn from ME-origin FEATURE_LISTs (these aspects exist in the registry under MO × ME, MO × PFff, and similar inverse-direction features computed in prior batches). Net testable scope: 9 chunks × 13 bodies × 2 outcomes = 234 evaluations.</w:t>
      </w:r>
    </w:p>
    <w:p>
      <w:pPr>
        <w:spacing w:after="80" w:before="80"/>
      </w:pPr>
      <w:r>
        <w:t xml:space="preserve">Mercury's two distinct geometric constraints — the solar-elongation envelope on its angular separations from the Sun and Venus, and the seasonal-zodiac coverage gap on its angular separations from outer planets — produce two distinct failure populations within the same batch. The ME batch is therefore the first Phase 1 batch where the structural-geometry framework predicts dual failure modes operating on different body classes via different mechanisms; the empirical results confirm both. ME closes Phase 1 at the full pre-registered adjusted scope of 1,482 evaluations across all six origin batches.</w:t>
      </w:r>
    </w:p>
    <w:p>
      <w:pPr>
        <w:pStyle w:val="Heading1"/>
        <w:spacing w:after="180" w:before="360"/>
      </w:pPr>
      <w:r>
        <w:t xml:space="preserve">§2. ME Batch Overview</w:t>
      </w:r>
    </w:p>
    <w:p>
      <w:pPr>
        <w:spacing w:after="80" w:before="80"/>
      </w:pPr>
      <w:r>
        <w:t xml:space="preserve">Nine chunks executed under the locked engine, in order. All 234 evaluations achieved successful Phase A locks; no skipped or failed lock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1400"/>
        <w:gridCol w:w="16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Attempted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Supported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Rate (%)</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80.8</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80.8</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69.2</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80.8</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Total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234</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176</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75.2</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r>
    </w:tbl>
    <w:p>
      <w:r>
        <w:t xml:space="preserve"/>
      </w:r>
    </w:p>
    <w:p>
      <w:pPr>
        <w:spacing w:after="80" w:before="80"/>
      </w:pPr>
      <w:r>
        <w:t xml:space="preserve">Panel-wide ME support: 176 / 234 = 75.2%, between the angle-origin range (Asc 73.1%, MC 77.5%, VX 79.9%, EA 78.9%) and well below MO's 100.0%. ME chunks span a tight 69.2%–80.8% band, narrower than any prior batch except MO. The chunk-level pattern is highly stable: same-coord G-LON and G-RA both yield 21/26, same-coord G-AZ drops to 18/26, and all six cross-coord chunks fall in the 19–21/26 band. The lift envelope on supported evaluations clusters in the 1.33–1.95 range across all nine chunks, comparable to the angle origins' supported-evaluation lift bands and substantially above MO's tighter 1.32–1.65 envelope.</w:t>
      </w:r>
    </w:p>
    <w:p>
      <w:pPr>
        <w:pStyle w:val="Heading1"/>
        <w:spacing w:after="180" w:before="360"/>
      </w:pPr>
      <w:r>
        <w:t xml:space="preserve">§3. Cross-Origin Comparison: ME vs. Prior Origins</w:t>
      </w:r>
    </w:p>
    <w:p>
      <w:pPr>
        <w:spacing w:after="80" w:before="80"/>
      </w:pPr>
      <w:r>
        <w:t xml:space="preserve">Direct per-chunk comparison with the five prior batches is descriptive and not numerically aligned: ME has 13 features per chunk against the angle origins' 17 and MO's 14, so absolute support counts are not directly comparable. Support rates and qualitative behavior are comparable. ME lands intermediate between the angle origins' lower bound and MO's universal support, exactly as the structural-geometry framework predicts for a constrained moving body.</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700"/>
        <w:gridCol w:w="21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Property</w:t>
            </w:r>
          </w:p>
        </w:tc>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Angle origins (Asc/MC/VX/EA)</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MO origin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ME origin</w:t>
            </w:r>
          </w:p>
        </w:tc>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Direction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Panel-wide H1 support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73.1%–79.9%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75.2%</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below MO, near angle range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 VE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Mostly fail count floor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 supported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VE 17/18 supported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recovers most VE evaluations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 SU</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Mostly fail count floor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 supported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 9/18 supported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shows overdense + sparse modes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Sparse-outer support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Mixed: 63%–78% on a+p</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 all-anchor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18.5% on a+p; zero anchor</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lowest in Phase 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Lift envelope (supported)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1.34–2.20 with concentration spikes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1.32–1.65 uniform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1.33–1.95 across chunks</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between angle and MO</w:t>
            </w:r>
          </w:p>
        </w:tc>
      </w:tr>
    </w:tbl>
    <w:p>
      <w:r>
        <w:t xml:space="preserve"/>
      </w:r>
    </w:p>
    <w:p>
      <w:pPr>
        <w:spacing w:after="80" w:before="80"/>
      </w:pPr>
      <w:r>
        <w:t xml:space="preserve">The intermediate position of ME between the angle origins and MO is the central cross-origin observation. Where MO's monthly orbital cycling produces uniform 360° coverage that supports every body class universally, and where the angle origins' rotational geometry produces local detection efficiency that fails on coverage-mismatched body classes, ME occupies a middle position: its solar-elongation envelope still constrains separations to ME × SU and ME × VE within bounded arcs, while its seasonal absence from approximately 90° of the zodiac restricts joint coverage with outer planets clustered in that arc. The qualitative result is that ME recovers most of the angle origins' constrained-inner failures (because Mercury moves enough to sweep ME × inner-planet separations across most of 360° within the elongation envelope) while exhibiting the lowest sparse-outer support and persistence rates in Phase 1 (because Mercury's seasonal absence from approximately one-quarter of the zodiac compounds with outer planets' sub-cycle orbital coverage).</w:t>
      </w:r>
    </w:p>
    <w:p>
      <w:pPr>
        <w:spacing w:after="80" w:before="80"/>
      </w:pPr>
      <w:r>
        <w:t xml:space="preserve">The two ME failure populations are formally distinct in mechanism, not merely in body class. The elongation-bound mode is best characterized as a projection-sensitive occupancy distortion: events exist densely in the data, but their distribution across the 360° measurement domain depends on which coordinate frame projects the bounded arc, producing overdense compaction in some frames and sparse dispersion in others. The seasonal-zodiac-gap mode is best characterized as a time-domain occupancy deficit: the events themselves are non-uniformly distributed across the 25-year sample window, with substantial zodiacal regions and time intervals carrying few or no joint observations. The first mode is a property of coordinate-projection geometry; the second is a property of temporal-support geometry. This distinction generalizes beyond the present application and is the principal methodological contribution of the ME batch.</w:t>
      </w:r>
    </w:p>
    <w:p>
      <w:pPr>
        <w:pStyle w:val="Heading1"/>
        <w:spacing w:after="180" w:before="360"/>
      </w:pPr>
      <w:r>
        <w:t xml:space="preserve">§4. Detection Robustness: Coverage-Clean Classes</w:t>
      </w:r>
    </w:p>
    <w:p>
      <w:pPr>
        <w:spacing w:after="80" w:before="80"/>
      </w:pPr>
      <w:r>
        <w:t xml:space="preserve">Among the coverage-clean target body classes — Tier A (MA, VS, PA, JN, CE), Tier B (JU, NN), Tier C (SA) — ME achieves H1 support in every evaluation across all nine chunks: 90 / 90 Tier A, 36 / 36 Tier B, 18 / 18 Saturn. Phase B temporal persistence under the strictest 7-block scheme classifies all 144 of these evaluations as anchor or persistent (90/90 Tier A with 85 anchor / 5 persistent; 36/36 Tier B with 35 anchor / 1 persistent; 18/18 Saturn with 11 anchor / 7 persistent). This is the sixth independent demonstration of cross-construction detection invariance on coverage-clean bodies in Phase 1. Saturn's elevated persistent count under ME (7 of 18, against 0–2 in the prior batches) reflects the secondary effect of Mercury's seasonal absence on Saturn sampling: Saturn was in Cancer-Scorpio across 2003–2017 and Capricorn-Aquarius across 2017–2024, with portions of the latter falling within Mercury's seasonal absence zone; this produces additional temporal-partition variability without breaking the H1 floor.</w:t>
      </w:r>
    </w:p>
    <w:p>
      <w:pPr>
        <w:pStyle w:val="Heading1"/>
        <w:spacing w:after="180" w:before="360"/>
      </w:pPr>
      <w:r>
        <w:t xml:space="preserve">§5. Failure Population I — Elongation-Bound Targets</w:t>
      </w:r>
    </w:p>
    <w:p>
      <w:pPr>
        <w:spacing w:after="80" w:before="80"/>
      </w:pPr>
      <w:r>
        <w:t xml:space="preserve">ME × VE and ME × SU separations are bounded by Mercury's solar-elongation envelope: ME × SU separation cannot exceed ±28°, and ME × VE separation cannot exceed approximately ±76° (sum of Mercury's 28° and Venus's 48° maximum solar elongations). The 360° angular-separation measurement system therefore receives most of its event population concentrated in a narrow arc, with the remainder of the wheel populated only by retrograde conditions and lapping events.</w:t>
      </w:r>
    </w:p>
    <w:p>
      <w:pPr>
        <w:spacing w:after="80" w:before="80"/>
      </w:pPr>
      <w:r>
        <w:t xml:space="preserve">VE behavior is empirically robust: ME × VE clears H1 in 17 of 18 evaluations across the nine chunks, with the single failure occurring under ME-3 G-AZ same-coord at peak count 1 (sparse-collapse mode). Phase B 7-block persistence on VE: 12 anchor / 5 persistent / 1 fragile = 17/18 = 94.4%. Counts at supported peaks range from 69 to 1402, with the highest counts in same-coord ecliptic / equatorial chunks reflecting the high-density bounded arc near conjunction.</w:t>
      </w:r>
    </w:p>
    <w:p>
      <w:pPr>
        <w:spacing w:after="80" w:before="80"/>
      </w:pPr>
      <w:r>
        <w:t xml:space="preserve">SU behavior is empirically split between two failure modes that are themselves geometrically distinct. In ecliptic and equatorial frames (ME-1 G-LON, ME-2 G-RA, ME-4 G-LON × G-RA, ME-5 G-RA × G-LON), ME × SU peaks accumulate counts of 488–4344 — values an order of magnitude above the engine's count floor — but lift values dip toward the baseline due to the bounded-arc saturation effect, with ME × SU Low under ME-2 producing peak count 4344 and lift 1.107, failing the lift floor at 1.15. In G-AZ-involving frames (ME-3, ME-6, ME-7, ME-8, ME-9), the bounded arc disperses across the 360° azimuth range at hourly intervals as Earth rotates, producing the inverse signature: peak counts collapse to 1–7 events and lift values climb to 5.6–10.6, failing the count floor at 30. The same body and the same elongation envelope therefore produces two opposite numerical signatures depending on coordinate projection — overdense saturation in the frames where the bounded arc remains compact, sparse-collapse in the frames where the bounded arc disperses through rotational sampling. Total ME × SU support: 9 / 18 evaluations clear, 7-block persistence 9 anchor / 6 persistent / 3 fragile = 15/18 = 83.3%.</w:t>
      </w:r>
    </w:p>
    <w:p>
      <w:pPr>
        <w:pStyle w:val="Heading1"/>
        <w:spacing w:after="180" w:before="360"/>
      </w:pPr>
      <w:r>
        <w:t xml:space="preserve">§6. Failure Population II — Sparse-Outer Targets</w:t>
      </w:r>
    </w:p>
    <w:p>
      <w:pPr>
        <w:spacing w:after="80" w:before="80"/>
      </w:pPr>
      <w:r>
        <w:t xml:space="preserve">Mercury's seasonal absence from the December–February sky window (approximately 90° of zodiacal longitude) interacts with the slow-moving outer planets' clustered positions across the 25-year MLB sample window. Pluto traversed Capricorn from 2008 through 2024 — sixteen of twenty-five sample years inside Mercury's seasonal absence zone. Neptune was in Aquarius and early Pisces through most of the sample window, partially overlapping the absence zone. Uranus traversed Pisces through Taurus, mostly outside the absence zone. The result is a graded sparse-outer failure pattern: Pluto worst, Neptune intermediate, Uranus least affected. Across all nine ME chunks, sparse-outer evaluations achieve H1 support in 8 of 54 evaluations (UR Low and PL Low in some chunks; UR High in concentration-favorable cross-coord constructions).</w:t>
      </w:r>
    </w:p>
    <w:p>
      <w:pPr>
        <w:spacing w:after="80" w:before="80"/>
      </w:pPr>
      <w:r>
        <w:t xml:space="preserve">Phase B persistence on sparse-outer targets is the most distinctive single result in the ME batch. Under the strictest 7-block scheme, the 54 ME sparse-outer evaluations classify as 0 anchor / 10 persistent / 44 fragile, yielding anchor+persistent of 10/54 = 18.5%. This is the lowest sparse-outer 7-block rate observed in Phase 1 by a substantial margin (Asc 63.0%, MC 77.8%, VX 75.0%, EA 70.4%, MO 100.0%) and is the only origin batch with zero sparse-outer anchor classifications. The temporal mechanism is distinct from the angle batches' sparse-outer instability in a structurally important way: the angle origins' sparse-outer failures were primarily projection-localized — concentrated under target-G-AZ chunks (Statement EA-8) and substantially absent from non-G-AZ chunks of the same panel — while ME's sparse-outer failures are construction-global, persisting across all nine constructions regardless of frame. The contrast is itself a methodological result: the engine discriminates between projection instability (frame-dependent, recovering under non-G-AZ projections) and actual temporal-support deficiency (frame-invariant, persisting across projections), with both modes correctly classified by the count, lift, and persistence floors.</w:t>
      </w:r>
    </w:p>
    <w:p>
      <w:pPr>
        <w:pStyle w:val="Heading1"/>
        <w:spacing w:after="180" w:before="360"/>
      </w:pPr>
      <w:r>
        <w:t xml:space="preserve">§7. Coordinate-Frame Modulation of the Two Failure Modes</w:t>
      </w:r>
    </w:p>
    <w:p>
      <w:pPr>
        <w:spacing w:after="80" w:before="80"/>
      </w:pPr>
      <w:r>
        <w:t xml:space="preserve">The two ME failure modes respond differently to coordinate-frame transformations. The elongation-bound mode on ME × SU switches between overdense and sparse signatures across frames in a structured way: ecliptic and equatorial frames preserve the bounded arc as a compact peak; azimuthal frames disperse it. ME × VE remains supported across most frames because the broader ±76° envelope contains enough internal density variation to maintain sub-floor lift contrast even under projection. The sparse-outer mode does not respond to frame transformation at all: outer-planet support remains in the 1–2 of 6 range across every chunk regardless of frame, because the underlying coverage gap is in the temporal sampling rather than the angular-projection geometry.</w:t>
      </w:r>
    </w:p>
    <w:p>
      <w:pPr>
        <w:spacing w:after="80" w:before="80"/>
      </w:pPr>
      <w:r>
        <w:t xml:space="preserve">This dual response to frame transformation is the structural signature that distinguishes ME from every prior origin batch. The angle origins exhibited frame-dependent collapse on sparse-outer targets primarily under target-G-AZ; MO exhibited frame-invariant universal support; ME exhibits frame-modulated saturation/dispersion on the elongation-bound mode and frame-invariant collapse on the sparse-outer mode. The framework's prediction that failure modes are properties of coverage interaction rather than properties of the underlying signal (Statement MO-7) is reinforced: where coverage interaction varies with frame, failure mode varies with frame; where coverage interaction is fixed by orbital geometry across all frames, failure mode is fixed across all frames.</w:t>
      </w:r>
    </w:p>
    <w:p>
      <w:pPr>
        <w:pStyle w:val="Heading1"/>
        <w:spacing w:after="180" w:before="360"/>
      </w:pPr>
      <w:r>
        <w:t xml:space="preserve">§8. Temporal Persistence Summary</w:t>
      </w:r>
    </w:p>
    <w:p>
      <w:pPr>
        <w:spacing w:after="80" w:before="80"/>
      </w:pPr>
      <w:r>
        <w:t xml:space="preserve">Phase B classification counts under each temporal scheme, panel-wide across 234 ME evaluations: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700"/>
        <w:gridCol w:w="2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Scheme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2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 + Persistent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157</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39</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195 / 234 (83.3%)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157</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45</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189 / 234 (80.8%)</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48</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186 / 234 (79.5%)</w:t>
            </w:r>
          </w:p>
        </w:tc>
      </w:tr>
    </w:tbl>
    <w:p>
      <w:r>
        <w:t xml:space="preserve"/>
      </w:r>
    </w:p>
    <w:p>
      <w:pPr>
        <w:spacing w:after="80" w:before="80"/>
      </w:pPr>
      <w:r>
        <w:t xml:space="preserve">Body-class breakdown under the strictest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Body class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A (MA, VS, PA, JN, 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90/90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B (JU,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36/36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C (SA)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18/18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Elongation-bound (VE, SU)</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32/36 (88.9%)</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 outer (UR, NE, PL)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10/54 (18.5%)</w:t>
            </w:r>
          </w:p>
        </w:tc>
      </w:tr>
    </w:tbl>
    <w:p>
      <w:r>
        <w:t xml:space="preserve"/>
      </w:r>
    </w:p>
    <w:p>
      <w:pPr>
        <w:spacing w:after="80" w:before="80"/>
      </w:pPr>
      <w:r>
        <w:t xml:space="preserve">Cross-batch comparison of panel-wide 7-block anchor+persistent rates (all six origins, complete Phase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700"/>
        <w:gridCol w:w="24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Origin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Evaluations</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Panel-wide a+p</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Sparse-outer a+p</w:t>
            </w:r>
          </w:p>
        </w:tc>
        <w:tc>
          <w:tcPr>
            <w:tcW w:type="dxa" w:w="2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Notes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235/294 (79.9%)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34/54 (63.0%)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concentration-mixed; tri-modal</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180/204 (88.2%)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28/36 (77.8%)</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global-only; graduated persistence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176/204 (86.3%)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27/36 (75.0%)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global-only; binary stabilize-or-collapse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245/294 (83.3%)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38/54 (70.4%)</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concentration-mixed; balanced hybrid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252/252 (100.0%)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54/54 (100.0%)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uniform anchor across all body classes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186/234 (79.5%)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10/54 (18.5%)</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lowest sparse-outer; zero anchor on outer</w:t>
            </w:r>
          </w:p>
        </w:tc>
      </w:tr>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Phase 1 total</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1,482</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c>
          <w:tcPr>
            <w:tcW w:type="dxa" w:w="2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matches pre-registered adjusted scope</w:t>
            </w:r>
          </w:p>
        </w:tc>
      </w:tr>
    </w:tbl>
    <w:p>
      <w:r>
        <w:t xml:space="preserve"/>
      </w:r>
    </w:p>
    <w:p>
      <w:pPr>
        <w:spacing w:after="80" w:before="80"/>
      </w:pPr>
      <w:r>
        <w:t xml:space="preserve">The within-ME failure-mode split under the 7-block scheme is the most diagnostic finding in the ME batch. Coverage-clean classes (Tier A, B, C) anchor or persist universally at 144 of 144. The elongation-bound classes (VE, SU) anchor or persist at 32 of 36, with the four fragile classifications all on SU under coordinate frames where the bounded arc disperses. The sparse-outer classes anchor at 0 of 54, persist at 10 of 54, and classify as fragile at 44 of 54. ME therefore exhibits the largest within-batch split between coverage-clean and coverage-mismatched body classes observed in Phase 1: 100% versus 18.5% under the strictest temporal scheme.</w:t>
      </w:r>
    </w:p>
    <w:p>
      <w:pPr>
        <w:pStyle w:val="Heading1"/>
        <w:spacing w:after="180" w:before="360"/>
      </w:pPr>
      <w:r>
        <w:t xml:space="preserve">§9. Locked Statements</w:t>
      </w:r>
    </w:p>
    <w:p>
      <w:pPr>
        <w:spacing w:after="80" w:before="80"/>
      </w:pPr>
      <w:r>
        <w:t xml:space="preserve">These statements are proposed as the ME-batch equivalents of the locked Statements in the prior five Batch Summaries. They are intended for cross-review with ChatG before lock; once locked, they become controlled vocabulary for the ME-origin panel.</w:t>
      </w:r>
    </w:p>
    <w:p>
      <w:pPr>
        <w:pStyle w:val="Heading2"/>
        <w:spacing w:after="120" w:before="240"/>
      </w:pPr>
      <w:r>
        <w:t xml:space="preserve">Statement ME-1 — Confirmatory H1 support, panel-wide rate</w:t>
      </w:r>
    </w:p>
    <w:p>
      <w:pPr>
        <w:spacing w:after="80" w:before="80"/>
      </w:pPr>
      <w:r>
        <w:t xml:space="preserve">The Mercury (ME) origin panel comprises nine pre-registered constructions and 234 target-body evaluations under the locked Phase A pipeline (schema 2.0.2). Of these, 176 satisfy the pre-registered H1 support criterion (lock_succeeded = True; peak_smoothed_lift &gt; 1.15; peak_smoothed_count ≥ 30), yielding a panel-wide support rate of 75.2%, well above the 50% pre-registered threshold. ME closes Phase 1 at the full pre-registered adjusted scope of 1,482 evaluations across all six origin batches.</w:t>
      </w:r>
    </w:p>
    <w:p>
      <w:pPr>
        <w:pStyle w:val="Heading2"/>
        <w:spacing w:after="120" w:before="240"/>
      </w:pPr>
      <w:r>
        <w:t xml:space="preserve">Statement ME-2 — Detection robustness on coverage-clean classes</w:t>
      </w:r>
    </w:p>
    <w:p>
      <w:pPr>
        <w:spacing w:after="80" w:before="80"/>
      </w:pPr>
      <w:r>
        <w:t xml:space="preserve">Among the coverage-clean target body classes, ME achieves H1 support in 144 of 144 evaluations (100%) across all nine chunks: Tier A 90/90, Tier B 36/36, Tier C 18/18. Phase B temporal persistence under 7-block classifies all 144 of these as anchor or persistent. This is the sixth independent demonstration of cross-construction detection invariance on coverage-clean bodies in Phase 1, completing the cross-origin pattern across all six pre-registered origins.</w:t>
      </w:r>
    </w:p>
    <w:p>
      <w:pPr>
        <w:pStyle w:val="Heading2"/>
        <w:spacing w:after="120" w:before="240"/>
      </w:pPr>
      <w:r>
        <w:t xml:space="preserve">Statement ME-3 — Two distinct failure modes within a single origin batch</w:t>
      </w:r>
    </w:p>
    <w:p>
      <w:pPr>
        <w:spacing w:after="80" w:before="80"/>
      </w:pPr>
      <w:r>
        <w:t xml:space="preserve">The ME batch produces two structurally distinct failure populations within a single origin: an elongation-bound failure mode operating on ME × VE and ME × SU evaluations through Mercury's solar-elongation envelope, and a seasonal-zodiac-gap failure mode operating on ME × outer-planet evaluations through Mercury's seasonal absence from approximately 90° of the zodiac. The two modes are formally distinct in mechanism. The elongation-bound mode is a projection-sensitive occupancy distortion: events exist densely but redistribute across the 360° measurement domain under coordinate transformation. The seasonal-zodiac-gap mode is a time-domain occupancy deficit: events are themselves non-uniformly distributed across the 25-year sample window. The first is a property of coordinate-projection geometry; the second is a property of temporal-support geometry. ME is the first Phase 1 origin to exhibit dual coverage-mismatch geometries; the empirical results confirm both predicted modes.</w:t>
      </w:r>
    </w:p>
    <w:p>
      <w:pPr>
        <w:pStyle w:val="Heading2"/>
        <w:spacing w:after="120" w:before="240"/>
      </w:pPr>
      <w:r>
        <w:t xml:space="preserve">Statement ME-4 — Elongation-bound mode: frame-dependent saturation / dispersion switching</w:t>
      </w:r>
    </w:p>
    <w:p>
      <w:pPr>
        <w:spacing w:after="80" w:before="80"/>
      </w:pPr>
      <w:r>
        <w:t xml:space="preserve">ME × SU and ME × VE separations are confined to bounded arcs of the 360° angular-separation domain via Mercury's solar-elongation envelope. Under ecliptic and equatorial frames (ME-1, ME-2, ME-4, ME-5), ME × SU produces high-density compact peaks with overdense lift compression: peak count 4344, lift 1.107 in ME-2, failing the H1 lift floor at 1.15. Under azimuth-involving frames (ME-3, ME-6, ME-7, ME-8, ME-9), the same elongation arc disperses across the 360° azimuth domain via daily rotation, producing peak counts of 1–7 and lift values of 5.6–10.6, failing the H1 count floor. ME × VE retains support in 17 of 18 evaluations across all frames, with the broader ±76° envelope containing sufficient internal density variation to maintain sub-floor lift contrast under projection. The same body and the same envelope therefore produce two opposite numerical signatures under coordinate transformation, providing strong empirical evidence that overdense saturation and sparse-collapse are the symmetric boundary failure modes of the count-and-lift framework.</w:t>
      </w:r>
    </w:p>
    <w:p>
      <w:pPr>
        <w:pStyle w:val="Heading2"/>
        <w:spacing w:after="120" w:before="240"/>
      </w:pPr>
      <w:r>
        <w:t xml:space="preserve">Statement ME-5 — Seasonal-zodiac-gap mode: frame-invariant sparse-outer collapse</w:t>
      </w:r>
    </w:p>
    <w:p>
      <w:pPr>
        <w:spacing w:after="80" w:before="80"/>
      </w:pPr>
      <w:r>
        <w:t xml:space="preserve">ME × outer-planet evaluations achieve H1 support in 8 of 54 evaluations across the nine chunks, with peak counts predominantly in the 1–15 range and the engine's familiar 11.250244 / 10.553928 / 5.625122 numerical signatures appearing on count-1 and count-2 peaks. The graded failure pattern across UR / NE / PL is consistent with the framework prediction that Mercury's seasonal absence from approximately 90° of the zodiac compounds with each outer planet's clustered position across the 25-year sample window: Pluto (in Capricorn 2008–2024) suffers most, Uranus (in Pisces–Taurus, mostly outside the absence zone) suffers least, Neptune (partially overlapping the absence zone) intermediate. Phase B 7-block persistence on sparse-outer targets is 0 anchor / 10 persistent / 44 fragile = 10/54 = 18.5%, the lowest sparse-outer persistence rate in Phase 1 and the only origin batch with zero sparse-outer anchor classifications.</w:t>
      </w:r>
    </w:p>
    <w:p>
      <w:pPr>
        <w:pStyle w:val="Heading2"/>
        <w:spacing w:after="120" w:before="240"/>
      </w:pPr>
      <w:r>
        <w:t xml:space="preserve">Statement ME-6 — Frame-invariance contrast between the two failure modes</w:t>
      </w:r>
    </w:p>
    <w:p>
      <w:pPr>
        <w:spacing w:after="80" w:before="80"/>
      </w:pPr>
      <w:r>
        <w:t xml:space="preserve">The elongation-bound mode and the seasonal-zodiac-gap mode respond to coordinate-frame transformations in opposite ways. ME × SU support varies between 0 of 2 and 2 of 2 across chunks as the bounded arc projects compactly or disperses across each coordinate domain. ME × outer-planet support remains in the 1–2 of 6 range across every chunk regardless of frame. This dual response demonstrates that frame-dependent failure modes reflect coverage interaction with the projection geometry, while frame-invariant failure modes reflect coverage gaps in the underlying temporal sampling. The result is consistent with Statement MO-7 and extends it: failure mechanisms that are properties of coverage interaction with coordinate projections vary across frames; failure mechanisms that are properties of coverage gaps in the time domain do not.</w:t>
      </w:r>
    </w:p>
    <w:p>
      <w:pPr>
        <w:pStyle w:val="Heading2"/>
        <w:spacing w:after="120" w:before="240"/>
      </w:pPr>
      <w:r>
        <w:t xml:space="preserve">Statement ME-7 — Phase 1 closure and adjusted-scope confirmation</w:t>
      </w:r>
    </w:p>
    <w:p>
      <w:pPr>
        <w:spacing w:after="80" w:before="80"/>
      </w:pPr>
      <w:r>
        <w:t xml:space="preserve">With the ME batch complete, Phase 1 of the OMNI Geometry MLB study closes at the full pre-registered adjusted scope of 1,482 evaluations across six origin batches: Asc (294), MC (204), VX (204), EA (294), MO (252), ME (234). Panel-wide H1 support rates across the six origins are Asc 73.1%, MC 77.5%, VX 79.9%, EA 78.9%, MO 100.0%, ME 75.2%, with all six exceeding the 50% pre-registered threshold and the cross-origin range (24.8 percentage points) broadly consistent with the structural-geometry framework's predictions for each origin's coverage interaction with the 360° angular-separation measurement system. The MO and ME batches together provide complementary methodological validations: MO validates the positive case, demonstrating that uniform 360° occupancy across an origin's orbital cycle yields universal stability across all body classes and all frame projections; ME validates the negative case, demonstrating that distinct classes of occupancy defects produce distinct, predictable, classifiable instability signatures. The framework therefore both detects stable structures and differentiates classes of instability. Phase 1.5 spectral / harmonic analysis on the locked per-feature smoothed_360 data is reserved as a separate workstream.</w:t>
      </w:r>
    </w:p>
    <w:p>
      <w:pPr>
        <w:pStyle w:val="Heading1"/>
        <w:spacing w:after="180" w:before="360"/>
      </w:pPr>
      <w:r>
        <w:t xml:space="preserve">§10. Methodological Compliance and Forward Path</w:t>
      </w:r>
    </w:p>
    <w:p>
      <w:pPr>
        <w:spacing w:after="80" w:before="80"/>
      </w:pPr>
      <w:r>
        <w:t xml:space="preserve">All ME chunks were executed under the locked engine (schema 2.0.2) without modification. No threshold changes, no feature redefinitions, no engine edits were made during ME-batch execution. Filter M1 was not applicable to ME (Mercury has full 360° G-AZ coverage via daily rotation in the data). Filter M2 applies to MO and PoF rows recorded as attempted-but-unavailable (excluded from FEATURE_LIST per the faster-to-slower naming convention; MO × ME, MO × PFff, MO × PFdn aspects exist in the registry from prior batches). Filter M3 was not applicable (ME has no concentration-regime constructions). Registry growth across the nine ME chunks: 1248 → 1274 → 1300 → 1326 → 1352 → 1378 → 1404 → 1430 → 1456 → 1482, with ME-1 producing exact-26 growth and three feature collapses to dedupe (the MO/PFff/PFdn aspects already computed in prior batches), and ME-2 through ME-9 producing exact-26 growth on every chunk with zero dedupe collisions and zero locking failures.</w:t>
      </w:r>
    </w:p>
    <w:p>
      <w:pPr>
        <w:spacing w:after="80" w:before="80"/>
      </w:pPr>
      <w:r>
        <w:t xml:space="preserve">The ME batch is submitted for cross-review with ChatG. On lock, ME results close the six-batch Phase 1 sequence. Phase 1.5 (harmonic / spectral / wavelet analysis on the locked per-feature smoothed_360 data, deferred per Statements MO-5 and ME-7) will be the next workstream, conducted on the same locked Phase 1 outputs and against the same locked methodological framework.</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Batch Summary v1.1-final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(PI sign-off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 Batch Summary v1.1-final and MO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 Detection-vs-Localization)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VX, EA, MO Batch Summaries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 review complete; v1 → v1.1 sharpening incorporated and v1.1-final copyedits applied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 → v1.1 changes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 close adds projection-sensitive occupancy distortion vs time-domain occupancy deficit terminology; Statement ME-3 sharpened with the same formal distinction; Statement ME-4's symmetry sentence promoted to closing position; §6 / Statement ME-5 paragraph adds projection-localized vs construction-global contrast (engine discriminates between projection instability and temporal-support deficiency); Statement ME-7 softened to 'broadly consistent with' and adds the MO-positive / ME-negative methodological framing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Operational summary; not a substitute for locked artifacts</w:t>
            </w:r>
          </w:p>
        </w:tc>
      </w:tr>
    </w:tbl>
    <w:p>
      <w:r>
        <w:t xml:space="preserve"/>
      </w:r>
    </w:p>
    <w:p>
      <w:pPr>
        <w:spacing w:before="360"/>
        <w:jc w:val="center"/>
      </w:pPr>
      <w:r>
        <w:rPr>
          <w:i/>
          <w:iCs/>
        </w:rPr>
        <w:t xml:space="preserve">End of ME Batch Summary v1.1-final. — Phase 1 closes — — Phase 1 closes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 Batch Summary v1.1-final</dc:title>
  <dc:creator>OMNI Geometry MLB / Claude</dc:creator>
  <cp:lastModifiedBy>Un-named</cp:lastModifiedBy>
  <cp:revision>1</cp:revision>
  <dcterms:created xsi:type="dcterms:W3CDTF">2026-05-10T03:01:29.534Z</dcterms:created>
  <dcterms:modified xsi:type="dcterms:W3CDTF">2026-05-10T03:01:29.534Z</dcterms:modified>
</cp:coreProperties>
</file>

<file path=docProps/custom.xml><?xml version="1.0" encoding="utf-8"?>
<Properties xmlns="http://schemas.openxmlformats.org/officeDocument/2006/custom-properties" xmlns:vt="http://schemas.openxmlformats.org/officeDocument/2006/docPropsVTypes"/>
</file>