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22"/>
          <w:szCs w:val="22"/>
        </w:rPr>
        <w:t xml:space="preserve">OMNI Geometry MLB — Paper 2</w:t>
      </w:r>
    </w:p>
    <w:p>
      <w:pPr>
        <w:spacing w:after="40"/>
        <w:jc w:val="center"/>
      </w:pPr>
      <w:r>
        <w:rPr>
          <w:b/>
          <w:bCs/>
          <w:sz w:val="40"/>
          <w:szCs w:val="40"/>
        </w:rPr>
        <w:t xml:space="preserve">Phase 3D / Track A Research Record</w:t>
      </w:r>
    </w:p>
    <w:p>
      <w:pPr>
        <w:spacing w:after="200"/>
        <w:jc w:val="center"/>
      </w:pPr>
      <w:r>
        <w:rPr>
          <w:i/>
          <w:iCs/>
          <w:sz w:val="24"/>
          <w:szCs w:val="24"/>
        </w:rPr>
        <w:t xml:space="preserve">Construction, Audit, and Freeze of the Geo–Helio Same-Slate Horizontal Trigger Population</w:t>
      </w:r>
    </w:p>
    <w:p>
      <w:pPr>
        <w:spacing w:after="40"/>
        <w:jc w:val="center"/>
      </w:pPr>
      <w:r>
        <w:rPr>
          <w:sz w:val="20"/>
          <w:szCs w:val="20"/>
        </w:rPr>
        <w:t xml:space="preserve">Status: Frozen exploratory research record — prior to multi-lobe feature engineering. Holdout sealed.</w:t>
      </w:r>
    </w:p>
    <w:p>
      <w:pPr>
        <w:spacing w:after="240"/>
        <w:jc w:val="center"/>
      </w:pPr>
      <w:r>
        <w:rPr>
          <w:color w:val="555555"/>
          <w:sz w:val="18"/>
          <w:szCs w:val="18"/>
        </w:rPr>
        <w:t xml:space="preserve">Date: 2026-06-24   ·   Validation seed: 20260615   ·   Manifest: PHASE3D_TRACKA_FROZEN_MANIFEST_v1_0.csv</w:t>
      </w:r>
    </w:p>
    <w:p>
      <w:pPr>
        <w:pBdr>
          <w:bottom w:val="single" w:color="1F3A5F" w:sz="8"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How to read this document</w:t>
            </w:r>
          </w:p>
          <w:p>
            <w:pPr>
              <w:spacing w:after="140" w:line="276"/>
            </w:pPr>
            <w:r>
              <w:t xml:space="preserve">This record is written on two levels. Every numbered section opens with the technical account, then — where it helps — a </w:t>
            </w:r>
            <w:r>
              <w:rPr>
                <w:b/>
                <w:bCs/>
              </w:rPr>
              <w:t xml:space="preserve">“In plain terms”</w:t>
            </w:r>
            <w:r>
              <w:t xml:space="preserve"> note restates the same point without jargon. If you want the story end-to-end without the machinery, read the </w:t>
            </w:r>
            <w:r>
              <w:rPr>
                <w:b/>
                <w:bCs/>
              </w:rPr>
              <w:t xml:space="preserve">Plain-Language Summary</w:t>
            </w:r>
            <w:r>
              <w:t xml:space="preserve"> (§0) and the boxed “In plain terms” notes. If you are auditing or reproducing the work, the </w:t>
            </w:r>
            <w:r>
              <w:rPr>
                <w:b/>
                <w:bCs/>
              </w:rPr>
              <w:t xml:space="preserve">Methods</w:t>
            </w:r>
            <w:r>
              <w:t xml:space="preserve">, </w:t>
            </w:r>
            <w:r>
              <w:rPr>
                <w:b/>
                <w:bCs/>
              </w:rPr>
              <w:t xml:space="preserve">Threats to Validity</w:t>
            </w:r>
            <w:r>
              <w:t xml:space="preserve">, and </w:t>
            </w:r>
            <w:r>
              <w:rPr>
                <w:b/>
                <w:bCs/>
              </w:rPr>
              <w:t xml:space="preserve">Reproducibility Appendix</w:t>
            </w:r>
            <w:r>
              <w:t xml:space="preserve"> carry the exact parameters, decisions, and the things that are </w:t>
            </w:r>
            <w:r>
              <w:rPr>
                <w:i/>
                <w:iCs/>
              </w:rPr>
              <w:t xml:space="preserve">not</w:t>
            </w:r>
            <w:r>
              <w:t xml:space="preserve"> yet established.</w:t>
            </w:r>
          </w:p>
        </w:tc>
      </w:tr>
    </w:tbl>
    <w:p>
      <w:pPr>
        <w:spacing w:after="6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Plain-Language Summary</w:t>
      </w:r>
    </w:p>
    <w:p>
      <w:pPr>
        <w:spacing w:after="140" w:line="276"/>
      </w:pPr>
      <w:r>
        <w:rPr>
          <w:b/>
          <w:bCs/>
        </w:rPr>
        <w:t xml:space="preserve">What we were trying to do. </w:t>
      </w:r>
      <w:r>
        <w:t xml:space="preserve">Predict whether an MLB game lands in a HIGH-scoring environment (≥14 total runs) versus an ordinary AVERAGE one (7–8 runs), using only geometric features derived from the game’s start time and astronomical coordinates. No team, weather, or park inputs yet — just geometry.</w:t>
      </w:r>
    </w:p>
    <w:p>
      <w:pPr>
        <w:spacing w:after="140" w:line="276"/>
      </w:pPr>
      <w:r>
        <w:rPr>
          <w:b/>
          <w:bCs/>
        </w:rPr>
        <w:t xml:space="preserve">Where we were stuck. </w:t>
      </w:r>
      <w:r>
        <w:t xml:space="preserve">Earlier attempts threw thousands of raw “angle” features at a model and hoped it would find the signal. Two things happened. First, a result that looked good (~0.67 AUC) turned out to be an illusion caused by </w:t>
      </w:r>
      <w:r>
        <w:rPr>
          <w:i/>
          <w:iCs/>
        </w:rPr>
        <w:t xml:space="preserve">leakage</w:t>
      </w:r>
      <w:r>
        <w:t xml:space="preserve"> — the answer key had quietly leaked into the features. Once that was removed, the honest score fell to about </w:t>
      </w:r>
      <w:r>
        <w:rPr>
          <w:b/>
          <w:bCs/>
        </w:rPr>
        <w:t xml:space="preserve">0.560</w:t>
      </w:r>
      <w:r>
        <w:t xml:space="preserve">. Second, simpler honest models sat near 0.51–0.56. The lesson was not “the geometry is empty.” The lesson was “raw angle numbers are the wrong way to feed the geometry to a model.”</w:t>
      </w:r>
    </w:p>
    <w:p>
      <w:pPr>
        <w:spacing w:after="140" w:line="276"/>
      </w:pPr>
      <w:r>
        <w:rPr>
          <w:b/>
          <w:bCs/>
        </w:rPr>
        <w:t xml:space="preserve">What we did in this phase. </w:t>
      </w:r>
      <w:r>
        <w:t xml:space="preserve">Instead of asking a model to rediscover everything, we used the project’s accumulated evidence to </w:t>
      </w:r>
      <w:r>
        <w:rPr>
          <w:b/>
          <w:bCs/>
        </w:rPr>
        <w:t xml:space="preserve">build a clean population of features worth engineering</w:t>
      </w:r>
      <w:r>
        <w:t xml:space="preserve">, through three filters: (1) the feature’s measurement is trustworthy (coverage-clean), (2) the feature actually moves enough within a single day to tell two same-day games apart (“same-slate”), and (3) its scoring response has steep, structured peaks rather than a flat surface. That produced a tight, concentrated seed of 48 geocentric features — dominated by the fastest-moving angles (Ascendant, Eastpoint, Vertex, Midheaven) against the Moon, Mars, and the asteroids.</w:t>
      </w:r>
    </w:p>
    <w:p>
      <w:pPr>
        <w:spacing w:after="140" w:line="276"/>
      </w:pPr>
      <w:r>
        <w:rPr>
          <w:b/>
          <w:bCs/>
        </w:rPr>
        <w:t xml:space="preserve">The three surprises. </w:t>
      </w:r>
      <w:r>
        <w:t xml:space="preserve">This phase is really a story of three moments where the obvious reading was wrong:</w:t>
      </w:r>
    </w:p>
    <w:p>
      <w:pPr>
        <w:pStyle w:val="ListParagraph"/>
        <w:numPr>
          <w:ilvl w:val="0"/>
          <w:numId w:val="2"/>
        </w:numPr>
        <w:spacing w:after="60" w:line="268"/>
      </w:pPr>
      <w:r>
        <w:rPr>
          <w:b/>
          <w:bCs/>
        </w:rPr>
        <w:t xml:space="preserve">“0 out of 48 transferred” looked like total failure</w:t>
      </w:r>
      <w:r>
        <w:t xml:space="preserve"> — but it actually meant the features have </w:t>
      </w:r>
      <w:r>
        <w:rPr>
          <w:i/>
          <w:iCs/>
        </w:rPr>
        <w:t xml:space="preserve">multiple</w:t>
      </w:r>
      <w:r>
        <w:t xml:space="preserve"> peaks, and we had been looking for only one. The features were fine; the single-peak lens was too narrow.</w:t>
      </w:r>
    </w:p>
    <w:p>
      <w:pPr>
        <w:pStyle w:val="ListParagraph"/>
        <w:numPr>
          <w:ilvl w:val="0"/>
          <w:numId w:val="2"/>
        </w:numPr>
        <w:spacing w:after="60" w:line="268"/>
      </w:pPr>
      <w:r>
        <w:rPr>
          <w:b/>
          <w:bCs/>
        </w:rPr>
        <w:t xml:space="preserve">The heliocentric features looked absent</w:t>
      </w:r>
      <w:r>
        <w:t xml:space="preserve"> — but they had simply never been audited (the earlier audit was geocentric-only). Once audited on equal footing, 40 of them qualified and behaved just like the geocentric ones.</w:t>
      </w:r>
    </w:p>
    <w:p>
      <w:pPr>
        <w:pStyle w:val="ListParagraph"/>
        <w:numPr>
          <w:ilvl w:val="0"/>
          <w:numId w:val="2"/>
        </w:numPr>
        <w:spacing w:after="60" w:line="268"/>
      </w:pPr>
      <w:r>
        <w:rPr>
          <w:b/>
          <w:bCs/>
        </w:rPr>
        <w:t xml:space="preserve">The heliocentric features looked weak (“scatter”)</w:t>
      </w:r>
      <w:r>
        <w:t xml:space="preserve"> — but that was an artifact of using a wider smoothing setting. At matched settings, they matched the geocentric features on lift, support, and structure.</w:t>
      </w:r>
    </w:p>
    <w:p>
      <w:pPr>
        <w:spacing w:after="140" w:line="276"/>
      </w:pPr>
      <w:r>
        <w:rPr>
          <w:b/>
          <w:bCs/>
        </w:rPr>
        <w:t xml:space="preserve">What we ended with. </w:t>
      </w:r>
      <w:r>
        <w:t xml:space="preserve">A frozen, fully-documented population of </w:t>
      </w:r>
      <w:r>
        <w:rPr>
          <w:b/>
          <w:bCs/>
        </w:rPr>
        <w:t xml:space="preserve">88 trigger-candidate features (48 geocentric + 40 heliocentric)</w:t>
      </w:r>
      <w:r>
        <w:t xml:space="preserve">, on identical footing, with every decision flagged and nothing silently deleted. This is the launch pad for the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The one thing to keep front of mind</w:t>
            </w:r>
          </w:p>
          <w:p>
            <w:pPr>
              <w:spacing w:after="140" w:line="276"/>
            </w:pPr>
            <w:r>
              <w:rPr>
                <w:b/>
                <w:bCs/>
              </w:rPr>
              <w:t xml:space="preserve">We have not yet beaten 0.560. </w:t>
            </w:r>
            <w:r>
              <w:t xml:space="preserve">This phase built and characterized a population; it did </w:t>
            </w:r>
            <w:r>
              <w:rPr>
                <w:i/>
                <w:iCs/>
              </w:rPr>
              <w:t xml:space="preserve">not</w:t>
            </w:r>
            <w:r>
              <w:t xml:space="preserve"> demonstrate a better prediction. The honest baseline still stands unbeaten. Everything here earns its value only if the next step — multi-peak feature engineering on these 88 — produces a leakage-free score above 0.560. Treat the 88 as a </w:t>
            </w:r>
            <w:r>
              <w:rPr>
                <w:b/>
                <w:bCs/>
              </w:rPr>
              <w:t xml:space="preserve">floor, not a verdict</w:t>
            </w:r>
            <w:r>
              <w:t xml:space="preserve">: hundreds of features were never audited and could still belong.</w:t>
            </w:r>
          </w:p>
        </w:tc>
      </w:tr>
    </w:tbl>
    <w:p>
      <w:r>
        <w:br w:type="page"/>
      </w:r>
    </w:p>
    <w:p>
      <w:pPr>
        <w:pStyle w:val="Heading1"/>
      </w:pPr>
      <w:r>
        <w:t xml:space="preserve">1. Background and the Three Modeling Failures</w:t>
      </w:r>
    </w:p>
    <w:p>
      <w:pPr>
        <w:spacing w:after="140" w:line="276"/>
      </w:pPr>
      <w:r>
        <w:t xml:space="preserve">The Paper 2 modeling effort began by treating the full horizontal aspect universe as a flat design matrix and asking general-purpose learners to find the signal. Three distinct failure modes emerged, and each is diagnostic rather than merely disappointing.</w:t>
      </w:r>
    </w:p>
    <w:p>
      <w:pPr>
        <w:pStyle w:val="Heading2"/>
      </w:pPr>
      <w:r>
        <w:t xml:space="preserve">1.1 Failure one: leakage inflation (the ~0.67 mirage)</w:t>
      </w:r>
    </w:p>
    <w:p>
      <w:pPr>
        <w:spacing w:after="140" w:line="276"/>
      </w:pPr>
      <w:r>
        <w:t xml:space="preserve">Top-K sweeps over a target-encoded design matrix produced AUC ≈ 0.67, peaking near K=1500. A noise-floor analysis exposed the problem: under the deterministic GroupKFold partition the encoded matrix had been built on, AUC sat roughly </w:t>
      </w:r>
      <w:r>
        <w:rPr>
          <w:b/>
          <w:bCs/>
        </w:rPr>
        <w:t xml:space="preserve">ten standard deviations</w:t>
      </w:r>
      <w:r>
        <w:t xml:space="preserve"> above the mean of 20 re-shuffled date-grouped partitions. A single random fold draw cannot land 10 SD out; that gap is a fingerprint of label information baked into the features. The honest, fold-clean estimate is the quantity that survives breaking the encoding–evaluation alignment.</w:t>
      </w:r>
    </w:p>
    <w:p>
      <w:pPr>
        <w:spacing w:after="140" w:line="276"/>
      </w:pPr>
      <w:r>
        <w:rPr>
          <w:b/>
          <w:bCs/>
        </w:rPr>
        <w:t xml:space="preserve">The leakage ladder. </w:t>
      </w:r>
      <w:r>
        <w:t xml:space="preserve">The same K=1300 feature set yields three different numbers depending on how much leakage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Estimate</w:t>
            </w:r>
          </w:p>
        </w:tc>
        <w:tc>
          <w:tcPr>
            <w:tcW w:type="dxa" w:w="1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AUC</w:t>
            </w:r>
          </w:p>
        </w:tc>
        <w:tc>
          <w:tcPr>
            <w:tcW w:type="dxa" w:w="51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What it includes</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Canonical (encoding-aligned)</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~0.671</w:t>
            </w:r>
          </w:p>
        </w:tc>
        <w:tc>
          <w:tcPr>
            <w:tcW w:type="dxa" w:w="5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Encoding folds = evaluation folds: full leakage + alignment bonus</w:t>
            </w:r>
          </w:p>
        </w:tc>
      </w:tr>
      <w:tr>
        <w:tc>
          <w:tcPr>
            <w:tcW w:type="dxa" w:w="3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Resampled (alignment broken)</w:t>
            </w:r>
          </w:p>
        </w:tc>
        <w:tc>
          <w:tcPr>
            <w:tcW w:type="dxa" w:w="1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~0.653</w:t>
            </w:r>
          </w:p>
        </w:tc>
        <w:tc>
          <w:tcPr>
            <w:tcW w:type="dxa" w:w="51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Evaluation folds reshuffled, but embedded label stats remain</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Nested fold-clean (honest)</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0.560</w:t>
            </w:r>
          </w:p>
        </w:tc>
        <w:tc>
          <w:tcPr>
            <w:tcW w:type="dxa" w:w="5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Encoding rebuilt inside each fold; per-fold AUC 0.544–0.572</w:t>
            </w:r>
          </w:p>
        </w:tc>
      </w:tr>
    </w:tbl>
    <w:p>
      <w:pPr>
        <w:spacing w:after="140" w:line="276"/>
      </w:pPr>
      <w:r>
        <w:rPr>
          <w:i/>
          <w:iCs/>
        </w:rPr>
        <w:t xml:space="preserve">In plain terms: the headline 0.67 was inflated by about 0.11 AUC of leakage. 0.560 is the real number. Every earlier “good” result was the same illusion measured at a different stage.</w:t>
      </w:r>
    </w:p>
    <w:p>
      <w:pPr>
        <w:pStyle w:val="Heading2"/>
      </w:pPr>
      <w:r>
        <w:t xml:space="preserve">1.2 Failure two: weak honest structural models (~0.51–0.56)</w:t>
      </w:r>
    </w:p>
    <w:p>
      <w:pPr>
        <w:spacing w:after="140" w:line="276"/>
      </w:pPr>
      <w:r>
        <w:t xml:space="preserve">Raw-degree models, harmonic and resonance expansions, circular-window encodings, and fast-origin-only ensembles all returned roughly 0.51–0.56 once computed honestly. These were not random failures — they were the predictable consequence of the representation, as the next subsection explains.</w:t>
      </w:r>
    </w:p>
    <w:p>
      <w:pPr>
        <w:pStyle w:val="Heading2"/>
      </w:pPr>
      <w:r>
        <w:t xml:space="preserve">1.3 Failure three (correctly anticipated): waveform models re-tested a known null</w:t>
      </w:r>
    </w:p>
    <w:p>
      <w:pPr>
        <w:spacing w:after="140" w:line="276"/>
      </w:pPr>
      <w:r>
        <w:t xml:space="preserve">Paper 1 established </w:t>
      </w:r>
      <w:r>
        <w:rPr>
          <w:b/>
          <w:bCs/>
        </w:rPr>
        <w:t xml:space="preserve">localized</w:t>
      </w:r>
      <w:r>
        <w:t xml:space="preserve"> geometric detectability: statistically supported response structure in specific, feature-specific degree neighborhoods. Phase 1.5 pre-registered ten waveform-level persistence features (spectral entropy, low-frequency concentration, phase-locking, temporal-block persistence) and </w:t>
      </w:r>
      <w:r>
        <w:rPr>
          <w:b/>
          <w:bCs/>
        </w:rPr>
        <w:t xml:space="preserve">none</w:t>
      </w:r>
      <w:r>
        <w:t xml:space="preserve"> cleared FDR q≤0.01 — a documented null on global waveform structure. The harmonic/resonance/circular-window models were therefore re-testing a hypothesis Paper 1 had already weakened. Their ~0.51 results are consistent with that null, not new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In plain terms</w:t>
            </w:r>
          </w:p>
          <w:p>
            <w:pPr>
              <w:spacing w:after="140" w:line="276"/>
            </w:pPr>
            <w:r>
              <w:t xml:space="preserve">The signal is a set of </w:t>
            </w:r>
            <w:r>
              <w:rPr>
                <w:b/>
                <w:bCs/>
              </w:rPr>
              <w:t xml:space="preserve">local hotspots</w:t>
            </w:r>
            <w:r>
              <w:t xml:space="preserve">, not a smooth global wave. Models that assumed a wave were always going to fail, and Paper 1 told us so in advance. So the fix was never “a better model” — it was “stop feeding raw angles and start encoding the hotspots we already mapped.”</w:t>
            </w:r>
          </w:p>
        </w:tc>
      </w:tr>
    </w:tbl>
    <w:p>
      <w:pPr>
        <w:pStyle w:val="Heading1"/>
      </w:pPr>
      <w:r>
        <w:t xml:space="preserve">2. The Conceptual Shift and Three-Track Architecture</w:t>
      </w:r>
    </w:p>
    <w:p>
      <w:pPr>
        <w:spacing w:after="140" w:line="276"/>
      </w:pPr>
      <w:r>
        <w:t xml:space="preserve">The governing correction was to stop asking a model to rediscover response surfaces from raw degrees, and instead transform accumulated Paper 1, FSA, Step 2c, and registry evidence into an engineered representation. The question changed from </w:t>
      </w:r>
      <w:r>
        <w:rPr>
          <w:i/>
          <w:iCs/>
        </w:rPr>
        <w:t xml:space="preserve">“which of 2,428 raw columns can a model fit?”</w:t>
      </w:r>
      <w:r>
        <w:t xml:space="preserve"> to </w:t>
      </w:r>
      <w:r>
        <w:rPr>
          <w:i/>
          <w:iCs/>
        </w:rPr>
        <w:t xml:space="preserve">“which features are structurally eligible to serve as same-slate scoring triggers?”</w:t>
      </w:r>
    </w:p>
    <w:p>
      <w:pPr>
        <w:spacing w:after="140" w:line="276"/>
      </w:pPr>
      <w:r>
        <w:rPr>
          <w:b/>
          <w:bCs/>
        </w:rPr>
        <w:t xml:space="preserve">A second correction</w:t>
      </w:r>
      <w:r>
        <w:t xml:space="preserve"> prevented the original mistake from recurring: features were split into three tracks by predictive mechanism, never collapsed into one flat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Track</w:t>
            </w:r>
          </w:p>
        </w:tc>
        <w:tc>
          <w:tcPr>
            <w:tcW w:type="dxa" w:w="3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Contains</w:t>
            </w:r>
          </w:p>
        </w:tc>
        <w:tc>
          <w:tcPr>
            <w:tcW w:type="dxa" w:w="2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Judged by</w:t>
            </w:r>
          </w:p>
        </w:tc>
        <w:tc>
          <w:tcPr>
            <w:tcW w:type="dxa" w:w="2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Purpose</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 — Same-slate triggers</w:t>
            </w:r>
          </w:p>
        </w:tc>
        <w:tc>
          <w:tcPr>
            <w:tcW w:type="dxa" w:w="3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Fast angle-origin features (geo + helio target) with within-day spread</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Same-slate movement + modal structure</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Game-to-game discrimination; the subject of this record</w:t>
            </w:r>
          </w:p>
        </w:tc>
      </w:tr>
      <w:tr>
        <w:tc>
          <w:tcPr>
            <w:tcW w:type="dxa" w:w="17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B — Slow-context / state</w:t>
            </w:r>
          </w:p>
        </w:tc>
        <w:tc>
          <w:tcPr>
            <w:tcW w:type="dxa" w:w="32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Outer planets, H-Jupiter/H-Saturn, helio-origin, H-Mercury boundary</w:t>
            </w:r>
          </w:p>
        </w:tc>
        <w:tc>
          <w:tcPr>
            <w:tcW w:type="dxa" w:w="2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NOT same-slate criteria</w:t>
            </w:r>
          </w:p>
        </w:tc>
        <w:tc>
          <w:tcPr>
            <w:tcW w:type="dxa" w:w="2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Day / season / era / run-environment state</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 — Deferred targets</w:t>
            </w:r>
          </w:p>
        </w:tc>
        <w:tc>
          <w:tcPr>
            <w:tcW w:type="dxa" w:w="3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LOW/AVG, HIGH/LOW, BHW/GHL, 3-class</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Applied AFTER A and B freeze</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Generalization tests, not construction</w:t>
            </w:r>
          </w:p>
        </w:tc>
      </w:tr>
    </w:tbl>
    <w:p>
      <w:pPr>
        <w:spacing w:after="140" w:line="276"/>
      </w:pPr>
      <w:r>
        <w:rPr>
          <w:i/>
          <w:iCs/>
        </w:rPr>
        <w:t xml:space="preserve">In plain terms: same-slate triggers, slow background state, and alternate scoring questions are three different machines. The old mistake was wiring them into one. We will not repeat it.</w:t>
      </w:r>
    </w:p>
    <w:p>
      <w:pPr>
        <w:pStyle w:val="Heading1"/>
      </w:pPr>
      <w:r>
        <w:t xml:space="preserve">3. Data Basis and Methods</w:t>
      </w:r>
    </w:p>
    <w:p>
      <w:pPr>
        <w:pStyle w:val="Heading2"/>
      </w:pPr>
      <w:r>
        <w:t xml:space="preserve">3.1 Target and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Quantity</w:t>
            </w:r>
          </w:p>
        </w:tc>
        <w:tc>
          <w:tcPr>
            <w:tcW w:type="dxa" w:w="5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Value</w:t>
            </w:r>
          </w:p>
        </w:tc>
      </w:tr>
      <w:tr>
        <w:tc>
          <w:tcPr>
            <w:tcW w:type="dxa" w:w="4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Target (HIGH)</w:t>
            </w:r>
          </w:p>
        </w:tc>
        <w:tc>
          <w:tcPr>
            <w:tcW w:type="dxa" w:w="5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Total runs ≥ 14</w:t>
            </w:r>
          </w:p>
        </w:tc>
      </w:tr>
      <w:tr>
        <w:tc>
          <w:tcPr>
            <w:tcW w:type="dxa" w:w="4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Target (AVG)</w:t>
            </w:r>
          </w:p>
        </w:tc>
        <w:tc>
          <w:tcPr>
            <w:tcW w:type="dxa" w:w="5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Total runs ∈ {7, 8}</w:t>
            </w:r>
          </w:p>
        </w:tc>
      </w:tr>
      <w:tr>
        <w:tc>
          <w:tcPr>
            <w:tcW w:type="dxa" w:w="4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Scope</w:t>
            </w:r>
          </w:p>
        </w:tc>
        <w:tc>
          <w:tcPr>
            <w:tcW w:type="dxa" w:w="5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Regular season, exploratory partition only</w:t>
            </w:r>
          </w:p>
        </w:tc>
      </w:tr>
      <w:tr>
        <w:tc>
          <w:tcPr>
            <w:tcW w:type="dxa" w:w="4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HIGH / AVG counts</w:t>
            </w:r>
          </w:p>
        </w:tc>
        <w:tc>
          <w:tcPr>
            <w:tcW w:type="dxa" w:w="5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7,285 / 8,431</w:t>
            </w:r>
          </w:p>
        </w:tc>
      </w:tr>
      <w:tr>
        <w:tc>
          <w:tcPr>
            <w:tcW w:type="dxa" w:w="4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Total target rows</w:t>
            </w:r>
          </w:p>
        </w:tc>
        <w:tc>
          <w:tcPr>
            <w:tcW w:type="dxa" w:w="5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15,716</w:t>
            </w:r>
          </w:p>
        </w:tc>
      </w:tr>
      <w:tr>
        <w:tc>
          <w:tcPr>
            <w:tcW w:type="dxa" w:w="4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Game dates (target subset)</w:t>
            </w:r>
          </w:p>
        </w:tc>
        <w:tc>
          <w:tcPr>
            <w:tcW w:type="dxa" w:w="5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3,336</w:t>
            </w:r>
          </w:p>
        </w:tc>
      </w:tr>
      <w:tr>
        <w:tc>
          <w:tcPr>
            <w:tcW w:type="dxa" w:w="4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Raw design matrix X_deg</w:t>
            </w:r>
          </w:p>
        </w:tc>
        <w:tc>
          <w:tcPr>
            <w:tcW w:type="dxa" w:w="5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15,716 × 2,428 (strict faster→slower)</w:t>
            </w:r>
          </w:p>
        </w:tc>
      </w:tr>
      <w:tr>
        <w:tc>
          <w:tcPr>
            <w:tcW w:type="dxa" w:w="4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Holdout</w:t>
            </w:r>
          </w:p>
        </w:tc>
        <w:tc>
          <w:tcPr>
            <w:tcW w:type="dxa" w:w="5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952 dates, sealed and untouched</w:t>
            </w:r>
          </w:p>
        </w:tc>
      </w:tr>
    </w:tbl>
    <w:p>
      <w:pPr>
        <w:pStyle w:val="Heading2"/>
      </w:pPr>
      <w:r>
        <w:t xml:space="preserve">3.2 Fixed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Parameter</w:t>
            </w:r>
          </w:p>
        </w:tc>
        <w:tc>
          <w:tcPr>
            <w:tcW w:type="dxa" w:w="3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Value</w:t>
            </w:r>
          </w:p>
        </w:tc>
        <w:tc>
          <w:tcPr>
            <w:tcW w:type="dxa" w:w="3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Role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Validation seed</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20260615</w:t>
            </w:r>
          </w:p>
        </w:tc>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GroupKFold determinism</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Cross-validation</w:t>
            </w:r>
          </w:p>
        </w:tc>
        <w:tc>
          <w:tcPr>
            <w:tcW w:type="dxa" w:w="3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Date-grouped GroupKFold, 5 folds</w:t>
            </w:r>
          </w:p>
        </w:tc>
        <w:tc>
          <w:tcPr>
            <w:tcW w:type="dxa" w:w="3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Temporal-leakage control</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Support floor</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30 games per peak window</w:t>
            </w:r>
          </w:p>
        </w:tc>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Locked peak_count criterion</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Lobe lift floor</w:t>
            </w:r>
          </w:p>
        </w:tc>
        <w:tc>
          <w:tcPr>
            <w:tcW w:type="dxa" w:w="3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1.08</w:t>
            </w:r>
          </w:p>
        </w:tc>
        <w:tc>
          <w:tcPr>
            <w:tcW w:type="dxa" w:w="3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Minimum lift for a “prominent” lobe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Resolution (geo)</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FSA recommended_resolution_deg (5–6°)</w:t>
            </w:r>
          </w:p>
        </w:tc>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Per-feature smoothing radius</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Resolution (helio)</w:t>
            </w:r>
          </w:p>
        </w:tc>
        <w:tc>
          <w:tcPr>
            <w:tcW w:type="dxa" w:w="3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argmin circ-SD over {5°,6°}; tie→5°</w:t>
            </w:r>
          </w:p>
        </w:tc>
        <w:tc>
          <w:tcPr>
            <w:tcW w:type="dxa" w:w="3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Per-feature smoothing radius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Tie tolerance</w:t>
            </w:r>
          </w:p>
        </w:tc>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3.0°</w:t>
            </w:r>
          </w:p>
        </w:tc>
        <w:tc>
          <w:tcPr>
            <w:tcW w:type="dxa" w:w="3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Resolution-selection near-tie rule</w:t>
            </w:r>
          </w:p>
        </w:tc>
      </w:tr>
    </w:tbl>
    <w:p>
      <w:pPr>
        <w:pStyle w:val="Heading2"/>
      </w:pPr>
      <w:r>
        <w:t xml:space="preserve">3.3 Guardrails (each proven, not theoretical)</w:t>
      </w:r>
    </w:p>
    <w:p>
      <w:pPr>
        <w:pStyle w:val="ListParagraph"/>
        <w:numPr>
          <w:ilvl w:val="0"/>
          <w:numId w:val="3"/>
        </w:numPr>
        <w:spacing w:after="60" w:line="268"/>
      </w:pPr>
      <w:r>
        <w:t xml:space="preserve">Label-derived encodings may never be computed on full data and then evaluated by cross-validation; any outcome-derived surface used for modeling is recomputed fold-clean.</w:t>
      </w:r>
    </w:p>
    <w:p>
      <w:pPr>
        <w:pStyle w:val="ListParagraph"/>
        <w:numPr>
          <w:ilvl w:val="0"/>
          <w:numId w:val="3"/>
        </w:numPr>
        <w:spacing w:after="60" w:line="268"/>
      </w:pPr>
      <w:r>
        <w:t xml:space="preserve">Descriptor evidence is not a predictive claim.</w:t>
      </w:r>
    </w:p>
    <w:p>
      <w:pPr>
        <w:pStyle w:val="ListParagraph"/>
        <w:numPr>
          <w:ilvl w:val="0"/>
          <w:numId w:val="3"/>
        </w:numPr>
        <w:spacing w:after="60" w:line="268"/>
      </w:pPr>
      <w:r>
        <w:t xml:space="preserve">Date-grouped validation is mandatory; no random splits.</w:t>
      </w:r>
    </w:p>
    <w:p>
      <w:pPr>
        <w:pStyle w:val="ListParagraph"/>
        <w:numPr>
          <w:ilvl w:val="0"/>
          <w:numId w:val="3"/>
        </w:numPr>
        <w:spacing w:after="60" w:line="268"/>
      </w:pPr>
      <w:r>
        <w:t xml:space="preserve">The holdout remains sealed until a production model is frozen.</w:t>
      </w:r>
    </w:p>
    <w:p>
      <w:pPr>
        <w:pStyle w:val="ListParagraph"/>
        <w:numPr>
          <w:ilvl w:val="0"/>
          <w:numId w:val="3"/>
        </w:numPr>
        <w:spacing w:after="60" w:line="268"/>
      </w:pPr>
      <w:r>
        <w:t xml:space="preserve">No BHW/GHL (margin-track) evidence enters HS/AVG selection; it is paused at chance (~0.49 OOF).</w:t>
      </w:r>
    </w:p>
    <w:p>
      <w:pPr>
        <w:pStyle w:val="ListParagraph"/>
        <w:numPr>
          <w:ilvl w:val="0"/>
          <w:numId w:val="3"/>
        </w:numPr>
        <w:spacing w:after="60" w:line="268"/>
      </w:pPr>
      <w:r>
        <w:t xml:space="preserve">No feature is silently discarded; exclusions and deferrals are flagged (retain-and-flag).</w:t>
      </w:r>
    </w:p>
    <w:p>
      <w:pPr>
        <w:pStyle w:val="ListParagraph"/>
        <w:numPr>
          <w:ilvl w:val="0"/>
          <w:numId w:val="3"/>
        </w:numPr>
        <w:spacing w:after="60" w:line="268"/>
      </w:pPr>
      <w:r>
        <w:t xml:space="preserve">Coverage validity and characterization depth are independent axes; well-analyzed ≠ model-valid.</w:t>
      </w:r>
    </w:p>
    <w:p>
      <w:pPr>
        <w:pStyle w:val="ListParagraph"/>
        <w:numPr>
          <w:ilvl w:val="0"/>
          <w:numId w:val="3"/>
        </w:numPr>
        <w:spacing w:after="60" w:line="268"/>
      </w:pPr>
      <w:r>
        <w:t xml:space="preserve">Same-slate triggers and slow-context features are different mechanisms and are never merged.</w:t>
      </w:r>
    </w:p>
    <w:p>
      <w:pPr>
        <w:pStyle w:val="Heading1"/>
      </w:pPr>
      <w:r>
        <w:t xml:space="preserve">4. Geocentric Seed Construction</w:t>
      </w:r>
    </w:p>
    <w:p>
      <w:pPr>
        <w:spacing w:after="140" w:line="276"/>
      </w:pPr>
      <w:r>
        <w:t xml:space="preserve">Universe B (423 coverage-clean candidates) was partitioned by the three-filter intersection. The reduction is steep and is the central population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Filter (cumulative)</w:t>
            </w:r>
          </w:p>
        </w:tc>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Surviving features</w:t>
            </w:r>
          </w:p>
        </w:tc>
      </w:tr>
      <w:t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Coverage-clean (Universe B)</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423</w:t>
            </w:r>
          </w:p>
        </w:tc>
      </w:tr>
      <w:tr>
        <w:tc>
          <w:tcPr>
            <w:tcW w:type="dxa" w:w="6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same-slate discriminator (FSA)</w:t>
            </w:r>
          </w:p>
        </w:tc>
        <w:tc>
          <w:tcPr>
            <w:tcW w:type="dxa" w:w="3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74</w:t>
            </w:r>
          </w:p>
        </w:tc>
      </w:tr>
      <w:t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 locally steep (Step 2c lift &gt; 1.15)</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48</w:t>
            </w:r>
          </w:p>
        </w:tc>
      </w:tr>
    </w:tbl>
    <w:p>
      <w:pPr>
        <w:spacing w:after="140" w:line="276"/>
      </w:pPr>
      <w:r>
        <w:rPr>
          <w:b/>
          <w:bCs/>
        </w:rPr>
        <w:t xml:space="preserve">The 48 are not “the 48 best predictive features.”</w:t>
      </w:r>
      <w:r>
        <w:t xml:space="preserve"> They are the 48 </w:t>
      </w:r>
      <w:r>
        <w:rPr>
          <w:i/>
          <w:iCs/>
        </w:rPr>
        <w:t xml:space="preserve">audited</w:t>
      </w:r>
      <w:r>
        <w:t xml:space="preserve"> features that are coverage-clean, same-slate, and steep under the prior HS16 lineage. Concentration confirms Paper 1: origins Asc 16 / EA 16 / VX 9 / MC 7; target bodies Moon, Mars, Vesta, Pallas, Ceres, Juno; frames balanced across same-frame G-AZ→G-AZ (17), G-LON→G-LON (17), G-RA→G-RA (10), with only 4 cross-frame.</w:t>
      </w:r>
    </w:p>
    <w:p>
      <w:pPr>
        <w:pStyle w:val="Heading2"/>
      </w:pPr>
      <w:r>
        <w:t xml:space="preserve">4.1 The full population map (where the other 375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5660"/>
      </w:tblGrid>
      <w:tr>
        <w:trPr>
          <w:tblHeader/>
        </w:trPr>
        <w:tc>
          <w:tcPr>
            <w:tcW w:type="dxa" w:w="2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Bucket</w:t>
            </w:r>
          </w:p>
        </w:tc>
        <w:tc>
          <w:tcPr>
            <w:tcW w:type="dxa" w:w="8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n</w:t>
            </w:r>
          </w:p>
        </w:tc>
        <w:tc>
          <w:tcPr>
            <w:tcW w:type="dxa" w:w="56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Meaning</w:t>
            </w:r>
          </w:p>
        </w:tc>
      </w:tr>
      <w:tr>
        <w:tc>
          <w:tcPr>
            <w:tcW w:type="dxa" w:w="2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 — same-slate + steep</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48</w:t>
            </w:r>
          </w:p>
        </w:tc>
        <w:tc>
          <w:tcPr>
            <w:tcW w:type="dxa" w:w="5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The seed</w:t>
            </w:r>
          </w:p>
        </w:tc>
      </w:tr>
      <w:tr>
        <w:tc>
          <w:tcPr>
            <w:tcW w:type="dxa" w:w="2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B — same-slate, not steep</w:t>
            </w:r>
          </w:p>
        </w:tc>
        <w:tc>
          <w:tcPr>
            <w:tcW w:type="dxa" w:w="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26</w:t>
            </w:r>
          </w:p>
        </w:tc>
        <w:tc>
          <w:tcPr>
            <w:tcW w:type="dxa" w:w="56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Moves enough; lift surface too flat</w:t>
            </w:r>
          </w:p>
        </w:tc>
      </w:tr>
      <w:tr>
        <w:tc>
          <w:tcPr>
            <w:tcW w:type="dxa" w:w="2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 — marginal</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28</w:t>
            </w:r>
          </w:p>
        </w:tc>
        <w:tc>
          <w:tcPr>
            <w:tcW w:type="dxa" w:w="5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Partial same-slate movement</w:t>
            </w:r>
          </w:p>
        </w:tc>
      </w:tr>
      <w:tr>
        <w:tc>
          <w:tcPr>
            <w:tcW w:type="dxa" w:w="2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 — slow-contextual</w:t>
            </w:r>
          </w:p>
        </w:tc>
        <w:tc>
          <w:tcPr>
            <w:tcW w:type="dxa" w:w="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10</w:t>
            </w:r>
          </w:p>
        </w:tc>
        <w:tc>
          <w:tcPr>
            <w:tcW w:type="dxa" w:w="56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Between-day only (all Moon-origin)</w:t>
            </w:r>
          </w:p>
        </w:tc>
      </w:tr>
      <w:tr>
        <w:tc>
          <w:tcPr>
            <w:tcW w:type="dxa" w:w="2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E — not audited (no FSA)</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311</w:t>
            </w:r>
          </w:p>
        </w:tc>
        <w:tc>
          <w:tcPr>
            <w:tcW w:type="dxa" w:w="56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Never operationally classified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A load-bearing caveat: the 48 is a floor</w:t>
            </w:r>
          </w:p>
          <w:p>
            <w:pPr>
              <w:spacing w:after="140" w:line="276"/>
            </w:pPr>
            <w:r>
              <w:t xml:space="preserve">Bucket E (311) is the </w:t>
            </w:r>
            <w:r>
              <w:rPr>
                <w:b/>
                <w:bCs/>
              </w:rPr>
              <w:t xml:space="preserve">largest</w:t>
            </w:r>
            <w:r>
              <w:t xml:space="preserve"> bucket and is </w:t>
            </w:r>
            <w:r>
              <w:rPr>
                <w:i/>
                <w:iCs/>
              </w:rPr>
              <w:t xml:space="preserve">not</w:t>
            </w:r>
            <w:r>
              <w:t xml:space="preserve"> a reject pile — it is missing measurement. The FSA audited only 112 of 423 features, and bucket E is dominated by the same elite coverage-clean bodies as the 48 (190/311 are angle-origin). The true same-slate population is therefore almost certainly larger than 74, and the 48 is a </w:t>
            </w:r>
            <w:r>
              <w:rPr>
                <w:b/>
                <w:bCs/>
              </w:rPr>
              <w:t xml:space="preserve">lower bound set by what was audited</w:t>
            </w:r>
            <w:r>
              <w:t xml:space="preserve">, not by what qualifies.</w:t>
            </w:r>
          </w:p>
        </w:tc>
      </w:tr>
    </w:tbl>
    <w:p>
      <w:pPr>
        <w:pStyle w:val="Heading1"/>
      </w:pPr>
      <w:r>
        <w:t xml:space="preserve">5. Target-Threshold Seam and Fold-Clean Recompute</w:t>
      </w:r>
    </w:p>
    <w:p>
      <w:pPr>
        <w:spacing w:after="140" w:line="276"/>
      </w:pPr>
      <w:r>
        <w:t xml:space="preserve">The 48 carry HS16/LS3-lineage peaks; the live target is HIGH≥14/AVG 7–8. Rather than discard or blindly transfer the Paper 1 peaks, they were treated as </w:t>
      </w:r>
      <w:r>
        <w:rPr>
          <w:b/>
          <w:bCs/>
        </w:rPr>
        <w:t xml:space="preserve">priors</w:t>
      </w:r>
      <w:r>
        <w:t xml:space="preserve"> and the HIGH14 peak structure recomputed fold-clean. The single-peak recompute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Diagnostic</w:t>
            </w:r>
          </w:p>
        </w:tc>
        <w:tc>
          <w:tcPr>
            <w:tcW w:type="dxa" w:w="1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Result</w:t>
            </w:r>
          </w:p>
        </w:tc>
        <w:tc>
          <w:tcPr>
            <w:tcW w:type="dxa" w:w="3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Reading</w:t>
            </w:r>
          </w:p>
        </w:tc>
      </w:tr>
      <w:tr>
        <w:tc>
          <w:tcPr>
            <w:tcW w:type="dxa" w:w="4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Support OK in all 5 folds</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48/48</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Surfaces are well-populated</w:t>
            </w:r>
          </w:p>
        </w:tc>
      </w:tr>
      <w:tr>
        <w:tc>
          <w:tcPr>
            <w:tcW w:type="dxa" w:w="4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Peak stable across folds (circ-SD ≤10°)</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6/48</w:t>
            </w:r>
          </w:p>
        </w:tc>
        <w:tc>
          <w:tcPr>
            <w:tcW w:type="dxa" w:w="3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Most single-argmax peaks wander</w:t>
            </w:r>
          </w:p>
        </w:tc>
      </w:tr>
      <w:tr>
        <w:tc>
          <w:tcPr>
            <w:tcW w:type="dxa" w:w="4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Prior holds (shift ≤15° from HS16)</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4/48</w:t>
            </w:r>
          </w:p>
        </w:tc>
        <w:tc>
          <w:tcPr>
            <w:tcW w:type="dxa" w:w="3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HS16 peaks largely did NOT transfer</w:t>
            </w:r>
          </w:p>
        </w:tc>
      </w:tr>
      <w:tr>
        <w:tc>
          <w:tcPr>
            <w:tcW w:type="dxa" w:w="4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Clean transfer (all three)</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0/48</w:t>
            </w:r>
          </w:p>
        </w:tc>
        <w:tc>
          <w:tcPr>
            <w:tcW w:type="dxa" w:w="3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Single-peak prior transfer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Why 0/48 is not failure</w:t>
            </w:r>
          </w:p>
          <w:p>
            <w:pPr>
              <w:spacing w:after="140" w:line="276"/>
            </w:pPr>
            <w:r>
              <w:t xml:space="preserve">“Clean transfer” required the ≥14 peak to land near the </w:t>
            </w:r>
            <w:r>
              <w:rPr>
                <w:i/>
                <w:iCs/>
              </w:rPr>
              <w:t xml:space="preserve">≥16</w:t>
            </w:r>
            <w:r>
              <w:t xml:space="preserve"> prior — but we recompute precisely because we expect the prior to move. Prior-agreement was a diagnostic, never a quality bar. A stable ≥14 peak far from its ≥16 prior is </w:t>
            </w:r>
            <w:r>
              <w:rPr>
                <w:b/>
                <w:bCs/>
              </w:rPr>
              <w:t xml:space="preserve">usable</w:t>
            </w:r>
            <w:r>
              <w:t xml:space="preserve"> (on its recomputed peak); the prior simply didn’t carry. The real question — does the ≥14 surface have exploitable structure — is answered next.</w:t>
            </w:r>
          </w:p>
        </w:tc>
      </w:tr>
    </w:tbl>
    <w:p>
      <w:pPr>
        <w:pStyle w:val="Heading1"/>
      </w:pPr>
      <w:r>
        <w:t xml:space="preserve">6. Modality Diagnostic: the Multi-Lobe Discovery</w:t>
      </w:r>
    </w:p>
    <w:p>
      <w:pPr>
        <w:spacing w:after="140" w:line="276"/>
      </w:pPr>
      <w:r>
        <w:t xml:space="preserve">Because single-argmax peaks wandered, each surface was classified by modal structure (full-exploratory lobe-finding; cross-fold stability fold-clean). For the geocentric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Modality class</w:t>
            </w:r>
          </w:p>
        </w:tc>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Count</w:t>
            </w:r>
          </w:p>
        </w:tc>
      </w:tr>
      <w:t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multimodal</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37</w:t>
            </w:r>
          </w:p>
        </w:tc>
      </w:tr>
      <w:tr>
        <w:tc>
          <w:tcPr>
            <w:tcW w:type="dxa" w:w="6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unimodal_stable</w:t>
            </w:r>
          </w:p>
        </w:tc>
        <w:tc>
          <w:tcPr>
            <w:tcW w:type="dxa" w:w="3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6</w:t>
            </w:r>
          </w:p>
        </w:tc>
      </w:tr>
      <w:tr>
        <w:tc>
          <w:tcPr>
            <w:tcW w:type="dxa" w:w="6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bimodal</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w:t>
            </w:r>
          </w:p>
        </w:tc>
      </w:tr>
      <w:tr>
        <w:tc>
          <w:tcPr>
            <w:tcW w:type="dxa" w:w="6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scatter_or_flat</w:t>
            </w:r>
          </w:p>
        </w:tc>
        <w:tc>
          <w:tcPr>
            <w:tcW w:type="dxa" w:w="3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 (VX x PA G-LON)</w:t>
            </w:r>
          </w:p>
        </w:tc>
      </w:tr>
    </w:tbl>
    <w:p>
      <w:pPr>
        <w:spacing w:after="140" w:line="276"/>
      </w:pPr>
      <w:r>
        <w:rPr>
          <w:b/>
          <w:bCs/>
        </w:rPr>
        <w:t xml:space="preserve">47 of 48 features show usable modal structure.</w:t>
      </w:r>
      <w:r>
        <w:t xml:space="preserve"> The 0/48 single-peak result is now explained: the features did not fail — the </w:t>
      </w:r>
      <w:r>
        <w:rPr>
          <w:b/>
          <w:bCs/>
        </w:rPr>
        <w:t xml:space="preserve">single-peak representation</w:t>
      </w:r>
      <w:r>
        <w:t xml:space="preserve"> failed. Features with two or three near-equal lobes have an argmax that flips between lobes across folds, inflating apparent instability while the underlying surface is stable. The mandated representation is </w:t>
      </w:r>
      <w:r>
        <w:rPr>
          <w:b/>
          <w:bCs/>
        </w:rPr>
        <w:t xml:space="preserve">multi-lobe</w:t>
      </w:r>
      <w:r>
        <w:t xml:space="preserve"> (distance-to-nearest-active-lobe, activation counts, lobe pressure), not single-peak distance.</w:t>
      </w:r>
    </w:p>
    <w:p>
      <w:pPr>
        <w:pStyle w:val="Heading1"/>
      </w:pPr>
      <w:r>
        <w:t xml:space="preserve">7. The Heliocentric Audit Gap</w:t>
      </w:r>
    </w:p>
    <w:p>
      <w:pPr>
        <w:spacing w:after="140" w:line="276"/>
      </w:pPr>
      <w:r>
        <w:t xml:space="preserve">A provenance check asked whether heliocentric (H-LON) features were in the analysis. The trace was unambiguous:</w:t>
      </w:r>
    </w:p>
    <w:p>
      <w:pPr>
        <w:pStyle w:val="ListParagraph"/>
        <w:numPr>
          <w:ilvl w:val="0"/>
          <w:numId w:val="3"/>
        </w:numPr>
        <w:spacing w:after="60" w:line="268"/>
      </w:pPr>
      <w:r>
        <w:rPr>
          <w:b/>
          <w:bCs/>
        </w:rPr>
        <w:t xml:space="preserve">Present in the raw universe: </w:t>
      </w:r>
      <w:r>
        <w:t xml:space="preserve">H-LON-target features are in X_deg; 81 are coverage-clean in Universe B (54 angle-origin).</w:t>
      </w:r>
    </w:p>
    <w:p>
      <w:pPr>
        <w:pStyle w:val="ListParagraph"/>
        <w:numPr>
          <w:ilvl w:val="0"/>
          <w:numId w:val="3"/>
        </w:numPr>
        <w:spacing w:after="60" w:line="268"/>
      </w:pPr>
      <w:r>
        <w:rPr>
          <w:b/>
          <w:bCs/>
        </w:rPr>
        <w:t xml:space="preserve">Absent from the 48: </w:t>
      </w:r>
      <w:r>
        <w:t xml:space="preserve">zero H-LON features, origin or target.</w:t>
      </w:r>
    </w:p>
    <w:p>
      <w:pPr>
        <w:pStyle w:val="ListParagraph"/>
        <w:numPr>
          <w:ilvl w:val="0"/>
          <w:numId w:val="3"/>
        </w:numPr>
        <w:spacing w:after="60" w:line="268"/>
      </w:pPr>
      <w:r>
        <w:rPr>
          <w:b/>
          <w:bCs/>
        </w:rPr>
        <w:t xml:space="preserve">Why: </w:t>
      </w:r>
      <w:r>
        <w:t xml:space="preserve">the FSA operational-scale registry is 100% geocentric — 0 of 241 features touch H-LON. Since “same-slate-discriminator” is an FSA label, no helio feature could carry it. They all fell into bucket E (not-audited) and were ineligible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In plain terms</w:t>
            </w:r>
          </w:p>
          <w:p>
            <w:pPr>
              <w:spacing w:after="140" w:line="276"/>
            </w:pPr>
            <w:r>
              <w:t xml:space="preserve">The heliocentric features were never tested and rejected — they were </w:t>
            </w:r>
            <w:r>
              <w:rPr>
                <w:b/>
                <w:bCs/>
              </w:rPr>
              <w:t xml:space="preserve">filtered out one stage upstream, by an audit that only ever looked at geocentric features</w:t>
            </w:r>
            <w:r>
              <w:t xml:space="preserve">. “We excluded heliocentric geometry because our audit happened to be geocentric” is not a defensible sentence in a methods section. So we closed the gap (Option 2).</w:t>
            </w:r>
          </w:p>
        </w:tc>
      </w:tr>
    </w:tbl>
    <w:p>
      <w:pPr>
        <w:pStyle w:val="Heading1"/>
      </w:pPr>
      <w:r>
        <w:t xml:space="preserve">8. Helio Same-Slate Reconstruction and Audit</w:t>
      </w:r>
    </w:p>
    <w:p>
      <w:pPr>
        <w:spacing w:after="140" w:line="276"/>
      </w:pPr>
      <w:r>
        <w:t xml:space="preserve">Because the FSA never computed same-slate metrics for H-LON features, the near-concurrent separation metric was reconstructed from the per-event degree series. Critically, the reconstruction was </w:t>
      </w:r>
      <w:r>
        <w:rPr>
          <w:b/>
          <w:bCs/>
        </w:rPr>
        <w:t xml:space="preserve">validated against the known answer first</w:t>
      </w:r>
      <w:r>
        <w:t xml:space="preserve">: applied to the geocentric 48, it recovered </w:t>
      </w:r>
      <w:r>
        <w:rPr>
          <w:b/>
          <w:bCs/>
        </w:rPr>
        <w:t xml:space="preserve">48/48 (100%)</w:t>
      </w:r>
      <w:r>
        <w:t xml:space="preserve"> as same-slate. Only a metric that reproduces the known-same-slate set was then applied to helio.</w:t>
      </w:r>
    </w:p>
    <w:p>
      <w:pPr>
        <w:spacing w:after="140" w:line="276"/>
      </w:pPr>
      <w:r>
        <w:rPr>
          <w:b/>
          <w:bCs/>
        </w:rPr>
        <w:t xml:space="preserve">Audit outcome</w:t>
      </w:r>
      <w:r>
        <w:t xml:space="preserve"> over the angle-origin × H-LON-target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4260"/>
      </w:tblGrid>
      <w:tr>
        <w:trPr>
          <w:tblHeader/>
        </w:trPr>
        <w:tc>
          <w:tcPr>
            <w:tcW w:type="dxa" w:w="4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Set</w:t>
            </w:r>
          </w:p>
        </w:tc>
        <w:tc>
          <w:tcPr>
            <w:tcW w:type="dxa" w:w="8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n</w:t>
            </w:r>
          </w:p>
        </w:tc>
        <w:tc>
          <w:tcPr>
            <w:tcW w:type="dxa" w:w="4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Disposition</w:t>
            </w:r>
          </w:p>
        </w:tc>
      </w:tr>
      <w:tr>
        <w:tc>
          <w:tcPr>
            <w:tcW w:type="dxa" w:w="4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Angle-origin × H-LON-target total</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54</w:t>
            </w:r>
          </w:p>
        </w:tc>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
            </w:r>
          </w:p>
        </w:tc>
      </w:tr>
      <w:tr>
        <w:tc>
          <w:tcPr>
            <w:tcW w:type="dxa" w:w="4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H-Jupiter / H-Saturn limited-distribution</w:t>
            </w:r>
          </w:p>
        </w:tc>
        <w:tc>
          <w:tcPr>
            <w:tcW w:type="dxa" w:w="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4</w:t>
            </w:r>
          </w:p>
        </w:tc>
        <w:tc>
          <w:tcPr>
            <w:tcW w:type="dxa" w:w="42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Track B</w:t>
            </w:r>
          </w:p>
        </w:tc>
      </w:tr>
      <w:tr>
        <w:tc>
          <w:tcPr>
            <w:tcW w:type="dxa" w:w="4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Audited for Track A</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50</w:t>
            </w:r>
          </w:p>
        </w:tc>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
            </w:r>
          </w:p>
        </w:tc>
      </w:tr>
      <w:tr>
        <w:tc>
          <w:tcPr>
            <w:tcW w:type="dxa" w:w="4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same-slate-discriminator</w:t>
            </w:r>
          </w:p>
        </w:tc>
        <w:tc>
          <w:tcPr>
            <w:tcW w:type="dxa" w:w="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40</w:t>
            </w:r>
          </w:p>
        </w:tc>
        <w:tc>
          <w:tcPr>
            <w:tcW w:type="dxa" w:w="42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Track A (admitted)</w:t>
            </w:r>
          </w:p>
        </w:tc>
      </w:tr>
      <w:tr>
        <w:tc>
          <w:tcPr>
            <w:tcW w:type="dxa" w:w="43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  marginal (all G-AZ × H-LON)</w:t>
            </w:r>
          </w:p>
        </w:tc>
        <w:tc>
          <w:tcPr>
            <w:tcW w:type="dxa" w:w="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10</w:t>
            </w:r>
          </w:p>
        </w:tc>
        <w:tc>
          <w:tcPr>
            <w:tcW w:type="dxa" w:w="42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 annex (preserved, not admitted)</w:t>
            </w:r>
          </w:p>
        </w:tc>
      </w:tr>
      <w:tr>
        <w:tc>
          <w:tcPr>
            <w:tcW w:type="dxa" w:w="4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slow-contextual</w:t>
            </w:r>
          </w:p>
        </w:tc>
        <w:tc>
          <w:tcPr>
            <w:tcW w:type="dxa" w:w="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w:t>
            </w:r>
          </w:p>
        </w:tc>
        <w:tc>
          <w:tcPr>
            <w:tcW w:type="dxa" w:w="42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
            </w:r>
          </w:p>
        </w:tc>
      </w:tr>
    </w:tbl>
    <w:p>
      <w:pPr>
        <w:spacing w:after="140" w:line="276"/>
      </w:pPr>
      <w:r>
        <w:t xml:space="preserve">Median same-slate separation for the 40 helio admits was 9.48° vs 10.70° for the geo-48 — comparable operational spread. The 10 marginals were all G-AZ×H-LON with a strikingly clean structure (within-slate spread only ~0.38× for Asc, ~0.22× for EA of the geocentric sibling), reflecting a frame interaction between horizon-locked azimuth origins and heliocentric-longitude targets. They failed the same-slate gate and were preserved in a tagged annex, not discarded.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8"/>
              <w:bottom w:val="single" w:color="1F3A5F" w:sz="4"/>
              <w:right w:val="single" w:color="BBBBBB" w:sz="1"/>
            </w:tcBorders>
            <w:shd w:fill="F2F6FA" w:val="clear"/>
            <w:tcMar>
              <w:top w:type="dxa" w:w="120"/>
              <w:left w:type="dxa" w:w="200"/>
              <w:bottom w:type="dxa" w:w="120"/>
              <w:right w:type="dxa" w:w="160"/>
            </w:tcMar>
          </w:tcPr>
          <w:p>
            <w:pPr>
              <w:spacing w:after="60"/>
            </w:pPr>
            <w:r>
              <w:rPr>
                <w:b/>
                <w:bCs/>
                <w:color w:val="1F3A5F"/>
              </w:rPr>
              <w:t xml:space="preserve">Honest labeling of the helio same-slate mechanism</w:t>
            </w:r>
          </w:p>
          <w:p>
            <w:pPr>
              <w:spacing w:after="140" w:line="276"/>
            </w:pPr>
            <w:r>
              <w:t xml:space="preserve">The decomposition diagnostic confirmed the 40 helio admits are </w:t>
            </w:r>
            <w:r>
              <w:rPr>
                <w:b/>
                <w:bCs/>
              </w:rPr>
              <w:t xml:space="preserve">angle-carried</w:t>
            </w:r>
            <w:r>
              <w:t xml:space="preserve">: the within-slate spread comes from the fast geocentric angle origin, not from heliocentric motion. This is </w:t>
            </w:r>
            <w:r>
              <w:rPr>
                <w:i/>
                <w:iCs/>
              </w:rPr>
              <w:t xml:space="preserve">not</w:t>
            </w:r>
            <w:r>
              <w:t xml:space="preserve"> a defect — it is identical to how the geocentric survivors work (angle supplies spread, body supplies the lift surface). But the features are correctly labeled “angle-carried, helio-target-located,” not “helio-driven.” See §11 for what this does and does not establish.</w:t>
            </w:r>
          </w:p>
        </w:tc>
      </w:tr>
    </w:tbl>
    <w:p>
      <w:pPr>
        <w:pStyle w:val="Heading1"/>
      </w:pPr>
      <w:r>
        <w:t xml:space="preserve">9. The Resolution Confound and Matched-Resolution Result</w:t>
      </w:r>
    </w:p>
    <w:p>
      <w:pPr>
        <w:spacing w:after="140" w:line="276"/>
      </w:pPr>
      <w:r>
        <w:t xml:space="preserve">An initial combined pass ran geo at its FSA resolution (5–6°) but helio at its derived near45_sep_median (~9.5°+). This produced an apparently weak helio result (19 scatter; median gradient 0.0119 vs geo 0.0235). The comparison was confounded: wider smoothing mechanically flattens gradient and merges lobes. Re-running helio at the geo-matched 5° and 6° was decisive.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20"/>
        <w:gridCol w:w="900"/>
        <w:gridCol w:w="900"/>
        <w:gridCol w:w="900"/>
        <w:gridCol w:w="980"/>
        <w:gridCol w:w="1020"/>
        <w:gridCol w:w="1040"/>
        <w:gridCol w:w="1000"/>
      </w:tblGrid>
      <w:tr>
        <w:trPr>
          <w:tblHeader/>
        </w:trPr>
        <w:tc>
          <w:tcPr>
            <w:tcW w:type="dxa" w:w="1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Set (resolution)</w:t>
            </w:r>
          </w:p>
        </w:tc>
        <w:tc>
          <w:tcPr>
            <w:tcW w:type="dxa" w:w="102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multimodal</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bimodal</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unimodal</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scatter</w:t>
            </w:r>
          </w:p>
        </w:tc>
        <w:tc>
          <w:tcPr>
            <w:tcW w:type="dxa" w:w="9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lift</w:t>
            </w:r>
          </w:p>
        </w:tc>
        <w:tc>
          <w:tcPr>
            <w:tcW w:type="dxa" w:w="102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grad</w:t>
            </w:r>
          </w:p>
        </w:tc>
        <w:tc>
          <w:tcPr>
            <w:tcW w:type="dxa" w:w="10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support</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circ-SD</w:t>
            </w:r>
          </w:p>
        </w:tc>
      </w:tr>
      <w:tr>
        <w:tc>
          <w:tcPr>
            <w:tcW w:type="dxa" w:w="1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Helio @ 5°</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31</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5</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w:t>
            </w:r>
          </w:p>
        </w:tc>
        <w:tc>
          <w:tcPr>
            <w:tcW w:type="dxa" w:w="9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1.1460</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0.0219</w:t>
            </w:r>
          </w:p>
        </w:tc>
        <w:tc>
          <w:tcPr>
            <w:tcW w:type="dxa" w:w="10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340</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62.0°</w:t>
            </w:r>
          </w:p>
        </w:tc>
      </w:tr>
      <w:tr>
        <w:tc>
          <w:tcPr>
            <w:tcW w:type="dxa" w:w="1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Helio @ 6°</w:t>
            </w:r>
          </w:p>
        </w:tc>
        <w:tc>
          <w:tcPr>
            <w:tcW w:type="dxa" w:w="10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23</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11</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5</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w:t>
            </w:r>
          </w:p>
        </w:tc>
        <w:tc>
          <w:tcPr>
            <w:tcW w:type="dxa" w:w="9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1.1303</w:t>
            </w:r>
          </w:p>
        </w:tc>
        <w:tc>
          <w:tcPr>
            <w:tcW w:type="dxa" w:w="10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0.0188</w:t>
            </w:r>
          </w:p>
        </w:tc>
        <w:tc>
          <w:tcPr>
            <w:tcW w:type="dxa" w:w="104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418</w:t>
            </w:r>
          </w:p>
        </w:tc>
        <w:tc>
          <w:tcPr>
            <w:tcW w:type="dxa" w:w="1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56.2°</w:t>
            </w:r>
          </w:p>
        </w:tc>
      </w:tr>
      <w:tr>
        <w:tc>
          <w:tcPr>
            <w:tcW w:type="dxa" w:w="1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Geo (5–6° ref)</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37</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6</w:t>
            </w:r>
          </w:p>
        </w:tc>
        <w:tc>
          <w:tcPr>
            <w:tcW w:type="dxa" w:w="9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w:t>
            </w:r>
          </w:p>
        </w:tc>
        <w:tc>
          <w:tcPr>
            <w:tcW w:type="dxa" w:w="9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1.1479</w:t>
            </w:r>
          </w:p>
        </w:tc>
        <w:tc>
          <w:tcPr>
            <w:tcW w:type="dxa" w:w="10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0.0235</w:t>
            </w:r>
          </w:p>
        </w:tc>
        <w:tc>
          <w:tcPr>
            <w:tcW w:type="dxa" w:w="10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277</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36.1°</w:t>
            </w:r>
          </w:p>
        </w:tc>
      </w:tr>
    </w:tbl>
    <w:p>
      <w:pPr>
        <w:spacing w:after="140" w:line="276"/>
      </w:pPr>
      <w:r>
        <w:rPr>
          <w:b/>
          <w:bCs/>
        </w:rPr>
        <w:t xml:space="preserve">The 19-scatter was a pure smoothing artifact.</w:t>
      </w:r>
      <w:r>
        <w:t xml:space="preserve"> At matched resolution helio shows the same modal structure (31 multimodal at 5°, 0 scatter) and near-identical lift, with robust support. The one persistent difference — higher peak-location wander (circ-SD) — survives matching and is discussed as a genuine property in §10–11.</w:t>
      </w:r>
    </w:p>
    <w:p>
      <w:pPr>
        <w:pStyle w:val="Heading1"/>
      </w:pPr>
      <w:r>
        <w:t xml:space="preserve">10. Freeze Rules and Final Manifest</w:t>
      </w:r>
    </w:p>
    <w:p>
      <w:pPr>
        <w:spacing w:after="140" w:line="276"/>
      </w:pPr>
      <w:r>
        <w:rPr>
          <w:b/>
          <w:bCs/>
        </w:rPr>
        <w:t xml:space="preserve">Rule 1 (scatter-prune): </w:t>
      </w:r>
      <w:r>
        <w:t xml:space="preserve">a feature is a drop candidate only if scatter_or_flat at </w:t>
      </w:r>
      <w:r>
        <w:rPr>
          <w:i/>
          <w:iCs/>
        </w:rPr>
        <w:t xml:space="preserve">both</w:t>
      </w:r>
      <w:r>
        <w:t xml:space="preserve"> 5° and 6° — applied identically to geo and helio. Result: 0 drops (even VX x PA G-LON is structured at one resolution). </w:t>
      </w:r>
      <w:r>
        <w:rPr>
          <w:b/>
          <w:bCs/>
        </w:rPr>
        <w:t xml:space="preserve">Rule 2 (resolution): </w:t>
      </w:r>
      <w:r>
        <w:t xml:space="preserve">geo keeps its FSA resolution; helio takes whichever of {5°,6°} gives lower circ-SD, tie→5°. Flag-not-delete: engine_v1_candidate = (not drop_candidate).</w:t>
      </w:r>
    </w:p>
    <w:p>
      <w:pPr>
        <w:pStyle w:val="Heading2"/>
      </w:pPr>
      <w:r>
        <w:t xml:space="preserve">10.1 Frozen population (88 features, 0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60"/>
        <w:gridCol w:w="1180"/>
        <w:gridCol w:w="920"/>
        <w:gridCol w:w="920"/>
        <w:gridCol w:w="880"/>
        <w:gridCol w:w="1000"/>
        <w:gridCol w:w="1000"/>
        <w:gridCol w:w="950"/>
        <w:gridCol w:w="950"/>
      </w:tblGrid>
      <w:tr>
        <w:trPr>
          <w:tblHeader/>
        </w:trPr>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Track</w:t>
            </w:r>
          </w:p>
        </w:tc>
        <w:tc>
          <w:tcPr>
            <w:tcW w:type="dxa" w:w="5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N</w:t>
            </w:r>
          </w:p>
        </w:tc>
        <w:tc>
          <w:tcPr>
            <w:tcW w:type="dxa" w:w="11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multimodal</w:t>
            </w:r>
          </w:p>
        </w:tc>
        <w:tc>
          <w:tcPr>
            <w:tcW w:type="dxa" w:w="92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bimodal</w:t>
            </w:r>
          </w:p>
        </w:tc>
        <w:tc>
          <w:tcPr>
            <w:tcW w:type="dxa" w:w="92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unimodal</w:t>
            </w:r>
          </w:p>
        </w:tc>
        <w:tc>
          <w:tcPr>
            <w:tcW w:type="dxa" w:w="8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scatter</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lift</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support</w:t>
            </w:r>
          </w:p>
        </w:tc>
        <w:tc>
          <w:tcPr>
            <w:tcW w:type="dxa" w:w="9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grad</w:t>
            </w:r>
          </w:p>
        </w:tc>
        <w:tc>
          <w:tcPr>
            <w:tcW w:type="dxa" w:w="9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median circ-SD</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Geo</w:t>
            </w:r>
          </w:p>
        </w:tc>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48</w:t>
            </w:r>
          </w:p>
        </w:tc>
        <w:tc>
          <w:tcPr>
            <w:tcW w:type="dxa" w:w="11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37</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w:t>
            </w:r>
          </w:p>
        </w:tc>
        <w:tc>
          <w:tcPr>
            <w:tcW w:type="dxa" w:w="9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6</w:t>
            </w:r>
          </w:p>
        </w:tc>
        <w:tc>
          <w:tcPr>
            <w:tcW w:type="dxa" w:w="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1.1478</w:t>
            </w:r>
          </w:p>
        </w:tc>
        <w:tc>
          <w:tcPr>
            <w:tcW w:type="dxa" w:w="1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277</w:t>
            </w:r>
          </w:p>
        </w:tc>
        <w:tc>
          <w:tcPr>
            <w:tcW w:type="dxa" w:w="9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0.0235</w:t>
            </w:r>
          </w:p>
        </w:tc>
        <w:tc>
          <w:tcPr>
            <w:tcW w:type="dxa" w:w="9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36.10°</w:t>
            </w:r>
          </w:p>
        </w:tc>
      </w:tr>
      <w:tr>
        <w:tc>
          <w:tcPr>
            <w:tcW w:type="dxa" w:w="1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Helio</w:t>
            </w:r>
          </w:p>
        </w:tc>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40</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25</w:t>
            </w:r>
          </w:p>
        </w:tc>
        <w:tc>
          <w:tcPr>
            <w:tcW w:type="dxa" w:w="9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8</w:t>
            </w:r>
          </w:p>
        </w:tc>
        <w:tc>
          <w:tcPr>
            <w:tcW w:type="dxa" w:w="9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7</w:t>
            </w:r>
          </w:p>
        </w:tc>
        <w:tc>
          <w:tcPr>
            <w:tcW w:type="dxa" w:w="8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w:t>
            </w:r>
          </w:p>
        </w:tc>
        <w:tc>
          <w:tcPr>
            <w:tcW w:type="dxa" w:w="1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1.1444</w:t>
            </w:r>
          </w:p>
        </w:tc>
        <w:tc>
          <w:tcPr>
            <w:tcW w:type="dxa" w:w="1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381</w:t>
            </w:r>
          </w:p>
        </w:tc>
        <w:tc>
          <w:tcPr>
            <w:tcW w:type="dxa" w:w="9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0.0214</w:t>
            </w:r>
          </w:p>
        </w:tc>
        <w:tc>
          <w:tcPr>
            <w:tcW w:type="dxa" w:w="9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49.55°</w:t>
            </w:r>
          </w:p>
        </w:tc>
      </w:tr>
    </w:tbl>
    <w:p>
      <w:pPr>
        <w:spacing w:after="140" w:line="276"/>
      </w:pPr>
      <w:r>
        <w:rPr>
          <w:b/>
          <w:bCs/>
        </w:rPr>
        <w:t xml:space="preserve">Equal footing, with one honest difference. </w:t>
      </w:r>
      <w:r>
        <w:t xml:space="preserve">At frozen resolution, geo and helio are indistinguishable on lift (1.148 vs 1.144) and comparable on gradient (0.0235 vs 0.0214) and support (helio actually higher, 381 vs 277). The sole real difference is peak-location stability: helio circ-SD 49.6° vs geo 36.1°. This narrowed from the artifact-inflated 56–62° but did not vanish, so it is a property, not an artifact.</w:t>
      </w:r>
    </w:p>
    <w:p>
      <w:pPr>
        <w:pStyle w:val="Heading1"/>
      </w:pPr>
      <w:r>
        <w:t xml:space="preserve">11. Main Findings</w:t>
      </w:r>
    </w:p>
    <w:p>
      <w:pPr>
        <w:pStyle w:val="ListParagraph"/>
        <w:numPr>
          <w:ilvl w:val="0"/>
          <w:numId w:val="4"/>
        </w:numPr>
        <w:spacing w:after="60" w:line="268"/>
      </w:pPr>
      <w:r>
        <w:rPr>
          <w:b/>
          <w:bCs/>
        </w:rPr>
        <w:t xml:space="preserve">Horizontal geometry was diluted, not absent. </w:t>
      </w:r>
      <w:r>
        <w:t xml:space="preserve">The honest 0.560 baseline plus localized modal structure is consistent with Paper 1: a real but modest, localized signal that flat raw-degree modeling cannot express.</w:t>
      </w:r>
    </w:p>
    <w:p>
      <w:pPr>
        <w:pStyle w:val="ListParagraph"/>
        <w:numPr>
          <w:ilvl w:val="0"/>
          <w:numId w:val="4"/>
        </w:numPr>
        <w:spacing w:after="60" w:line="268"/>
      </w:pPr>
      <w:r>
        <w:rPr>
          <w:b/>
          <w:bCs/>
        </w:rPr>
        <w:t xml:space="preserve">The usable population is small and concentrated. </w:t>
      </w:r>
      <w:r>
        <w:t xml:space="preserve">423 coverage-clean → 74 same-slate → 48 steep, concentrated in fast angles × Moon/Mars/asteroids. This is a hand-buildable panel, not a 1,300-feature problem.</w:t>
      </w:r>
    </w:p>
    <w:p>
      <w:pPr>
        <w:pStyle w:val="ListParagraph"/>
        <w:numPr>
          <w:ilvl w:val="0"/>
          <w:numId w:val="4"/>
        </w:numPr>
        <w:spacing w:after="60" w:line="268"/>
      </w:pPr>
      <w:r>
        <w:rPr>
          <w:b/>
          <w:bCs/>
        </w:rPr>
        <w:t xml:space="preserve">The geometry is multi-lobe. </w:t>
      </w:r>
      <w:r>
        <w:t xml:space="preserve">47/48 geo (and the helio set) carry multiple prominent lobes; single-peak distance is the wrong descriptor. Two independent signals point here: the 0/48 single-peak result and the helio peak-location wander.</w:t>
      </w:r>
    </w:p>
    <w:p>
      <w:pPr>
        <w:pStyle w:val="ListParagraph"/>
        <w:numPr>
          <w:ilvl w:val="0"/>
          <w:numId w:val="4"/>
        </w:numPr>
        <w:spacing w:after="60" w:line="268"/>
      </w:pPr>
      <w:r>
        <w:rPr>
          <w:b/>
          <w:bCs/>
        </w:rPr>
        <w:t xml:space="preserve">Heliocentric angle-target features belong in Track A. </w:t>
      </w:r>
      <w:r>
        <w:t xml:space="preserve">Once audited and resolution-matched, 40 helio features match the geocentric set on modality, lift, support, and gradient — differing only in peak-location stability. Their earlier absence was an audit gap, not a negative result.</w:t>
      </w:r>
    </w:p>
    <w:p>
      <w:pPr>
        <w:pStyle w:val="ListParagraph"/>
        <w:numPr>
          <w:ilvl w:val="0"/>
          <w:numId w:val="4"/>
        </w:numPr>
        <w:spacing w:after="60" w:line="268"/>
      </w:pPr>
      <w:r>
        <w:rPr>
          <w:b/>
          <w:bCs/>
        </w:rPr>
        <w:t xml:space="preserve">Nothing was lost. </w:t>
      </w:r>
      <w:r>
        <w:t xml:space="preserve">0 drops; 10 G-AZ×H-LON marginals annexed; 4 limited-distribution helio targets routed to Track B; 311 unaudited geo features flagged for FSA extension.</w:t>
      </w:r>
    </w:p>
    <w:p>
      <w:pPr>
        <w:pStyle w:val="Heading1"/>
      </w:pPr>
      <w:r>
        <w:t xml:space="preserve">12. Alternative Interpretations</w:t>
      </w:r>
    </w:p>
    <w:p>
      <w:pPr>
        <w:spacing w:after="140" w:line="276"/>
      </w:pPr>
      <w:r>
        <w:t xml:space="preserve">A research record should state the readings that </w:t>
      </w:r>
      <w:r>
        <w:rPr>
          <w:i/>
          <w:iCs/>
        </w:rPr>
        <w:t xml:space="preserve">compete</w:t>
      </w:r>
      <w:r>
        <w:t xml:space="preserve"> with the favored one. Each of the following is currently consistent with the evidence and is not yet ruled out.</w:t>
      </w:r>
    </w:p>
    <w:p>
      <w:pPr>
        <w:pStyle w:val="Heading3"/>
      </w:pPr>
      <w:r>
        <w:t xml:space="preserve">12.1 “Multimodal” may be partly a detection artifact</w:t>
      </w:r>
    </w:p>
    <w:p>
      <w:pPr>
        <w:spacing w:after="140" w:line="276"/>
      </w:pPr>
      <w:r>
        <w:t xml:space="preserve">With a lift floor of 1.08, 5–6° smoothing, and 360 bins on finite support, several local maxima above 1.08 can arise on surfaces with little true structure. “Multimodal” as defined means “≥3 prominent bumps,” which is not the same as “≥3 reproducible scoring hotspots.” </w:t>
      </w:r>
      <w:r>
        <w:rPr>
          <w:b/>
          <w:bCs/>
        </w:rPr>
        <w:t xml:space="preserve">Decisive test, not yet run: </w:t>
      </w:r>
      <w:r>
        <w:t xml:space="preserve">a label-permutation null — shuffle y, recount lobes; if shuffled surfaces also yield ~3 lobes above 1.08, the modality counts are partly noise topology and the lobe definition needs a prominence/significance threshold.</w:t>
      </w:r>
    </w:p>
    <w:p>
      <w:pPr>
        <w:pStyle w:val="Heading3"/>
      </w:pPr>
      <w:r>
        <w:t xml:space="preserve">12.2 Geo≈helio equivalence may reflect the shared angle, not the helio target</w:t>
      </w:r>
    </w:p>
    <w:p>
      <w:pPr>
        <w:spacing w:after="140" w:line="276"/>
      </w:pPr>
      <w:r>
        <w:t xml:space="preserve">Because the same-slate spread is angle-carried, an Asc×Mars(G-LON) feature and an Asc×Mars(H-LON) feature share the same origin motion. The equivalence could mean the helio target adds little and we are largely re-measuring the angle’s surface. </w:t>
      </w:r>
      <w:r>
        <w:rPr>
          <w:b/>
          <w:bCs/>
        </w:rPr>
        <w:t xml:space="preserve">Test: </w:t>
      </w:r>
      <w:r>
        <w:t xml:space="preserve">hold the angle origin fixed and compare geo-target vs helio-target lift surfaces for the same body; near-identical surfaces would imply the helio target contributes little independent information.</w:t>
      </w:r>
    </w:p>
    <w:p>
      <w:pPr>
        <w:pStyle w:val="Heading3"/>
      </w:pPr>
      <w:r>
        <w:t xml:space="preserve">12.3 The lift surfaces may be confounded by park, season, or era</w:t>
      </w:r>
    </w:p>
    <w:p>
      <w:pPr>
        <w:spacing w:after="140" w:line="276"/>
      </w:pPr>
      <w:r>
        <w:t xml:space="preserve">No Track A step controlled for ballpark, month, or era. Paper 1’s park-only AUC (0.6415) dominates flat astro (0.587). A “high-scoring lobe” at degree X could co-occur with hitter-friendly parks or summer months. Until engineered features beat 0.560 </w:t>
      </w:r>
      <w:r>
        <w:rPr>
          <w:i/>
          <w:iCs/>
        </w:rPr>
        <w:t xml:space="preserve">as an increment over a park/context baseline</w:t>
      </w:r>
      <w:r>
        <w:t xml:space="preserve">, the modal lift is not established as independent astronomical signal.</w:t>
      </w:r>
    </w:p>
    <w:p>
      <w:pPr>
        <w:pStyle w:val="Heading3"/>
      </w:pPr>
      <w:r>
        <w:t xml:space="preserve">12.4 Helio peak-instability has at least three explanations</w:t>
      </w:r>
    </w:p>
    <w:p>
      <w:pPr>
        <w:spacing w:after="140" w:line="276"/>
      </w:pPr>
      <w:r>
        <w:t xml:space="preserve">The favored reading is lobe competition (argmax flips between near-equal lobes). Alternatives: (a) heliocentric longitude populates fewer distinct degree values per slate, giving noisier per-bin rates; (b) a genuinely fainter, less-localized surface. These are distinguishable by lobe-height-ratio and per-degree occupancy analyses — not yet performed.</w:t>
      </w:r>
    </w:p>
    <w:p>
      <w:pPr>
        <w:pStyle w:val="Heading3"/>
      </w:pPr>
      <w:r>
        <w:t xml:space="preserve">12.5 Even 0.560 is a mild upper bound</w:t>
      </w:r>
    </w:p>
    <w:p>
      <w:pPr>
        <w:spacing w:after="140" w:line="276"/>
      </w:pPr>
      <w:r>
        <w:t xml:space="preserve">The univariate ranking and the steep&gt;1.15 gate that produced the seed used full-exploratory labels; feature </w:t>
      </w:r>
      <w:r>
        <w:rPr>
          <w:i/>
          <w:iCs/>
        </w:rPr>
        <w:t xml:space="preserve">selection</w:t>
      </w:r>
      <w:r>
        <w:t xml:space="preserve"> still peeked. A fully nested pipeline (re-rank inside each fold) could land below 0.560. The sealed holdout remains the only unbiased estimate.</w:t>
      </w:r>
    </w:p>
    <w:p>
      <w:pPr>
        <w:pStyle w:val="Heading1"/>
      </w:pPr>
      <w:r>
        <w:t xml:space="preserve">13. Threats to Validity and What Is Not Yet Established</w:t>
      </w:r>
    </w:p>
    <w:p>
      <w:pPr>
        <w:spacing w:after="140" w:line="276"/>
      </w:pPr>
      <w:r>
        <w:t xml:space="preserve">Stated plainly so no reader over-reads this record:</w:t>
      </w:r>
    </w:p>
    <w:p>
      <w:pPr>
        <w:pStyle w:val="ListParagraph"/>
        <w:numPr>
          <w:ilvl w:val="0"/>
          <w:numId w:val="3"/>
        </w:numPr>
        <w:spacing w:after="60" w:line="268"/>
      </w:pPr>
      <w:r>
        <w:rPr>
          <w:b/>
          <w:bCs/>
        </w:rPr>
        <w:t xml:space="preserve">No predictive improvement has been demonstrated. </w:t>
      </w:r>
      <w:r>
        <w:t xml:space="preserve">0.560 stands unbeaten. This phase built a population; it did not test a model.</w:t>
      </w:r>
    </w:p>
    <w:p>
      <w:pPr>
        <w:pStyle w:val="ListParagraph"/>
        <w:numPr>
          <w:ilvl w:val="0"/>
          <w:numId w:val="3"/>
        </w:numPr>
        <w:spacing w:after="60" w:line="268"/>
      </w:pPr>
      <w:r>
        <w:rPr>
          <w:b/>
          <w:bCs/>
        </w:rPr>
        <w:t xml:space="preserve">The population is a floor. </w:t>
      </w:r>
      <w:r>
        <w:t xml:space="preserve">311 unaudited geo features (bucket E) and the broader feature universe were never characterized; FSA covered 112/423.</w:t>
      </w:r>
    </w:p>
    <w:p>
      <w:pPr>
        <w:pStyle w:val="ListParagraph"/>
        <w:numPr>
          <w:ilvl w:val="0"/>
          <w:numId w:val="3"/>
        </w:numPr>
        <w:spacing w:after="60" w:line="268"/>
      </w:pPr>
      <w:r>
        <w:rPr>
          <w:b/>
          <w:bCs/>
        </w:rPr>
        <w:t xml:space="preserve">Modality was computed with label access. </w:t>
      </w:r>
      <w:r>
        <w:t xml:space="preserve">Lobe-finding used full-exploratory rates; it is descriptive only and must be recomputed fold-clean when features are engineered.</w:t>
      </w:r>
    </w:p>
    <w:p>
      <w:pPr>
        <w:pStyle w:val="ListParagraph"/>
        <w:numPr>
          <w:ilvl w:val="0"/>
          <w:numId w:val="3"/>
        </w:numPr>
        <w:spacing w:after="60" w:line="268"/>
      </w:pPr>
      <w:r>
        <w:rPr>
          <w:b/>
          <w:bCs/>
        </w:rPr>
        <w:t xml:space="preserve">Multi-lobe is motivated, not validated. </w:t>
      </w:r>
      <w:r>
        <w:t xml:space="preserve">It is the indicated representation; it has not yet been shown to predict better than single-peak or raw degree.</w:t>
      </w:r>
    </w:p>
    <w:p>
      <w:pPr>
        <w:pStyle w:val="ListParagraph"/>
        <w:numPr>
          <w:ilvl w:val="0"/>
          <w:numId w:val="3"/>
        </w:numPr>
        <w:spacing w:after="60" w:line="268"/>
      </w:pPr>
      <w:r>
        <w:rPr>
          <w:b/>
          <w:bCs/>
        </w:rPr>
        <w:t xml:space="preserve">Helio target’s independent contribution is unisolated. </w:t>
      </w:r>
      <w:r>
        <w:t xml:space="preserve">Same-slate spread is angle-carried; the helio target’s marginal value is untested (§12.2).</w:t>
      </w:r>
    </w:p>
    <w:p>
      <w:pPr>
        <w:pStyle w:val="ListParagraph"/>
        <w:numPr>
          <w:ilvl w:val="0"/>
          <w:numId w:val="3"/>
        </w:numPr>
        <w:spacing w:after="60" w:line="268"/>
      </w:pPr>
      <w:r>
        <w:rPr>
          <w:b/>
          <w:bCs/>
        </w:rPr>
        <w:t xml:space="preserve">No park/context control. </w:t>
      </w:r>
      <w:r>
        <w:t xml:space="preserve">The astronomical increment over a baseball baseline is the standard the engineered features must eventually meet.</w:t>
      </w:r>
    </w:p>
    <w:p>
      <w:pPr>
        <w:pStyle w:val="ListParagraph"/>
        <w:numPr>
          <w:ilvl w:val="0"/>
          <w:numId w:val="3"/>
        </w:numPr>
        <w:spacing w:after="60" w:line="268"/>
      </w:pPr>
      <w:r>
        <w:rPr>
          <w:b/>
          <w:bCs/>
        </w:rPr>
        <w:t xml:space="preserve">Lobe definition is unthresholded for significance. </w:t>
      </w:r>
      <w:r>
        <w:t xml:space="preserve">Pending the permutation null (§12.1).</w:t>
      </w:r>
    </w:p>
    <w:p>
      <w:pPr>
        <w:pStyle w:val="Heading1"/>
      </w:pPr>
      <w:r>
        <w:t xml:space="preserve">14. Why the Earlier Models Failed (Resolved)</w:t>
      </w:r>
    </w:p>
    <w:p>
      <w:pPr>
        <w:spacing w:after="140" w:line="276"/>
      </w:pPr>
      <w:r>
        <w:t xml:space="preserve">The phase explains every prior failure coherently. Raw-degree and harmonic models assumed a model could discover localized, feature-specific, multi-lobe surfaces from raw circular degrees — a representation that cannot express “near a specific hotspot.” Target-encoding models inflated when degree-level HIGH-rate leaked into validation. Honest structural models flattened the localized surface into weak global predictors. The correct representation encodes localized modal structure directly, which is exactly what the frozen Track A population is built to support.</w:t>
      </w:r>
    </w:p>
    <w:p>
      <w:pPr>
        <w:pStyle w:val="Heading1"/>
      </w:pPr>
      <w:r>
        <w:t xml:space="preserve">15. Next Phase: Multi-Lobe Engineering Layer</w:t>
      </w:r>
    </w:p>
    <w:p>
      <w:pPr>
        <w:spacing w:after="140" w:line="276"/>
      </w:pPr>
      <w:r>
        <w:t xml:space="preserve">The frozen 88 (engine_v1_candidate = True) become the locked input to fold-clean multi-lobe feature engineering. The intended descriptors, computed with lobes identified </w:t>
      </w:r>
      <w:r>
        <w:rPr>
          <w:b/>
          <w:bCs/>
        </w:rPr>
        <w:t xml:space="preserve">inside each training fold only</w:t>
      </w:r>
      <w:r>
        <w:t xml:space="preserve">:</w:t>
      </w:r>
    </w:p>
    <w:p>
      <w:pPr>
        <w:pStyle w:val="ListParagraph"/>
        <w:numPr>
          <w:ilvl w:val="0"/>
          <w:numId w:val="3"/>
        </w:numPr>
        <w:spacing w:after="60" w:line="268"/>
      </w:pPr>
      <w:r>
        <w:t xml:space="preserve">distance to nearest active high-scoring lobe (the multi-lobe replacement for single-peak distance);</w:t>
      </w:r>
    </w:p>
    <w:p>
      <w:pPr>
        <w:pStyle w:val="ListParagraph"/>
        <w:numPr>
          <w:ilvl w:val="0"/>
          <w:numId w:val="3"/>
        </w:numPr>
        <w:spacing w:after="60" w:line="268"/>
      </w:pPr>
      <w:r>
        <w:t xml:space="preserve">activation within any modal hotspot window (binary / soft);</w:t>
      </w:r>
    </w:p>
    <w:p>
      <w:pPr>
        <w:pStyle w:val="ListParagraph"/>
        <w:numPr>
          <w:ilvl w:val="0"/>
          <w:numId w:val="3"/>
        </w:numPr>
        <w:spacing w:after="60" w:line="268"/>
      </w:pPr>
      <w:r>
        <w:t xml:space="preserve">active-lobe count and maximum active-lobe lift;</w:t>
      </w:r>
    </w:p>
    <w:p>
      <w:pPr>
        <w:pStyle w:val="ListParagraph"/>
        <w:numPr>
          <w:ilvl w:val="0"/>
          <w:numId w:val="3"/>
        </w:numPr>
        <w:spacing w:after="60" w:line="268"/>
      </w:pPr>
      <w:r>
        <w:t xml:space="preserve">net hotspot pressure aggregated across features.</w:t>
      </w:r>
    </w:p>
    <w:p>
      <w:pPr>
        <w:spacing w:after="140" w:line="276"/>
      </w:pPr>
      <w:r>
        <w:rPr>
          <w:b/>
          <w:bCs/>
        </w:rPr>
        <w:t xml:space="preserve">The first real test: </w:t>
      </w:r>
      <w:r>
        <w:t xml:space="preserve">do these descriptors, evaluated leak-free with date-grouped CV, beat 0.560 — and do they beat it as an increment over a park/context baseline (§12.3)? That is the question this entire phase was built to make answerable. In parallel: Track B characterization, the bucket-E FSA extension, the H-Mercury timescale-boundary check, and a permutation-null test of the lobe definition (§12.1).</w:t>
      </w:r>
    </w:p>
    <w:p>
      <w:r>
        <w:br w:type="page"/>
      </w:r>
    </w:p>
    <w:p>
      <w:pPr>
        <w:pStyle w:val="Heading1"/>
      </w:pPr>
      <w:r>
        <w:t xml:space="preserve">Appendix A.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800"/>
      </w:tblGrid>
      <w:tr>
        <w:trPr>
          <w:tblHeader/>
        </w:trPr>
        <w:tc>
          <w:tcPr>
            <w:tcW w:type="dxa" w:w="5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w:t>
            </w:r>
          </w:p>
        </w:tc>
        <w:tc>
          <w:tcPr>
            <w:tcW w:type="dxa" w:w="4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Decision</w:t>
            </w:r>
          </w:p>
        </w:tc>
        <w:tc>
          <w:tcPr>
            <w:tcW w:type="dxa" w:w="48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Rationale</w:t>
            </w:r>
          </w:p>
        </w:tc>
      </w:tr>
      <w:tr>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D1</w:t>
            </w:r>
          </w:p>
        </w:tc>
        <w:tc>
          <w:tcPr>
            <w:tcW w:type="dxa" w:w="4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HS16 peaks enter as prior; recompute fold-clean on ≥14</w:t>
            </w:r>
          </w:p>
        </w:tc>
        <w:tc>
          <w:tcPr>
            <w:tcW w:type="dxa" w:w="4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Preserves Paper 1 continuity + target alignment + no leakage</w:t>
            </w:r>
          </w:p>
        </w:tc>
      </w:tr>
      <w:tr>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D2</w:t>
            </w:r>
          </w:p>
        </w:tc>
        <w:tc>
          <w:tcPr>
            <w:tcW w:type="dxa" w:w="4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Single-peak v1 before multi-peak</w:t>
            </w:r>
          </w:p>
        </w:tc>
        <w:tc>
          <w:tcPr>
            <w:tcW w:type="dxa" w:w="4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Fewest researcher degrees of freedom while recovering from leakage</w:t>
            </w:r>
          </w:p>
        </w:tc>
      </w:tr>
      <w:tr>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D3</w:t>
            </w:r>
          </w:p>
        </w:tc>
        <w:tc>
          <w:tcPr>
            <w:tcW w:type="dxa" w:w="4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Option 2: close the helio audit gap before freezing</w:t>
            </w:r>
          </w:p>
        </w:tc>
        <w:tc>
          <w:tcPr>
            <w:tcW w:type="dxa" w:w="4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“Geocentric-only because the audit was geocentric” is indefensible</w:t>
            </w:r>
          </w:p>
        </w:tc>
      </w:tr>
      <w:tr>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D4</w:t>
            </w:r>
          </w:p>
        </w:tc>
        <w:tc>
          <w:tcPr>
            <w:tcW w:type="dxa" w:w="4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Three-track architecture; never merge mechanisms</w:t>
            </w:r>
          </w:p>
        </w:tc>
        <w:tc>
          <w:tcPr>
            <w:tcW w:type="dxa" w:w="4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Prevents recurrence of the flat-universe failure</w:t>
            </w:r>
          </w:p>
        </w:tc>
      </w:tr>
      <w:tr>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D5</w:t>
            </w:r>
          </w:p>
        </w:tc>
        <w:tc>
          <w:tcPr>
            <w:tcW w:type="dxa" w:w="4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Reconstruction validated on geo-48 before helio use</w:t>
            </w:r>
          </w:p>
        </w:tc>
        <w:tc>
          <w:tcPr>
            <w:tcW w:type="dxa" w:w="4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Equal footing requires a metric proven on the known answer</w:t>
            </w:r>
          </w:p>
        </w:tc>
      </w:tr>
      <w:tr>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D6</w:t>
            </w:r>
          </w:p>
        </w:tc>
        <w:tc>
          <w:tcPr>
            <w:tcW w:type="dxa" w:w="4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10 G-AZ×H-LON marginals → annex, not Track A</w:t>
            </w:r>
          </w:p>
        </w:tc>
        <w:tc>
          <w:tcPr>
            <w:tcW w:type="dxa" w:w="4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Failed same-slate gate; preserved for frame-interaction study</w:t>
            </w:r>
          </w:p>
        </w:tc>
      </w:tr>
      <w:tr>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D7</w:t>
            </w:r>
          </w:p>
        </w:tc>
        <w:tc>
          <w:tcPr>
            <w:tcW w:type="dxa" w:w="4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4 H-Jupiter/H-Saturn → Track B</w:t>
            </w:r>
          </w:p>
        </w:tc>
        <w:tc>
          <w:tcPr>
            <w:tcW w:type="dxa" w:w="4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Limited-distribution targets are state, not triggers</w:t>
            </w:r>
          </w:p>
        </w:tc>
      </w:tr>
      <w:tr>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D8</w:t>
            </w:r>
          </w:p>
        </w:tc>
        <w:tc>
          <w:tcPr>
            <w:tcW w:type="dxa" w:w="4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Recompute all 88 fold-clean; no reuse of full-set geo modality</w:t>
            </w:r>
          </w:p>
        </w:tc>
        <w:tc>
          <w:tcPr>
            <w:tcW w:type="dxa" w:w="4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Identical footing &gt; 30 s of compute</w:t>
            </w:r>
          </w:p>
        </w:tc>
      </w:tr>
      <w:tr>
        <w:tc>
          <w:tcPr>
            <w:tcW w:type="dxa" w:w="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D9</w:t>
            </w:r>
          </w:p>
        </w:tc>
        <w:tc>
          <w:tcPr>
            <w:tcW w:type="dxa" w:w="4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Drop only if scatter at BOTH 5° and 6°; flag-not-delete</w:t>
            </w:r>
          </w:p>
        </w:tc>
        <w:tc>
          <w:tcPr>
            <w:tcW w:type="dxa" w:w="4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Only consistent scatter is a real drop</w:t>
            </w:r>
          </w:p>
        </w:tc>
      </w:tr>
      <w:tr>
        <w:tc>
          <w:tcPr>
            <w:tcW w:type="dxa" w:w="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D10</w:t>
            </w:r>
          </w:p>
        </w:tc>
        <w:tc>
          <w:tcPr>
            <w:tcW w:type="dxa" w:w="40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Per-feature resolution (geo FSA; helio min-circ-SD, tie→5°)</w:t>
            </w:r>
          </w:p>
        </w:tc>
        <w:tc>
          <w:tcPr>
            <w:tcW w:type="dxa" w:w="48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Defensible, data-grounded smoothing per feature</w:t>
            </w:r>
          </w:p>
        </w:tc>
      </w:tr>
    </w:tbl>
    <w:p>
      <w:pPr>
        <w:pStyle w:val="Heading1"/>
      </w:pPr>
      <w:r>
        <w:t xml:space="preserve">Appendix B. Artifacts and Reproducibility</w:t>
      </w:r>
    </w:p>
    <w:p>
      <w:pPr>
        <w:spacing w:after="140" w:line="276"/>
      </w:pPr>
      <w:r>
        <w:rPr>
          <w:b/>
          <w:bCs/>
        </w:rPr>
        <w:t xml:space="preserve">Environment: </w:t>
      </w:r>
      <w:r>
        <w:t xml:space="preserve">Colab, Python 3.12, numpy 2.0.2, pandas 2.2.2, scikit-learn 1.6.1. Seed 20260615. Repo github.com/crcatcrc/omni-geometry-mlb (private); OSF osf.io/yhxt4.</w:t>
      </w:r>
    </w:p>
    <w:p>
      <w:pPr>
        <w:spacing w:after="140" w:line="276"/>
      </w:pPr>
      <w:r>
        <w:rPr>
          <w:b/>
          <w:bCs/>
        </w:rPr>
        <w:t xml:space="preserve">Output files (paper2_sandbox):</w:t>
      </w:r>
    </w:p>
    <w:p>
      <w:pPr>
        <w:pStyle w:val="ListParagraph"/>
        <w:numPr>
          <w:ilvl w:val="0"/>
          <w:numId w:val="3"/>
        </w:numPr>
        <w:spacing w:after="60" w:line="268"/>
      </w:pPr>
      <w:r>
        <w:rPr>
          <w:rFonts w:ascii="Consolas" w:cs="Consolas" w:eastAsia="Consolas" w:hAnsi="Consolas"/>
          <w:sz w:val="18"/>
          <w:szCs w:val="18"/>
        </w:rPr>
        <w:t xml:space="preserve">PHASE3D_v1_SINGLEPEAK_RECOMPUTE_LONG.csv / _SUMMARY.csv — §5 recompute</w:t>
      </w:r>
    </w:p>
    <w:p>
      <w:pPr>
        <w:pStyle w:val="ListParagraph"/>
        <w:numPr>
          <w:ilvl w:val="0"/>
          <w:numId w:val="3"/>
        </w:numPr>
        <w:spacing w:after="60" w:line="268"/>
      </w:pPr>
      <w:r>
        <w:rPr>
          <w:rFonts w:ascii="Consolas" w:cs="Consolas" w:eastAsia="Consolas" w:hAnsi="Consolas"/>
          <w:sz w:val="18"/>
          <w:szCs w:val="18"/>
        </w:rPr>
        <w:t xml:space="preserve">PHASE3D_v1_1_MODALITY_DIAGNOSTIC.csv — §6 geo modality</w:t>
      </w:r>
    </w:p>
    <w:p>
      <w:pPr>
        <w:pStyle w:val="ListParagraph"/>
        <w:numPr>
          <w:ilvl w:val="0"/>
          <w:numId w:val="3"/>
        </w:numPr>
        <w:spacing w:after="60" w:line="268"/>
      </w:pPr>
      <w:r>
        <w:rPr>
          <w:rFonts w:ascii="Consolas" w:cs="Consolas" w:eastAsia="Consolas" w:hAnsi="Consolas"/>
          <w:sz w:val="18"/>
          <w:szCs w:val="18"/>
        </w:rPr>
        <w:t xml:space="preserve">PHASE3D_TRACKA_HELIO_SAMESLATE_AUDIT.csv — §8 helio audit</w:t>
      </w:r>
    </w:p>
    <w:p>
      <w:pPr>
        <w:pStyle w:val="ListParagraph"/>
        <w:numPr>
          <w:ilvl w:val="0"/>
          <w:numId w:val="3"/>
        </w:numPr>
        <w:spacing w:after="60" w:line="268"/>
      </w:pPr>
      <w:r>
        <w:rPr>
          <w:rFonts w:ascii="Consolas" w:cs="Consolas" w:eastAsia="Consolas" w:hAnsi="Consolas"/>
          <w:sz w:val="18"/>
          <w:szCs w:val="18"/>
        </w:rPr>
        <w:t xml:space="preserve">PHASE3D_TRACKA_ANNEX_GAZ_HLON_marginal.csv — §8 annex (10)</w:t>
      </w:r>
    </w:p>
    <w:p>
      <w:pPr>
        <w:pStyle w:val="ListParagraph"/>
        <w:numPr>
          <w:ilvl w:val="0"/>
          <w:numId w:val="3"/>
        </w:numPr>
        <w:spacing w:after="60" w:line="268"/>
      </w:pPr>
      <w:r>
        <w:rPr>
          <w:rFonts w:ascii="Consolas" w:cs="Consolas" w:eastAsia="Consolas" w:hAnsi="Consolas"/>
          <w:sz w:val="18"/>
          <w:szCs w:val="18"/>
        </w:rPr>
        <w:t xml:space="preserve">PHASE3D_TRACKB_HELIO_LIMITED_DIST_ROUTED.csv — §8 Track B routing (4)</w:t>
      </w:r>
    </w:p>
    <w:p>
      <w:pPr>
        <w:pStyle w:val="ListParagraph"/>
        <w:numPr>
          <w:ilvl w:val="0"/>
          <w:numId w:val="3"/>
        </w:numPr>
        <w:spacing w:after="60" w:line="268"/>
      </w:pPr>
      <w:r>
        <w:rPr>
          <w:rFonts w:ascii="Consolas" w:cs="Consolas" w:eastAsia="Consolas" w:hAnsi="Consolas"/>
          <w:sz w:val="18"/>
          <w:szCs w:val="18"/>
        </w:rPr>
        <w:t xml:space="preserve">PHASE3D_HELIO_RESMATCHED_CHARACTERIZATION.csv — §9 matched resolution</w:t>
      </w:r>
    </w:p>
    <w:p>
      <w:pPr>
        <w:pStyle w:val="ListParagraph"/>
        <w:numPr>
          <w:ilvl w:val="0"/>
          <w:numId w:val="3"/>
        </w:numPr>
        <w:spacing w:after="60" w:line="268"/>
      </w:pPr>
      <w:r>
        <w:rPr>
          <w:rFonts w:ascii="Consolas" w:cs="Consolas" w:eastAsia="Consolas" w:hAnsi="Consolas"/>
          <w:sz w:val="18"/>
          <w:szCs w:val="18"/>
        </w:rPr>
        <w:t xml:space="preserve">PHASE3D_TRACKA_COMBINED_CHARACTERIZATION.csv — §9 combined pass</w:t>
      </w:r>
    </w:p>
    <w:p>
      <w:pPr>
        <w:pStyle w:val="ListParagraph"/>
        <w:numPr>
          <w:ilvl w:val="0"/>
          <w:numId w:val="3"/>
        </w:numPr>
        <w:spacing w:after="60" w:line="268"/>
      </w:pPr>
      <w:r>
        <w:rPr>
          <w:rFonts w:ascii="Consolas" w:cs="Consolas" w:eastAsia="Consolas" w:hAnsi="Consolas"/>
          <w:sz w:val="18"/>
          <w:szCs w:val="18"/>
        </w:rPr>
        <w:t xml:space="preserve">PHASE3D_TRACKA_FROZEN_MANIFEST_v1_0.csv — §10 frozen population (88 rows)</w:t>
      </w:r>
    </w:p>
    <w:p>
      <w:pPr>
        <w:spacing w:after="140" w:line="276"/>
      </w:pPr>
      <w:r>
        <w:rPr>
          <w:b/>
          <w:bCs/>
        </w:rPr>
        <w:t xml:space="preserve">Frozen manifest columns: </w:t>
      </w:r>
      <w:r>
        <w:t xml:space="preserve">feature_id, track, origin, target_body, origin_frame, target_frame, frozen_resolution, modality, n_prominent_lobes, modality_5deg, modality_6deg, peak_deg_mean, peak_circ_sd, peak_lift_mean, peak_lift_min, support_min, local_grad_mean, hs16_prior, prior_shift, drop_candidate, engine_v1_candidate.</w:t>
      </w:r>
    </w:p>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Term</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color w:val="FFFFFF"/>
                <w:sz w:val="19"/>
                <w:szCs w:val="19"/>
              </w:rPr>
              <w:t xml:space="preserve">Meaning</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Same-slate discriminator</w:t>
            </w:r>
          </w:p>
        </w:tc>
        <w:tc>
          <w:tcPr>
            <w:tcW w:type="dxa" w:w="6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A feature that moves enough within one day to separate two same-day games (FSA near45_sep_median ≥ 5°).</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Coverage-clean</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The feature’s degree distribution is well-sampled enough that its statistics are trustworthy (not a sparse/degenerate-geometry artifact).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Step 2c gradient / steep</w:t>
            </w:r>
          </w:p>
        </w:tc>
        <w:tc>
          <w:tcPr>
            <w:tcW w:type="dxa" w:w="6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How sharply the scoring-rate surface rises near its peak; steep surfaces let small degree changes change the prediction.</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Modal structure / lobe</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A localized region of elevated scoring rate. “Multimodal” = several such lobes on one feature’s surface.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Fold-clean</w:t>
            </w:r>
          </w:p>
        </w:tc>
        <w:tc>
          <w:tcPr>
            <w:tcW w:type="dxa" w:w="6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Computed using only the training rows of each cross-validation fold, so the answer key never leaks into the features.</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Leakage</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Label information accidentally embedded in features, inflating cross-validation scores (cause of the ~0.67 mirage).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circ-SD</w:t>
            </w:r>
          </w:p>
        </w:tc>
        <w:tc>
          <w:tcPr>
            <w:tcW w:type="dxa" w:w="6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Circular standard deviation of a peak’s degree location across folds; higher = the peak wanders more.</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Angle-carried</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Same-slate spread supplied by the fast geocentric angle origin (Asc/MC/EA/VX), with the target body supplying the lift surface.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HS16 / ≥14 seam</w:t>
            </w:r>
          </w:p>
        </w:tc>
        <w:tc>
          <w:tcPr>
            <w:tcW w:type="dxa" w:w="6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r>
              <w:rPr>
                <w:sz w:val="19"/>
                <w:szCs w:val="19"/>
              </w:rPr>
              <w:t xml:space="preserve">Paper 1 peaks were measured on ≥16 runs; the current target is ≥14. Peaks may shift between the two; hence fold-clean recompute.</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Track A / B / C</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tcPr>
          <w:p>
            <w:r>
              <w:rPr>
                <w:sz w:val="19"/>
                <w:szCs w:val="19"/>
              </w:rPr>
              <w:t xml:space="preserve">Same-slate triggers / slow-context state / deferred alternate targets — three distinct predictive mechanisms.</w:t>
            </w:r>
          </w:p>
        </w:tc>
      </w:tr>
    </w:tbl>
    <w:p>
      <w:pPr>
        <w:spacing w:before="240"/>
      </w:pPr>
      <w:r>
        <w:rPr>
          <w:i/>
          <w:iCs/>
          <w:color w:val="555555"/>
        </w:rPr>
        <w:t xml:space="preserve">End of Phase 3D / Track A Research Record.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OMNI Paper 2 — Phase 3D / Track A Research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4CC" w:sz="6" w:space="4"/>
      </w:pBd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4D70"/>
      <w:sz w:val="25"/>
      <w:szCs w:val="25"/>
    </w:rPr>
  </w:style>
  <w:style w:type="paragraph" w:styleId="Heading3">
    <w:name w:val="Heading 3"/>
    <w:basedOn w:val="Normal"/>
    <w:next w:val="Normal"/>
    <w:qFormat/>
    <w:pPr>
      <w:spacing w:after="80" w:before="150"/>
      <w:outlineLvl w:val="2"/>
    </w:pPr>
    <w:rPr>
      <w:rFonts w:ascii="Arial" w:cs="Arial" w:eastAsia="Arial" w:hAnsi="Arial"/>
      <w:b/>
      <w:bCs/>
      <w:i/>
      <w:iCs/>
      <w:color w:val="3A5F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2026-06-25T00:21:26.173Z</dcterms:created>
  <dcterms:modified xsi:type="dcterms:W3CDTF">2026-06-25T00:21:26.173Z</dcterms:modified>
</cp:coreProperties>
</file>

<file path=docProps/custom.xml><?xml version="1.0" encoding="utf-8"?>
<Properties xmlns="http://schemas.openxmlformats.org/officeDocument/2006/custom-properties" xmlns:vt="http://schemas.openxmlformats.org/officeDocument/2006/docPropsVTypes"/>
</file>