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FEATURE SEPARATION AUDIT CLOSEOUT REPORT</w:t>
      </w:r>
    </w:p>
    <w:p>
      <w:pPr>
        <w:jc w:val="center"/>
      </w:pPr>
      <w:r>
        <w:rPr>
          <w:b/>
          <w:sz w:val="30"/>
        </w:rPr>
        <w:t>OMNI Paper 2 Exploratory Sandbox</w:t>
      </w:r>
    </w:p>
    <w:p>
      <w:pPr>
        <w:jc w:val="center"/>
      </w:pPr>
      <w:r>
        <w:rPr>
          <w:sz w:val="24"/>
        </w:rPr>
        <w:t>Version 1.0 | Closeout and Handoff Record</w:t>
      </w:r>
    </w:p>
    <w:p>
      <w:pPr>
        <w:jc w:val="center"/>
      </w:pPr>
      <w:r>
        <w:rPr>
          <w:sz w:val="21"/>
        </w:rPr>
        <w:t>Date prepared: 2026-06-08</w:t>
      </w:r>
    </w:p>
    <w:p/>
    <w:tbl>
      <w:tblPr>
        <w:tblStyle w:val="TableGrid"/>
        <w:tblW w:type="auto" w:w="0"/>
        <w:tblLook w:firstColumn="1" w:firstRow="1" w:lastColumn="0" w:lastRow="0" w:noHBand="0" w:noVBand="1" w:val="04A0"/>
      </w:tblPr>
      <w:tblGrid>
        <w:gridCol w:w="10080"/>
      </w:tblGrid>
      <w:tr>
        <w:tc>
          <w:tcPr>
            <w:tcW w:type="dxa" w:w="10080"/>
            <w:shd w:fill="EAF2F8"/>
          </w:tcPr>
          <w:p>
            <w:pPr>
              <w:spacing w:after="0"/>
            </w:pPr>
            <w:r>
              <w:t>Closeout status: COMPLETE. This document records the completed Feature Separation Audit, the Topological Archetype Atlas extension, the Feature Engineering Bridge, the known deliverables, the key findings, and the boundaries of what is and is not being carried forward. It is intended as a project closeout and handoff document, not as a journal-submission manuscript.</w:t>
            </w:r>
          </w:p>
        </w:tc>
      </w:tr>
    </w:tbl>
    <w:p>
      <w:r>
        <w:br w:type="page"/>
      </w:r>
    </w:p>
    <w:p>
      <w:pPr>
        <w:pStyle w:val="Heading1"/>
      </w:pPr>
      <w:r>
        <w:t>1. Executive Summary</w:t>
      </w:r>
    </w:p>
    <w:p>
      <w:r>
        <w:t>The Feature Separation Audit phase of the OMNI Paper 2 exploratory sandbox is now closed. The phase began as a narrowly operational audit: determining how much candidate aspect features change between MLB games occurring on the same date. That question mattered because the eventual Paper 2 modeling problem is game-level prediction, not merely date-level description. A feature can be statistically interesting while still being too slow or too broad to distinguish one game from another on the same slate.</w:t>
      </w:r>
    </w:p>
    <w:p>
      <w:r>
        <w:t>The audit successfully produced an operational-scale framework and registry for candidate aspect features. During the work, the investigation expanded into topological cartography: the study of the full 360-degree field behavior of outcome-conditioned lift curves. This extension produced the Topological Archetype Atlas, nearest-neighbor topology outputs, the Feature Engineering Bridge, a visual results package, and an illustrated bridge report. These outputs are exploratory artifacts designed to inform later feature engineering; they are not final model inputs and should not be treated as validated predictive results.</w:t>
      </w:r>
    </w:p>
    <w:p>
      <w:r>
        <w:t>The central conclusion is that aspect features differ not only in speed or same-slate movement, but also in geometric field organization. Some fields behave as same-slate discriminator systems, some as basin-regime systems, and some as localized rupture or instability structures. These distinctions are important because they imply that future model features should not rely only on raw angular separations. Future engineering may need to encode regime membership, transition proximity, basin width, local dominance strength, topology family, and rupture proximity.</w:t>
      </w:r>
    </w:p>
    <w:tbl>
      <w:tblPr>
        <w:tblStyle w:val="TableGrid"/>
        <w:tblW w:type="auto" w:w="0"/>
        <w:jc w:val="center"/>
        <w:tblLook w:firstColumn="1" w:firstRow="1" w:lastColumn="0" w:lastRow="0" w:noHBand="0" w:noVBand="1" w:val="04A0"/>
      </w:tblPr>
      <w:tblGrid>
        <w:gridCol w:w="5040"/>
        <w:gridCol w:w="5040"/>
      </w:tblGrid>
      <w:tr>
        <w:tc>
          <w:tcPr>
            <w:tcW w:type="dxa" w:w="3456"/>
            <w:shd w:fill="1F4E79"/>
            <w:vAlign w:val="center"/>
          </w:tcPr>
          <w:p>
            <w:pPr>
              <w:spacing w:after="0"/>
            </w:pPr>
            <w:r/>
            <w:r>
              <w:rPr>
                <w:b/>
                <w:color w:val="FFFFFF"/>
              </w:rPr>
              <w:t>Closeout Item</w:t>
            </w:r>
          </w:p>
        </w:tc>
        <w:tc>
          <w:tcPr>
            <w:tcW w:type="dxa" w:w="6912"/>
            <w:shd w:fill="1F4E79"/>
            <w:vAlign w:val="center"/>
          </w:tcPr>
          <w:p>
            <w:pPr>
              <w:spacing w:after="0"/>
            </w:pPr>
            <w:r/>
            <w:r>
              <w:rPr>
                <w:b/>
                <w:color w:val="FFFFFF"/>
              </w:rPr>
              <w:t>Status</w:t>
            </w:r>
          </w:p>
        </w:tc>
      </w:tr>
      <w:tr>
        <w:tc>
          <w:tcPr>
            <w:tcW w:type="dxa" w:w="3456"/>
            <w:vAlign w:val="top"/>
          </w:tcPr>
          <w:p>
            <w:pPr>
              <w:spacing w:after="0"/>
            </w:pPr>
            <w:r/>
            <w:r>
              <w:rPr>
                <w:b w:val="0"/>
              </w:rPr>
              <w:t>Feature Separation Audit</w:t>
            </w:r>
          </w:p>
        </w:tc>
        <w:tc>
          <w:tcPr>
            <w:tcW w:type="dxa" w:w="6912"/>
            <w:vAlign w:val="top"/>
          </w:tcPr>
          <w:p>
            <w:pPr>
              <w:spacing w:after="0"/>
            </w:pPr>
            <w:r/>
            <w:r>
              <w:rPr>
                <w:b w:val="0"/>
              </w:rPr>
              <w:t>Complete</w:t>
            </w:r>
          </w:p>
        </w:tc>
      </w:tr>
      <w:tr>
        <w:tc>
          <w:tcPr>
            <w:tcW w:type="dxa" w:w="3456"/>
            <w:vAlign w:val="top"/>
          </w:tcPr>
          <w:p>
            <w:pPr>
              <w:spacing w:after="0"/>
            </w:pPr>
            <w:r/>
            <w:r>
              <w:rPr>
                <w:b w:val="0"/>
              </w:rPr>
              <w:t>Operational Scale Registry</w:t>
            </w:r>
          </w:p>
        </w:tc>
        <w:tc>
          <w:tcPr>
            <w:tcW w:type="dxa" w:w="6912"/>
            <w:vAlign w:val="top"/>
          </w:tcPr>
          <w:p>
            <w:pPr>
              <w:spacing w:after="0"/>
            </w:pPr>
            <w:r/>
            <w:r>
              <w:rPr>
                <w:b w:val="0"/>
              </w:rPr>
              <w:t>Complete</w:t>
            </w:r>
          </w:p>
        </w:tc>
      </w:tr>
      <w:tr>
        <w:tc>
          <w:tcPr>
            <w:tcW w:type="dxa" w:w="3456"/>
            <w:vAlign w:val="top"/>
          </w:tcPr>
          <w:p>
            <w:pPr>
              <w:spacing w:after="0"/>
            </w:pPr>
            <w:r/>
            <w:r>
              <w:rPr>
                <w:b w:val="0"/>
              </w:rPr>
              <w:t>Topological Archetype Atlas</w:t>
            </w:r>
          </w:p>
        </w:tc>
        <w:tc>
          <w:tcPr>
            <w:tcW w:type="dxa" w:w="6912"/>
            <w:vAlign w:val="top"/>
          </w:tcPr>
          <w:p>
            <w:pPr>
              <w:spacing w:after="0"/>
            </w:pPr>
            <w:r/>
            <w:r>
              <w:rPr>
                <w:b w:val="0"/>
              </w:rPr>
              <w:t>Complete / exploratory</w:t>
            </w:r>
          </w:p>
        </w:tc>
      </w:tr>
      <w:tr>
        <w:tc>
          <w:tcPr>
            <w:tcW w:type="dxa" w:w="3456"/>
            <w:vAlign w:val="top"/>
          </w:tcPr>
          <w:p>
            <w:pPr>
              <w:spacing w:after="0"/>
            </w:pPr>
            <w:r/>
            <w:r>
              <w:rPr>
                <w:b w:val="0"/>
              </w:rPr>
              <w:t>Nearest-Neighbor Topology Analysis</w:t>
            </w:r>
          </w:p>
        </w:tc>
        <w:tc>
          <w:tcPr>
            <w:tcW w:type="dxa" w:w="6912"/>
            <w:vAlign w:val="top"/>
          </w:tcPr>
          <w:p>
            <w:pPr>
              <w:spacing w:after="0"/>
            </w:pPr>
            <w:r/>
            <w:r>
              <w:rPr>
                <w:b w:val="0"/>
              </w:rPr>
              <w:t>Complete / exploratory</w:t>
            </w:r>
          </w:p>
        </w:tc>
      </w:tr>
      <w:tr>
        <w:tc>
          <w:tcPr>
            <w:tcW w:type="dxa" w:w="3456"/>
            <w:vAlign w:val="top"/>
          </w:tcPr>
          <w:p>
            <w:pPr>
              <w:spacing w:after="0"/>
            </w:pPr>
            <w:r/>
            <w:r>
              <w:rPr>
                <w:b w:val="0"/>
              </w:rPr>
              <w:t>Feature Engineering Bridge</w:t>
            </w:r>
          </w:p>
        </w:tc>
        <w:tc>
          <w:tcPr>
            <w:tcW w:type="dxa" w:w="6912"/>
            <w:vAlign w:val="top"/>
          </w:tcPr>
          <w:p>
            <w:pPr>
              <w:spacing w:after="0"/>
            </w:pPr>
            <w:r/>
            <w:r>
              <w:rPr>
                <w:b w:val="0"/>
              </w:rPr>
              <w:t>Complete / exploratory</w:t>
            </w:r>
          </w:p>
        </w:tc>
      </w:tr>
      <w:tr>
        <w:tc>
          <w:tcPr>
            <w:tcW w:type="dxa" w:w="3456"/>
            <w:vAlign w:val="top"/>
          </w:tcPr>
          <w:p>
            <w:pPr>
              <w:spacing w:after="0"/>
            </w:pPr>
            <w:r/>
            <w:r>
              <w:rPr>
                <w:b w:val="0"/>
              </w:rPr>
              <w:t>Illustrated Bridge Report</w:t>
            </w:r>
          </w:p>
        </w:tc>
        <w:tc>
          <w:tcPr>
            <w:tcW w:type="dxa" w:w="6912"/>
            <w:vAlign w:val="top"/>
          </w:tcPr>
          <w:p>
            <w:pPr>
              <w:spacing w:after="0"/>
            </w:pPr>
            <w:r/>
            <w:r>
              <w:rPr>
                <w:b w:val="0"/>
              </w:rPr>
              <w:t>Complete</w:t>
            </w:r>
          </w:p>
        </w:tc>
      </w:tr>
      <w:tr>
        <w:tc>
          <w:tcPr>
            <w:tcW w:type="dxa" w:w="3456"/>
            <w:vAlign w:val="top"/>
          </w:tcPr>
          <w:p>
            <w:pPr>
              <w:spacing w:after="0"/>
            </w:pPr>
            <w:r/>
            <w:r>
              <w:rPr>
                <w:b w:val="0"/>
              </w:rPr>
              <w:t>GitHub catch-up</w:t>
            </w:r>
          </w:p>
        </w:tc>
        <w:tc>
          <w:tcPr>
            <w:tcW w:type="dxa" w:w="6912"/>
            <w:vAlign w:val="top"/>
          </w:tcPr>
          <w:p>
            <w:pPr>
              <w:spacing w:after="0"/>
            </w:pPr>
            <w:r/>
            <w:r>
              <w:rPr>
                <w:b w:val="0"/>
              </w:rPr>
              <w:t>Partially complete; final repository upload/curation still requires user-led file placement</w:t>
            </w:r>
          </w:p>
        </w:tc>
      </w:tr>
      <w:tr>
        <w:tc>
          <w:tcPr>
            <w:tcW w:type="dxa" w:w="3456"/>
            <w:vAlign w:val="top"/>
          </w:tcPr>
          <w:p>
            <w:pPr>
              <w:spacing w:after="0"/>
            </w:pPr>
            <w:r/>
            <w:r>
              <w:rPr>
                <w:b w:val="0"/>
              </w:rPr>
              <w:t>ML model building</w:t>
            </w:r>
          </w:p>
        </w:tc>
        <w:tc>
          <w:tcPr>
            <w:tcW w:type="dxa" w:w="6912"/>
            <w:vAlign w:val="top"/>
          </w:tcPr>
          <w:p>
            <w:pPr>
              <w:spacing w:after="0"/>
            </w:pPr>
            <w:r/>
            <w:r>
              <w:rPr>
                <w:b w:val="0"/>
              </w:rPr>
              <w:t>Not started in this phase; explicitly deferred</w:t>
            </w:r>
          </w:p>
        </w:tc>
      </w:tr>
    </w:tbl>
    <w:p/>
    <w:p>
      <w:pPr>
        <w:pStyle w:val="Heading1"/>
      </w:pPr>
      <w:r>
        <w:t>2. Scope and Boundary of This Closeout</w:t>
      </w:r>
    </w:p>
    <w:p>
      <w:r>
        <w:t>This report closes the Feature Separation Audit and its direct extensions. The report does not define the full next exploratory agenda, and it does not assume which analyses should be prioritized next. The next research questions should be selected deliberately by the user before a new Colab notebook or new message thread begins.</w:t>
      </w:r>
    </w:p>
    <w:p>
      <w:r>
        <w:t>The scope of this closeout includes: operational-scale auditing; same-day feature movement; topological cartography outputs created during the audit extension; visual topology reports; nearest-neighbor topology analysis; and the Feature Engineering Bridge. The scope excludes: final model construction; production feature engineering; out-of-sample predictive validation; new exploratory research beyond the audit; and any claims that topology features are already model-ready.</w:t>
      </w:r>
    </w:p>
    <w:p>
      <w:pPr>
        <w:pStyle w:val="Heading1"/>
      </w:pPr>
      <w:r>
        <w:t>3. Original Audit Rationale</w:t>
      </w:r>
    </w:p>
    <w:p>
      <w:r>
        <w:t>Paper 1 established statistically structured angular geometry in MLB outcome space. The immediate practical question for Paper 2 was different: if angular structures exist, do they move enough between games to matter for game-level modeling? A slow feature could describe the general environment of a date or week, but it might not separate individual games on a single slate. A fast or topology-rich feature could move between local regimes from one game to another, making it more useful for within-date discrimination.</w:t>
      </w:r>
    </w:p>
    <w:p>
      <w:r>
        <w:t>The Feature Separation Audit was therefore designed to quantify operational movement, not to test final prediction. It asked how much candidate features differ between games separated by practical game-day intervals and whether those differences are large enough to support later feature engineering.</w:t>
      </w:r>
    </w:p>
    <w:p>
      <w:pPr>
        <w:pStyle w:val="Heading1"/>
      </w:pPr>
      <w:r>
        <w:t>4. Data and Inputs Used During the Phase</w:t>
      </w:r>
    </w:p>
    <w:tbl>
      <w:tblPr>
        <w:tblStyle w:val="TableGrid"/>
        <w:tblW w:type="auto" w:w="0"/>
        <w:jc w:val="center"/>
        <w:tblLook w:firstColumn="1" w:firstRow="1" w:lastColumn="0" w:lastRow="0" w:noHBand="0" w:noVBand="1" w:val="04A0"/>
      </w:tblPr>
      <w:tblGrid>
        <w:gridCol w:w="5040"/>
        <w:gridCol w:w="5040"/>
      </w:tblGrid>
      <w:tr>
        <w:tc>
          <w:tcPr>
            <w:tcW w:type="dxa" w:w="3168"/>
            <w:shd w:fill="1F4E79"/>
            <w:vAlign w:val="center"/>
          </w:tcPr>
          <w:p>
            <w:pPr>
              <w:spacing w:after="0"/>
            </w:pPr>
            <w:r/>
            <w:r>
              <w:rPr>
                <w:b/>
                <w:color w:val="FFFFFF"/>
              </w:rPr>
              <w:t>Input / Anchor</w:t>
            </w:r>
          </w:p>
        </w:tc>
        <w:tc>
          <w:tcPr>
            <w:tcW w:type="dxa" w:w="7200"/>
            <w:shd w:fill="1F4E79"/>
            <w:vAlign w:val="center"/>
          </w:tcPr>
          <w:p>
            <w:pPr>
              <w:spacing w:after="0"/>
            </w:pPr>
            <w:r/>
            <w:r>
              <w:rPr>
                <w:b/>
                <w:color w:val="FFFFFF"/>
              </w:rPr>
              <w:t>Description</w:t>
            </w:r>
          </w:p>
        </w:tc>
      </w:tr>
      <w:tr>
        <w:tc>
          <w:tcPr>
            <w:tcW w:type="dxa" w:w="3168"/>
            <w:vAlign w:val="top"/>
          </w:tcPr>
          <w:p>
            <w:pPr>
              <w:spacing w:after="0"/>
            </w:pPr>
            <w:r/>
            <w:r>
              <w:rPr>
                <w:b w:val="0"/>
              </w:rPr>
              <w:t>Event universe</w:t>
            </w:r>
          </w:p>
        </w:tc>
        <w:tc>
          <w:tcPr>
            <w:tcW w:type="dxa" w:w="7200"/>
            <w:vAlign w:val="top"/>
          </w:tcPr>
          <w:p>
            <w:pPr>
              <w:spacing w:after="0"/>
            </w:pPr>
            <w:r/>
            <w:r>
              <w:rPr>
                <w:b w:val="0"/>
              </w:rPr>
              <w:t>57,635 MLB games in the exploratory dataset lineage</w:t>
            </w:r>
          </w:p>
        </w:tc>
      </w:tr>
      <w:tr>
        <w:tc>
          <w:tcPr>
            <w:tcW w:type="dxa" w:w="3168"/>
            <w:vAlign w:val="top"/>
          </w:tcPr>
          <w:p>
            <w:pPr>
              <w:spacing w:after="0"/>
            </w:pPr>
            <w:r/>
            <w:r>
              <w:rPr>
                <w:b w:val="0"/>
              </w:rPr>
              <w:t>Game-date count</w:t>
            </w:r>
          </w:p>
        </w:tc>
        <w:tc>
          <w:tcPr>
            <w:tcW w:type="dxa" w:w="7200"/>
            <w:vAlign w:val="top"/>
          </w:tcPr>
          <w:p>
            <w:pPr>
              <w:spacing w:after="0"/>
            </w:pPr>
            <w:r/>
            <w:r>
              <w:rPr>
                <w:b w:val="0"/>
              </w:rPr>
              <w:t>3,808 game dates</w:t>
            </w:r>
          </w:p>
        </w:tc>
      </w:tr>
      <w:tr>
        <w:tc>
          <w:tcPr>
            <w:tcW w:type="dxa" w:w="3168"/>
            <w:vAlign w:val="top"/>
          </w:tcPr>
          <w:p>
            <w:pPr>
              <w:spacing w:after="0"/>
            </w:pPr>
            <w:r/>
            <w:r>
              <w:rPr>
                <w:b w:val="0"/>
              </w:rPr>
              <w:t>Per-event feature files</w:t>
            </w:r>
          </w:p>
        </w:tc>
        <w:tc>
          <w:tcPr>
            <w:tcW w:type="dxa" w:w="7200"/>
            <w:vAlign w:val="top"/>
          </w:tcPr>
          <w:p>
            <w:pPr>
              <w:spacing w:after="0"/>
            </w:pPr>
            <w:r/>
            <w:r>
              <w:rPr>
                <w:b w:val="0"/>
              </w:rPr>
              <w:t>741 valid per-event aspect feature files located during the audit</w:t>
            </w:r>
          </w:p>
        </w:tc>
      </w:tr>
      <w:tr>
        <w:tc>
          <w:tcPr>
            <w:tcW w:type="dxa" w:w="3168"/>
            <w:vAlign w:val="top"/>
          </w:tcPr>
          <w:p>
            <w:pPr>
              <w:spacing w:after="0"/>
            </w:pPr>
            <w:r/>
            <w:r>
              <w:rPr>
                <w:b w:val="0"/>
              </w:rPr>
              <w:t>Timing basis</w:t>
            </w:r>
          </w:p>
        </w:tc>
        <w:tc>
          <w:tcPr>
            <w:tcW w:type="dxa" w:w="7200"/>
            <w:vAlign w:val="top"/>
          </w:tcPr>
          <w:p>
            <w:pPr>
              <w:spacing w:after="0"/>
            </w:pPr>
            <w:r/>
            <w:r>
              <w:rPr>
                <w:b w:val="0"/>
              </w:rPr>
              <w:t>UTC-aligned start instants used for same-day interval comparisons</w:t>
            </w:r>
          </w:p>
        </w:tc>
      </w:tr>
      <w:tr>
        <w:tc>
          <w:tcPr>
            <w:tcW w:type="dxa" w:w="3168"/>
            <w:vAlign w:val="top"/>
          </w:tcPr>
          <w:p>
            <w:pPr>
              <w:spacing w:after="0"/>
            </w:pPr>
            <w:r/>
            <w:r>
              <w:rPr>
                <w:b w:val="0"/>
              </w:rPr>
              <w:t>Operational registry</w:t>
            </w:r>
          </w:p>
        </w:tc>
        <w:tc>
          <w:tcPr>
            <w:tcW w:type="dxa" w:w="7200"/>
            <w:vAlign w:val="top"/>
          </w:tcPr>
          <w:p>
            <w:pPr>
              <w:spacing w:after="0"/>
            </w:pPr>
            <w:r/>
            <w:r>
              <w:rPr>
                <w:b w:val="0"/>
              </w:rPr>
              <w:t>operational_scale_registry_v1_0.csv</w:t>
            </w:r>
          </w:p>
        </w:tc>
      </w:tr>
      <w:tr>
        <w:tc>
          <w:tcPr>
            <w:tcW w:type="dxa" w:w="3168"/>
            <w:vAlign w:val="top"/>
          </w:tcPr>
          <w:p>
            <w:pPr>
              <w:spacing w:after="0"/>
            </w:pPr>
            <w:r/>
            <w:r>
              <w:rPr>
                <w:b w:val="0"/>
              </w:rPr>
              <w:t>Topology contrast families</w:t>
            </w:r>
          </w:p>
        </w:tc>
        <w:tc>
          <w:tcPr>
            <w:tcW w:type="dxa" w:w="7200"/>
            <w:vAlign w:val="top"/>
          </w:tcPr>
          <w:p>
            <w:pPr>
              <w:spacing w:after="0"/>
            </w:pPr>
            <w:r/>
            <w:r>
              <w:rPr>
                <w:b w:val="0"/>
              </w:rPr>
              <w:t>HS/LS and BHW/GHL visual/topology comparisons</w:t>
            </w:r>
          </w:p>
        </w:tc>
      </w:tr>
      <w:tr>
        <w:tc>
          <w:tcPr>
            <w:tcW w:type="dxa" w:w="3168"/>
            <w:vAlign w:val="top"/>
          </w:tcPr>
          <w:p>
            <w:pPr>
              <w:spacing w:after="0"/>
            </w:pPr>
            <w:r/>
            <w:r>
              <w:rPr>
                <w:b w:val="0"/>
              </w:rPr>
              <w:t>Bridge package</w:t>
            </w:r>
          </w:p>
        </w:tc>
        <w:tc>
          <w:tcPr>
            <w:tcW w:type="dxa" w:w="7200"/>
            <w:vAlign w:val="top"/>
          </w:tcPr>
          <w:p>
            <w:pPr>
              <w:spacing w:after="0"/>
            </w:pPr>
            <w:r/>
            <w:r>
              <w:rPr>
                <w:b w:val="0"/>
              </w:rPr>
              <w:t>feature_engineering_bridge_v1_0 with tables, figures, manifest, and README</w:t>
            </w:r>
          </w:p>
        </w:tc>
      </w:tr>
    </w:tbl>
    <w:p/>
    <w:p>
      <w:pPr>
        <w:pStyle w:val="Heading1"/>
      </w:pPr>
      <w:r>
        <w:t>5. Operational Scale Audit</w:t>
      </w:r>
    </w:p>
    <w:p>
      <w:r>
        <w:t>The initial audit computed feature separation behavior across same-date game pairs. The objective was to determine whether features change meaningfully over operational time intervals. The audit generated master, drift, time-bin, summary, class-rollup, and registry outputs. The central artifact is the Operational Scale Registry, which preserves feature-level movement behavior and recommended operational resolution.</w:t>
      </w:r>
    </w:p>
    <w:p>
      <w:r>
        <w:t>The audit showed that features do not share a single operational scale. Some move slowly and may behave as date-level context fields. Others move enough within a same-day slate to become plausible game-discrimination candidates. This finding directly prevents treating all aspect features as interchangeable scalar predictors.</w:t>
      </w:r>
    </w:p>
    <w:tbl>
      <w:tblPr>
        <w:tblStyle w:val="TableGrid"/>
        <w:tblW w:type="auto" w:w="0"/>
        <w:jc w:val="center"/>
        <w:tblLook w:firstColumn="1" w:firstRow="1" w:lastColumn="0" w:lastRow="0" w:noHBand="0" w:noVBand="1" w:val="04A0"/>
      </w:tblPr>
      <w:tblGrid>
        <w:gridCol w:w="5040"/>
        <w:gridCol w:w="5040"/>
      </w:tblGrid>
      <w:tr>
        <w:tc>
          <w:tcPr>
            <w:tcW w:type="dxa" w:w="4320"/>
            <w:shd w:fill="1F4E79"/>
            <w:vAlign w:val="center"/>
          </w:tcPr>
          <w:p>
            <w:pPr>
              <w:spacing w:after="0"/>
            </w:pPr>
            <w:r/>
            <w:r>
              <w:rPr>
                <w:b/>
                <w:color w:val="FFFFFF"/>
              </w:rPr>
              <w:t>Audit Output</w:t>
            </w:r>
          </w:p>
        </w:tc>
        <w:tc>
          <w:tcPr>
            <w:tcW w:type="dxa" w:w="6048"/>
            <w:shd w:fill="1F4E79"/>
            <w:vAlign w:val="center"/>
          </w:tcPr>
          <w:p>
            <w:pPr>
              <w:spacing w:after="0"/>
            </w:pPr>
            <w:r/>
            <w:r>
              <w:rPr>
                <w:b/>
                <w:color w:val="FFFFFF"/>
              </w:rPr>
              <w:t>Purpose</w:t>
            </w:r>
          </w:p>
        </w:tc>
      </w:tr>
      <w:tr>
        <w:tc>
          <w:tcPr>
            <w:tcW w:type="dxa" w:w="4320"/>
            <w:vAlign w:val="top"/>
          </w:tcPr>
          <w:p>
            <w:pPr>
              <w:spacing w:after="0"/>
            </w:pPr>
            <w:r/>
            <w:r>
              <w:rPr>
                <w:b w:val="0"/>
              </w:rPr>
              <w:t>feature_separation_audit_master.csv</w:t>
            </w:r>
          </w:p>
        </w:tc>
        <w:tc>
          <w:tcPr>
            <w:tcW w:type="dxa" w:w="6048"/>
            <w:vAlign w:val="top"/>
          </w:tcPr>
          <w:p>
            <w:pPr>
              <w:spacing w:after="0"/>
            </w:pPr>
            <w:r/>
            <w:r>
              <w:rPr>
                <w:b w:val="0"/>
              </w:rPr>
              <w:t>Master audit-level output table</w:t>
            </w:r>
          </w:p>
        </w:tc>
      </w:tr>
      <w:tr>
        <w:tc>
          <w:tcPr>
            <w:tcW w:type="dxa" w:w="4320"/>
            <w:vAlign w:val="top"/>
          </w:tcPr>
          <w:p>
            <w:pPr>
              <w:spacing w:after="0"/>
            </w:pPr>
            <w:r/>
            <w:r>
              <w:rPr>
                <w:b w:val="0"/>
              </w:rPr>
              <w:t>feature_separation_audit_dt_bins.csv</w:t>
            </w:r>
          </w:p>
        </w:tc>
        <w:tc>
          <w:tcPr>
            <w:tcW w:type="dxa" w:w="6048"/>
            <w:vAlign w:val="top"/>
          </w:tcPr>
          <w:p>
            <w:pPr>
              <w:spacing w:after="0"/>
            </w:pPr>
            <w:r/>
            <w:r>
              <w:rPr>
                <w:b w:val="0"/>
              </w:rPr>
              <w:t>Time-gap/bin summaries</w:t>
            </w:r>
          </w:p>
        </w:tc>
      </w:tr>
      <w:tr>
        <w:tc>
          <w:tcPr>
            <w:tcW w:type="dxa" w:w="4320"/>
            <w:vAlign w:val="top"/>
          </w:tcPr>
          <w:p>
            <w:pPr>
              <w:spacing w:after="0"/>
            </w:pPr>
            <w:r/>
            <w:r>
              <w:rPr>
                <w:b w:val="0"/>
              </w:rPr>
              <w:t>feature_separation_audit_drift.csv</w:t>
            </w:r>
          </w:p>
        </w:tc>
        <w:tc>
          <w:tcPr>
            <w:tcW w:type="dxa" w:w="6048"/>
            <w:vAlign w:val="top"/>
          </w:tcPr>
          <w:p>
            <w:pPr>
              <w:spacing w:after="0"/>
            </w:pPr>
            <w:r/>
            <w:r>
              <w:rPr>
                <w:b w:val="0"/>
              </w:rPr>
              <w:t>Drift and movement estimates</w:t>
            </w:r>
          </w:p>
        </w:tc>
      </w:tr>
      <w:tr>
        <w:tc>
          <w:tcPr>
            <w:tcW w:type="dxa" w:w="4320"/>
            <w:vAlign w:val="top"/>
          </w:tcPr>
          <w:p>
            <w:pPr>
              <w:spacing w:after="0"/>
            </w:pPr>
            <w:r/>
            <w:r>
              <w:rPr>
                <w:b w:val="0"/>
              </w:rPr>
              <w:t>feature_separation_audit_summary.csv</w:t>
            </w:r>
          </w:p>
        </w:tc>
        <w:tc>
          <w:tcPr>
            <w:tcW w:type="dxa" w:w="6048"/>
            <w:vAlign w:val="top"/>
          </w:tcPr>
          <w:p>
            <w:pPr>
              <w:spacing w:after="0"/>
            </w:pPr>
            <w:r/>
            <w:r>
              <w:rPr>
                <w:b w:val="0"/>
              </w:rPr>
              <w:t>Feature-level summary output</w:t>
            </w:r>
          </w:p>
        </w:tc>
      </w:tr>
      <w:tr>
        <w:tc>
          <w:tcPr>
            <w:tcW w:type="dxa" w:w="4320"/>
            <w:vAlign w:val="top"/>
          </w:tcPr>
          <w:p>
            <w:pPr>
              <w:spacing w:after="0"/>
            </w:pPr>
            <w:r/>
            <w:r>
              <w:rPr>
                <w:b w:val="0"/>
              </w:rPr>
              <w:t>feature_separation_audit_class_rollup.csv</w:t>
            </w:r>
          </w:p>
        </w:tc>
        <w:tc>
          <w:tcPr>
            <w:tcW w:type="dxa" w:w="6048"/>
            <w:vAlign w:val="top"/>
          </w:tcPr>
          <w:p>
            <w:pPr>
              <w:spacing w:after="0"/>
            </w:pPr>
            <w:r/>
            <w:r>
              <w:rPr>
                <w:b w:val="0"/>
              </w:rPr>
              <w:t>Class-level operational summaries</w:t>
            </w:r>
          </w:p>
        </w:tc>
      </w:tr>
      <w:tr>
        <w:tc>
          <w:tcPr>
            <w:tcW w:type="dxa" w:w="4320"/>
            <w:vAlign w:val="top"/>
          </w:tcPr>
          <w:p>
            <w:pPr>
              <w:spacing w:after="0"/>
            </w:pPr>
            <w:r/>
            <w:r>
              <w:rPr>
                <w:b w:val="0"/>
              </w:rPr>
              <w:t>operational_scale_registry_v1_0.csv</w:t>
            </w:r>
          </w:p>
        </w:tc>
        <w:tc>
          <w:tcPr>
            <w:tcW w:type="dxa" w:w="6048"/>
            <w:vAlign w:val="top"/>
          </w:tcPr>
          <w:p>
            <w:pPr>
              <w:spacing w:after="0"/>
            </w:pPr>
            <w:r/>
            <w:r>
              <w:rPr>
                <w:b w:val="0"/>
              </w:rPr>
              <w:t>Primary registry for future feature-engineering reference</w:t>
            </w:r>
          </w:p>
        </w:tc>
      </w:tr>
      <w:tr>
        <w:tc>
          <w:tcPr>
            <w:tcW w:type="dxa" w:w="4320"/>
            <w:vAlign w:val="top"/>
          </w:tcPr>
          <w:p>
            <w:pPr>
              <w:spacing w:after="0"/>
            </w:pPr>
            <w:r/>
            <w:r>
              <w:rPr>
                <w:b w:val="0"/>
              </w:rPr>
              <w:t>Feature_Separation_Audit_Report_v1_1.docx</w:t>
            </w:r>
          </w:p>
        </w:tc>
        <w:tc>
          <w:tcPr>
            <w:tcW w:type="dxa" w:w="6048"/>
            <w:vAlign w:val="top"/>
          </w:tcPr>
          <w:p>
            <w:pPr>
              <w:spacing w:after="0"/>
            </w:pPr>
            <w:r/>
            <w:r>
              <w:rPr>
                <w:b w:val="0"/>
              </w:rPr>
              <w:t>Earlier audit report artifact</w:t>
            </w:r>
          </w:p>
        </w:tc>
      </w:tr>
      <w:tr>
        <w:tc>
          <w:tcPr>
            <w:tcW w:type="dxa" w:w="4320"/>
            <w:vAlign w:val="top"/>
          </w:tcPr>
          <w:p>
            <w:pPr>
              <w:spacing w:after="0"/>
            </w:pPr>
            <w:r/>
            <w:r>
              <w:rPr>
                <w:b w:val="0"/>
              </w:rPr>
              <w:t>MILESTONE_MANIFEST.md</w:t>
            </w:r>
          </w:p>
        </w:tc>
        <w:tc>
          <w:tcPr>
            <w:tcW w:type="dxa" w:w="6048"/>
            <w:vAlign w:val="top"/>
          </w:tcPr>
          <w:p>
            <w:pPr>
              <w:spacing w:after="0"/>
            </w:pPr>
            <w:r/>
            <w:r>
              <w:rPr>
                <w:b w:val="0"/>
              </w:rPr>
              <w:t>Milestone inventory and provenance record</w:t>
            </w:r>
          </w:p>
        </w:tc>
      </w:tr>
    </w:tbl>
    <w:p/>
    <w:p>
      <w:pPr>
        <w:pStyle w:val="Heading1"/>
      </w:pPr>
      <w:r>
        <w:t>6. Expansion Into Topological Cartography</w:t>
      </w:r>
    </w:p>
    <w:p>
      <w:r>
        <w:t>During interpretation of feature movement and ranked local lift behavior, it became clear that isolated peak degree summaries did not adequately describe the field behavior. Some features showed braided competition between HS and LS curves; others displayed broad basins; others showed sharp local rupture-like structures. The audit therefore expanded into full-field topological cartography.</w:t>
      </w:r>
    </w:p>
    <w:p>
      <w:r>
        <w:t>Topological cartography treated each feature as a 360-degree field and compared competing outcome curves across the full angular domain. This allowed the project to measure crossing density, dominance persistence, spectral entropy, maximum dominance differential, and provisional topology family.</w:t>
      </w:r>
    </w:p>
    <w:tbl>
      <w:tblPr>
        <w:tblStyle w:val="TableGrid"/>
        <w:tblW w:type="auto" w:w="0"/>
        <w:jc w:val="center"/>
        <w:tblLook w:firstColumn="1" w:firstRow="1" w:lastColumn="0" w:lastRow="0" w:noHBand="0" w:noVBand="1" w:val="04A0"/>
      </w:tblPr>
      <w:tblGrid>
        <w:gridCol w:w="5040"/>
        <w:gridCol w:w="5040"/>
      </w:tblGrid>
      <w:tr>
        <w:tc>
          <w:tcPr>
            <w:tcW w:type="dxa" w:w="3312"/>
            <w:shd w:fill="1F4E79"/>
            <w:vAlign w:val="center"/>
          </w:tcPr>
          <w:p>
            <w:pPr>
              <w:spacing w:after="0"/>
            </w:pPr>
            <w:r/>
            <w:r>
              <w:rPr>
                <w:b/>
                <w:color w:val="FFFFFF"/>
              </w:rPr>
              <w:t>Topology Metric</w:t>
            </w:r>
          </w:p>
        </w:tc>
        <w:tc>
          <w:tcPr>
            <w:tcW w:type="dxa" w:w="7056"/>
            <w:shd w:fill="1F4E79"/>
            <w:vAlign w:val="center"/>
          </w:tcPr>
          <w:p>
            <w:pPr>
              <w:spacing w:after="0"/>
            </w:pPr>
            <w:r/>
            <w:r>
              <w:rPr>
                <w:b/>
                <w:color w:val="FFFFFF"/>
              </w:rPr>
              <w:t>Operational Meaning</w:t>
            </w:r>
          </w:p>
        </w:tc>
      </w:tr>
      <w:tr>
        <w:tc>
          <w:tcPr>
            <w:tcW w:type="dxa" w:w="3312"/>
            <w:vAlign w:val="top"/>
          </w:tcPr>
          <w:p>
            <w:pPr>
              <w:spacing w:after="0"/>
            </w:pPr>
            <w:r/>
            <w:r>
              <w:rPr>
                <w:b w:val="0"/>
              </w:rPr>
              <w:t>Crossing density</w:t>
            </w:r>
          </w:p>
        </w:tc>
        <w:tc>
          <w:tcPr>
            <w:tcW w:type="dxa" w:w="7056"/>
            <w:vAlign w:val="top"/>
          </w:tcPr>
          <w:p>
            <w:pPr>
              <w:spacing w:after="0"/>
            </w:pPr>
            <w:r/>
            <w:r>
              <w:rPr>
                <w:b w:val="0"/>
              </w:rPr>
              <w:t>Frequency of outcome-regime exchanges across the angular field; high values indicate transition-rich fields</w:t>
            </w:r>
          </w:p>
        </w:tc>
      </w:tr>
      <w:tr>
        <w:tc>
          <w:tcPr>
            <w:tcW w:type="dxa" w:w="3312"/>
            <w:vAlign w:val="top"/>
          </w:tcPr>
          <w:p>
            <w:pPr>
              <w:spacing w:after="0"/>
            </w:pPr>
            <w:r/>
            <w:r>
              <w:rPr>
                <w:b w:val="0"/>
              </w:rPr>
              <w:t>Dominance persistence</w:t>
            </w:r>
          </w:p>
        </w:tc>
        <w:tc>
          <w:tcPr>
            <w:tcW w:type="dxa" w:w="7056"/>
            <w:vAlign w:val="top"/>
          </w:tcPr>
          <w:p>
            <w:pPr>
              <w:spacing w:after="0"/>
            </w:pPr>
            <w:r/>
            <w:r>
              <w:rPr>
                <w:b w:val="0"/>
              </w:rPr>
              <w:t>Longest uninterrupted angular span controlled by one outcome regime; high values indicate basin-like coherence</w:t>
            </w:r>
          </w:p>
        </w:tc>
      </w:tr>
      <w:tr>
        <w:tc>
          <w:tcPr>
            <w:tcW w:type="dxa" w:w="3312"/>
            <w:vAlign w:val="top"/>
          </w:tcPr>
          <w:p>
            <w:pPr>
              <w:spacing w:after="0"/>
            </w:pPr>
            <w:r/>
            <w:r>
              <w:rPr>
                <w:b w:val="0"/>
              </w:rPr>
              <w:t>Spectral entropy</w:t>
            </w:r>
          </w:p>
        </w:tc>
        <w:tc>
          <w:tcPr>
            <w:tcW w:type="dxa" w:w="7056"/>
            <w:vAlign w:val="top"/>
          </w:tcPr>
          <w:p>
            <w:pPr>
              <w:spacing w:after="0"/>
            </w:pPr>
            <w:r/>
            <w:r>
              <w:rPr>
                <w:b w:val="0"/>
              </w:rPr>
              <w:t>Complexity/turbulence of the field; higher values indicate more fragmented oscillatory structure</w:t>
            </w:r>
          </w:p>
        </w:tc>
      </w:tr>
      <w:tr>
        <w:tc>
          <w:tcPr>
            <w:tcW w:type="dxa" w:w="3312"/>
            <w:vAlign w:val="top"/>
          </w:tcPr>
          <w:p>
            <w:pPr>
              <w:spacing w:after="0"/>
            </w:pPr>
            <w:r/>
            <w:r>
              <w:rPr>
                <w:b w:val="0"/>
              </w:rPr>
              <w:t>Maximum dominance differential</w:t>
            </w:r>
          </w:p>
        </w:tc>
        <w:tc>
          <w:tcPr>
            <w:tcW w:type="dxa" w:w="7056"/>
            <w:vAlign w:val="top"/>
          </w:tcPr>
          <w:p>
            <w:pPr>
              <w:spacing w:after="0"/>
            </w:pPr>
            <w:r/>
            <w:r>
              <w:rPr>
                <w:b w:val="0"/>
              </w:rPr>
              <w:t>Strongest local polarity separation between competing outcomes</w:t>
            </w:r>
          </w:p>
        </w:tc>
      </w:tr>
      <w:tr>
        <w:tc>
          <w:tcPr>
            <w:tcW w:type="dxa" w:w="3312"/>
            <w:vAlign w:val="top"/>
          </w:tcPr>
          <w:p>
            <w:pPr>
              <w:spacing w:after="0"/>
            </w:pPr>
            <w:r/>
            <w:r>
              <w:rPr>
                <w:b w:val="0"/>
              </w:rPr>
              <w:t>Topology family</w:t>
            </w:r>
          </w:p>
        </w:tc>
        <w:tc>
          <w:tcPr>
            <w:tcW w:type="dxa" w:w="7056"/>
            <w:vAlign w:val="top"/>
          </w:tcPr>
          <w:p>
            <w:pPr>
              <w:spacing w:after="0"/>
            </w:pPr>
            <w:r/>
            <w:r>
              <w:rPr>
                <w:b w:val="0"/>
              </w:rPr>
              <w:t>Provisional field archetype derived from structural metrics and visual inspection</w:t>
            </w:r>
          </w:p>
        </w:tc>
      </w:tr>
    </w:tbl>
    <w:p/>
    <w:p>
      <w:pPr>
        <w:pStyle w:val="Heading1"/>
      </w:pPr>
      <w:r>
        <w:t>7. Topology Archetypes Identified</w:t>
      </w:r>
    </w:p>
    <w:p>
      <w:r>
        <w:t>The topology phase identified recurring geometric archetypes. These should be treated as exploratory categories, not fixed theoretical entities. Their purpose is to preserve observed field behavior for later testing.</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F4E79"/>
            <w:vAlign w:val="center"/>
          </w:tcPr>
          <w:p>
            <w:pPr>
              <w:spacing w:after="0"/>
            </w:pPr>
            <w:r/>
            <w:r>
              <w:rPr>
                <w:b/>
                <w:color w:val="FFFFFF"/>
              </w:rPr>
              <w:t>Archetype</w:t>
            </w:r>
          </w:p>
        </w:tc>
        <w:tc>
          <w:tcPr>
            <w:tcW w:type="dxa" w:w="4896"/>
            <w:shd w:fill="1F4E79"/>
            <w:vAlign w:val="center"/>
          </w:tcPr>
          <w:p>
            <w:pPr>
              <w:spacing w:after="0"/>
            </w:pPr>
            <w:r/>
            <w:r>
              <w:rPr>
                <w:b/>
                <w:color w:val="FFFFFF"/>
              </w:rPr>
              <w:t>Description</w:t>
            </w:r>
          </w:p>
        </w:tc>
        <w:tc>
          <w:tcPr>
            <w:tcW w:type="dxa" w:w="2304"/>
            <w:shd w:fill="1F4E79"/>
            <w:vAlign w:val="center"/>
          </w:tcPr>
          <w:p>
            <w:pPr>
              <w:spacing w:after="0"/>
            </w:pPr>
            <w:r/>
            <w:r>
              <w:rPr>
                <w:b/>
                <w:color w:val="FFFFFF"/>
              </w:rPr>
              <w:t>Example(s)</w:t>
            </w:r>
          </w:p>
        </w:tc>
      </w:tr>
      <w:tr>
        <w:tc>
          <w:tcPr>
            <w:tcW w:type="dxa" w:w="3168"/>
            <w:vAlign w:val="top"/>
          </w:tcPr>
          <w:p>
            <w:pPr>
              <w:spacing w:after="0"/>
            </w:pPr>
            <w:r/>
            <w:r>
              <w:rPr>
                <w:b w:val="0"/>
              </w:rPr>
              <w:t>Same-slate / braided discriminator fields</w:t>
            </w:r>
          </w:p>
        </w:tc>
        <w:tc>
          <w:tcPr>
            <w:tcW w:type="dxa" w:w="4896"/>
            <w:vAlign w:val="top"/>
          </w:tcPr>
          <w:p>
            <w:pPr>
              <w:spacing w:after="0"/>
            </w:pPr>
            <w:r/>
            <w:r>
              <w:rPr>
                <w:b w:val="0"/>
              </w:rPr>
              <w:t>Fields with high boundary density and repeated regime crossings. These may distinguish games within a slate if movement is sufficient.</w:t>
            </w:r>
          </w:p>
        </w:tc>
        <w:tc>
          <w:tcPr>
            <w:tcW w:type="dxa" w:w="2304"/>
            <w:vAlign w:val="top"/>
          </w:tcPr>
          <w:p>
            <w:pPr>
              <w:spacing w:after="0"/>
            </w:pPr>
            <w:r/>
            <w:r>
              <w:rPr>
                <w:b w:val="0"/>
              </w:rPr>
              <w:t>Asc_x_VS_G-AZ; Asc_x_MO_G-AZ; Asc_x_CE_G-AZ</w:t>
            </w:r>
          </w:p>
        </w:tc>
      </w:tr>
      <w:tr>
        <w:tc>
          <w:tcPr>
            <w:tcW w:type="dxa" w:w="3168"/>
            <w:vAlign w:val="top"/>
          </w:tcPr>
          <w:p>
            <w:pPr>
              <w:spacing w:after="0"/>
            </w:pPr>
            <w:r/>
            <w:r>
              <w:rPr>
                <w:b w:val="0"/>
              </w:rPr>
              <w:t>Basin-regime fields</w:t>
            </w:r>
          </w:p>
        </w:tc>
        <w:tc>
          <w:tcPr>
            <w:tcW w:type="dxa" w:w="4896"/>
            <w:vAlign w:val="top"/>
          </w:tcPr>
          <w:p>
            <w:pPr>
              <w:spacing w:after="0"/>
            </w:pPr>
            <w:r/>
            <w:r>
              <w:rPr>
                <w:b w:val="0"/>
              </w:rPr>
              <w:t>Fields with broad uninterrupted dominance regions and large persistence. These may represent stable environment or contextual regimes.</w:t>
            </w:r>
          </w:p>
        </w:tc>
        <w:tc>
          <w:tcPr>
            <w:tcW w:type="dxa" w:w="2304"/>
            <w:vAlign w:val="top"/>
          </w:tcPr>
          <w:p>
            <w:pPr>
              <w:spacing w:after="0"/>
            </w:pPr>
            <w:r/>
            <w:r>
              <w:rPr>
                <w:b w:val="0"/>
              </w:rPr>
              <w:t>Asc_x_NN_G-AZ; EA_x_JU_G-AZ; Asc_x_MA_G-AZ</w:t>
            </w:r>
          </w:p>
        </w:tc>
      </w:tr>
      <w:tr>
        <w:tc>
          <w:tcPr>
            <w:tcW w:type="dxa" w:w="3168"/>
            <w:vAlign w:val="top"/>
          </w:tcPr>
          <w:p>
            <w:pPr>
              <w:spacing w:after="0"/>
            </w:pPr>
            <w:r/>
            <w:r>
              <w:rPr>
                <w:b w:val="0"/>
              </w:rPr>
              <w:t>Rupture / instability fields</w:t>
            </w:r>
          </w:p>
        </w:tc>
        <w:tc>
          <w:tcPr>
            <w:tcW w:type="dxa" w:w="4896"/>
            <w:vAlign w:val="top"/>
          </w:tcPr>
          <w:p>
            <w:pPr>
              <w:spacing w:after="0"/>
            </w:pPr>
            <w:r/>
            <w:r>
              <w:rPr>
                <w:b w:val="0"/>
              </w:rPr>
              <w:t>Fields with concentrated local polarity, short persistence, and isolated topology. These require later stability checks.</w:t>
            </w:r>
          </w:p>
        </w:tc>
        <w:tc>
          <w:tcPr>
            <w:tcW w:type="dxa" w:w="2304"/>
            <w:vAlign w:val="top"/>
          </w:tcPr>
          <w:p>
            <w:pPr>
              <w:spacing w:after="0"/>
            </w:pPr>
            <w:r/>
            <w:r>
              <w:rPr>
                <w:b w:val="0"/>
              </w:rPr>
              <w:t>Asc_x_NE_G-AZ in BHW/GHL</w:t>
            </w:r>
          </w:p>
        </w:tc>
      </w:tr>
      <w:tr>
        <w:tc>
          <w:tcPr>
            <w:tcW w:type="dxa" w:w="3168"/>
            <w:vAlign w:val="top"/>
          </w:tcPr>
          <w:p>
            <w:pPr>
              <w:spacing w:after="0"/>
            </w:pPr>
            <w:r/>
            <w:r>
              <w:rPr>
                <w:b w:val="0"/>
              </w:rPr>
              <w:t>Fractured turbulence fields</w:t>
            </w:r>
          </w:p>
        </w:tc>
        <w:tc>
          <w:tcPr>
            <w:tcW w:type="dxa" w:w="4896"/>
            <w:vAlign w:val="top"/>
          </w:tcPr>
          <w:p>
            <w:pPr>
              <w:spacing w:after="0"/>
            </w:pPr>
            <w:r/>
            <w:r>
              <w:rPr>
                <w:b w:val="0"/>
              </w:rPr>
              <w:t>Fields with fragmented, irregular, or high-entropy behavior that may require careful validation before use.</w:t>
            </w:r>
          </w:p>
        </w:tc>
        <w:tc>
          <w:tcPr>
            <w:tcW w:type="dxa" w:w="2304"/>
            <w:vAlign w:val="top"/>
          </w:tcPr>
          <w:p>
            <w:pPr>
              <w:spacing w:after="0"/>
            </w:pPr>
            <w:r/>
            <w:r>
              <w:rPr>
                <w:b w:val="0"/>
              </w:rPr>
              <w:t>Multiple HS/LS and BHW/GHL candidates</w:t>
            </w:r>
          </w:p>
        </w:tc>
      </w:tr>
    </w:tbl>
    <w:p/>
    <w:p>
      <w:pPr>
        <w:pStyle w:val="Heading1"/>
      </w:pPr>
      <w:r>
        <w:t>8. Nearest-Neighbor Topology Analysis</w:t>
      </w:r>
    </w:p>
    <w:p>
      <w:r>
        <w:t>Nearest-neighbor topology analysis compared fields in a multi-metric topology space. The purpose was to identify whether features that appear unrelated by planetary labels or coordinate frames nevertheless behave similarly as geometric fields. The analysis supported the idea that certain field structures recur across different aspect features, and that topology families may be numerically detectable rather than only visually named.</w:t>
      </w:r>
    </w:p>
    <w:p>
      <w:r>
        <w:t>This analysis remains exploratory. It does not prove generalizable predictive value. It does, however, provide a structured way to compare field shapes and to identify possible topology relatives for later validation.</w:t>
      </w:r>
    </w:p>
    <w:p>
      <w:pPr>
        <w:pStyle w:val="Heading1"/>
      </w:pPr>
      <w:r>
        <w:t>9. Feature Engineering Bridge</w:t>
      </w:r>
    </w:p>
    <w:p>
      <w:r>
        <w:t>The Feature Engineering Bridge joined topology metrics to operational movement behavior. This was the crucial step that brought the topology work back into the MLB modeling problem. A feature is not useful simply because it has a dramatic topology. It must also be operationally traversable within the game-day structure if it is expected to distinguish games on the same slate.</w:t>
      </w:r>
    </w:p>
    <w:p>
      <w:r>
        <w:t>The corrected bridge registry populated same-slate movement scores and recomputed engineering-use recommendations. The bridge classified fields into same-slate discriminators, basin-regime features, and rupture or instability features. These are not final ML inputs; they are exploratory labels to guide future feature-engineering design.</w:t>
      </w:r>
    </w:p>
    <w:tbl>
      <w:tblPr>
        <w:tblStyle w:val="TableGrid"/>
        <w:tblW w:type="auto" w:w="0"/>
        <w:jc w:val="center"/>
        <w:tblLook w:firstColumn="1" w:firstRow="1" w:lastColumn="0" w:lastRow="0" w:noHBand="0" w:noVBand="1" w:val="04A0"/>
      </w:tblPr>
      <w:tblGrid>
        <w:gridCol w:w="5040"/>
        <w:gridCol w:w="5040"/>
      </w:tblGrid>
      <w:tr>
        <w:tc>
          <w:tcPr>
            <w:tcW w:type="dxa" w:w="4608"/>
            <w:shd w:fill="1F4E79"/>
            <w:vAlign w:val="center"/>
          </w:tcPr>
          <w:p>
            <w:pPr>
              <w:spacing w:after="0"/>
            </w:pPr>
            <w:r/>
            <w:r>
              <w:rPr>
                <w:b/>
                <w:color w:val="FFFFFF"/>
              </w:rPr>
              <w:t>Bridge Finding</w:t>
            </w:r>
          </w:p>
        </w:tc>
        <w:tc>
          <w:tcPr>
            <w:tcW w:type="dxa" w:w="5760"/>
            <w:shd w:fill="1F4E79"/>
            <w:vAlign w:val="center"/>
          </w:tcPr>
          <w:p>
            <w:pPr>
              <w:spacing w:after="0"/>
            </w:pPr>
            <w:r/>
            <w:r>
              <w:rPr>
                <w:b/>
                <w:color w:val="FFFFFF"/>
              </w:rPr>
              <w:t>Interpretation</w:t>
            </w:r>
          </w:p>
        </w:tc>
      </w:tr>
      <w:tr>
        <w:tc>
          <w:tcPr>
            <w:tcW w:type="dxa" w:w="4608"/>
            <w:vAlign w:val="top"/>
          </w:tcPr>
          <w:p>
            <w:pPr>
              <w:spacing w:after="0"/>
            </w:pPr>
            <w:r/>
            <w:r>
              <w:rPr>
                <w:b w:val="0"/>
              </w:rPr>
              <w:t>Asc_x_NE_G-AZ | BHW/GHL retained extreme local polarity</w:t>
            </w:r>
          </w:p>
        </w:tc>
        <w:tc>
          <w:tcPr>
            <w:tcW w:type="dxa" w:w="5760"/>
            <w:vAlign w:val="top"/>
          </w:tcPr>
          <w:p>
            <w:pPr>
              <w:spacing w:after="0"/>
            </w:pPr>
            <w:r/>
            <w:r>
              <w:rPr>
                <w:b w:val="0"/>
              </w:rPr>
              <w:t>Candidate rupture/instability field; important but must be handled cautiously</w:t>
            </w:r>
          </w:p>
        </w:tc>
      </w:tr>
      <w:tr>
        <w:tc>
          <w:tcPr>
            <w:tcW w:type="dxa" w:w="4608"/>
            <w:vAlign w:val="top"/>
          </w:tcPr>
          <w:p>
            <w:pPr>
              <w:spacing w:after="0"/>
            </w:pPr>
            <w:r/>
            <w:r>
              <w:rPr>
                <w:b w:val="0"/>
              </w:rPr>
              <w:t>Asc_x_NN_G-AZ showed high persistence</w:t>
            </w:r>
          </w:p>
        </w:tc>
        <w:tc>
          <w:tcPr>
            <w:tcW w:type="dxa" w:w="5760"/>
            <w:vAlign w:val="top"/>
          </w:tcPr>
          <w:p>
            <w:pPr>
              <w:spacing w:after="0"/>
            </w:pPr>
            <w:r/>
            <w:r>
              <w:rPr>
                <w:b w:val="0"/>
              </w:rPr>
              <w:t>Strong basin-regime candidate; likely more contextual than sharply discriminative</w:t>
            </w:r>
          </w:p>
        </w:tc>
      </w:tr>
      <w:tr>
        <w:tc>
          <w:tcPr>
            <w:tcW w:type="dxa" w:w="4608"/>
            <w:vAlign w:val="top"/>
          </w:tcPr>
          <w:p>
            <w:pPr>
              <w:spacing w:after="0"/>
            </w:pPr>
            <w:r/>
            <w:r>
              <w:rPr>
                <w:b w:val="0"/>
              </w:rPr>
              <w:t>EA_x_JU_G-AZ showed broad persistence</w:t>
            </w:r>
          </w:p>
        </w:tc>
        <w:tc>
          <w:tcPr>
            <w:tcW w:type="dxa" w:w="5760"/>
            <w:vAlign w:val="top"/>
          </w:tcPr>
          <w:p>
            <w:pPr>
              <w:spacing w:after="0"/>
            </w:pPr>
            <w:r/>
            <w:r>
              <w:rPr>
                <w:b w:val="0"/>
              </w:rPr>
              <w:t>Another basin candidate with coherent territory</w:t>
            </w:r>
          </w:p>
        </w:tc>
      </w:tr>
      <w:tr>
        <w:tc>
          <w:tcPr>
            <w:tcW w:type="dxa" w:w="4608"/>
            <w:vAlign w:val="top"/>
          </w:tcPr>
          <w:p>
            <w:pPr>
              <w:spacing w:after="0"/>
            </w:pPr>
            <w:r/>
            <w:r>
              <w:rPr>
                <w:b w:val="0"/>
              </w:rPr>
              <w:t>Asc_x_VS_G-AZ remained boundary-rich</w:t>
            </w:r>
          </w:p>
        </w:tc>
        <w:tc>
          <w:tcPr>
            <w:tcW w:type="dxa" w:w="5760"/>
            <w:vAlign w:val="top"/>
          </w:tcPr>
          <w:p>
            <w:pPr>
              <w:spacing w:after="0"/>
            </w:pPr>
            <w:r/>
            <w:r>
              <w:rPr>
                <w:b w:val="0"/>
              </w:rPr>
              <w:t>Braided discriminator field; valuable for studying same-slate transition behavior</w:t>
            </w:r>
          </w:p>
        </w:tc>
      </w:tr>
      <w:tr>
        <w:tc>
          <w:tcPr>
            <w:tcW w:type="dxa" w:w="4608"/>
            <w:vAlign w:val="top"/>
          </w:tcPr>
          <w:p>
            <w:pPr>
              <w:spacing w:after="0"/>
            </w:pPr>
            <w:r/>
            <w:r>
              <w:rPr>
                <w:b w:val="0"/>
              </w:rPr>
              <w:t>Asc_x_MA_G-AZ combined movement and persistence</w:t>
            </w:r>
          </w:p>
        </w:tc>
        <w:tc>
          <w:tcPr>
            <w:tcW w:type="dxa" w:w="5760"/>
            <w:vAlign w:val="top"/>
          </w:tcPr>
          <w:p>
            <w:pPr>
              <w:spacing w:after="0"/>
            </w:pPr>
            <w:r/>
            <w:r>
              <w:rPr>
                <w:b w:val="0"/>
              </w:rPr>
              <w:t>Potentially important hybrid candidate for later model-aware feature engineering</w:t>
            </w:r>
          </w:p>
        </w:tc>
      </w:tr>
    </w:tbl>
    <w:p/>
    <w:p>
      <w:pPr>
        <w:pStyle w:val="Heading1"/>
      </w:pPr>
      <w:r>
        <w:t>10. Visual Results and Illustrated Report</w:t>
      </w:r>
    </w:p>
    <w:p>
      <w:r>
        <w:t>A visual results package was assembled to preserve the main contact sheets and summary tables. The illustrated bridge report was created to explain topology behavior visually and narratively. These visual artifacts are critical because much of the topology work is best understood by seeing how the outcome curves cross, separate, recombine, or rupture across the 360-degree field.</w:t>
      </w:r>
    </w:p>
    <w:tbl>
      <w:tblPr>
        <w:tblStyle w:val="TableGrid"/>
        <w:tblW w:type="auto" w:w="0"/>
        <w:jc w:val="center"/>
        <w:tblLook w:firstColumn="1" w:firstRow="1" w:lastColumn="0" w:lastRow="0" w:noHBand="0" w:noVBand="1" w:val="04A0"/>
      </w:tblPr>
      <w:tblGrid>
        <w:gridCol w:w="5040"/>
        <w:gridCol w:w="5040"/>
      </w:tblGrid>
      <w:tr>
        <w:tc>
          <w:tcPr>
            <w:tcW w:type="dxa" w:w="4752"/>
            <w:shd w:fill="1F4E79"/>
            <w:vAlign w:val="center"/>
          </w:tcPr>
          <w:p>
            <w:pPr>
              <w:spacing w:after="0"/>
            </w:pPr>
            <w:r/>
            <w:r>
              <w:rPr>
                <w:b/>
                <w:color w:val="FFFFFF"/>
              </w:rPr>
              <w:t>Visual Artifact</w:t>
            </w:r>
          </w:p>
        </w:tc>
        <w:tc>
          <w:tcPr>
            <w:tcW w:type="dxa" w:w="5616"/>
            <w:shd w:fill="1F4E79"/>
            <w:vAlign w:val="center"/>
          </w:tcPr>
          <w:p>
            <w:pPr>
              <w:spacing w:after="0"/>
            </w:pPr>
            <w:r/>
            <w:r>
              <w:rPr>
                <w:b/>
                <w:color w:val="FFFFFF"/>
              </w:rPr>
              <w:t>Role</w:t>
            </w:r>
          </w:p>
        </w:tc>
      </w:tr>
      <w:tr>
        <w:tc>
          <w:tcPr>
            <w:tcW w:type="dxa" w:w="4752"/>
            <w:vAlign w:val="top"/>
          </w:tcPr>
          <w:p>
            <w:pPr>
              <w:spacing w:after="0"/>
            </w:pPr>
            <w:r/>
            <w:r>
              <w:rPr>
                <w:b w:val="0"/>
              </w:rPr>
              <w:t>HS_LS_top10_contact_sheet.png</w:t>
            </w:r>
          </w:p>
        </w:tc>
        <w:tc>
          <w:tcPr>
            <w:tcW w:type="dxa" w:w="5616"/>
            <w:vAlign w:val="top"/>
          </w:tcPr>
          <w:p>
            <w:pPr>
              <w:spacing w:after="0"/>
            </w:pPr>
            <w:r/>
            <w:r>
              <w:rPr>
                <w:b w:val="0"/>
              </w:rPr>
              <w:t>Visual overview of leading HS/LS topology maps</w:t>
            </w:r>
          </w:p>
        </w:tc>
      </w:tr>
      <w:tr>
        <w:tc>
          <w:tcPr>
            <w:tcW w:type="dxa" w:w="4752"/>
            <w:vAlign w:val="top"/>
          </w:tcPr>
          <w:p>
            <w:pPr>
              <w:spacing w:after="0"/>
            </w:pPr>
            <w:r/>
            <w:r>
              <w:rPr>
                <w:b w:val="0"/>
              </w:rPr>
              <w:t>BHW_GHL_top10_contact_sheet.png</w:t>
            </w:r>
          </w:p>
        </w:tc>
        <w:tc>
          <w:tcPr>
            <w:tcW w:type="dxa" w:w="5616"/>
            <w:vAlign w:val="top"/>
          </w:tcPr>
          <w:p>
            <w:pPr>
              <w:spacing w:after="0"/>
            </w:pPr>
            <w:r/>
            <w:r>
              <w:rPr>
                <w:b w:val="0"/>
              </w:rPr>
              <w:t>Visual overview of leading margin-polarity topology maps</w:t>
            </w:r>
          </w:p>
        </w:tc>
      </w:tr>
      <w:tr>
        <w:tc>
          <w:tcPr>
            <w:tcW w:type="dxa" w:w="4752"/>
            <w:vAlign w:val="top"/>
          </w:tcPr>
          <w:p>
            <w:pPr>
              <w:spacing w:after="0"/>
            </w:pPr>
            <w:r/>
            <w:r>
              <w:rPr>
                <w:b w:val="0"/>
              </w:rPr>
              <w:t>03_HS_LS_top10_summary_table.png</w:t>
            </w:r>
          </w:p>
        </w:tc>
        <w:tc>
          <w:tcPr>
            <w:tcW w:type="dxa" w:w="5616"/>
            <w:vAlign w:val="top"/>
          </w:tcPr>
          <w:p>
            <w:pPr>
              <w:spacing w:after="0"/>
            </w:pPr>
            <w:r/>
            <w:r>
              <w:rPr>
                <w:b w:val="0"/>
              </w:rPr>
              <w:t>Summary table for HS/LS visual outputs</w:t>
            </w:r>
          </w:p>
        </w:tc>
      </w:tr>
      <w:tr>
        <w:tc>
          <w:tcPr>
            <w:tcW w:type="dxa" w:w="4752"/>
            <w:vAlign w:val="top"/>
          </w:tcPr>
          <w:p>
            <w:pPr>
              <w:spacing w:after="0"/>
            </w:pPr>
            <w:r/>
            <w:r>
              <w:rPr>
                <w:b w:val="0"/>
              </w:rPr>
              <w:t>04_BHW_GHL_top10_summary_table.png</w:t>
            </w:r>
          </w:p>
        </w:tc>
        <w:tc>
          <w:tcPr>
            <w:tcW w:type="dxa" w:w="5616"/>
            <w:vAlign w:val="top"/>
          </w:tcPr>
          <w:p>
            <w:pPr>
              <w:spacing w:after="0"/>
            </w:pPr>
            <w:r/>
            <w:r>
              <w:rPr>
                <w:b w:val="0"/>
              </w:rPr>
              <w:t>Summary table for BHW/GHL visual outputs</w:t>
            </w:r>
          </w:p>
        </w:tc>
      </w:tr>
      <w:tr>
        <w:tc>
          <w:tcPr>
            <w:tcW w:type="dxa" w:w="4752"/>
            <w:vAlign w:val="top"/>
          </w:tcPr>
          <w:p>
            <w:pPr>
              <w:spacing w:after="0"/>
            </w:pPr>
            <w:r/>
            <w:r>
              <w:rPr>
                <w:b w:val="0"/>
              </w:rPr>
              <w:t>OMNI_Feature_Engineering_Bridge_Report_v1_1_Illustrated.docx</w:t>
            </w:r>
          </w:p>
        </w:tc>
        <w:tc>
          <w:tcPr>
            <w:tcW w:type="dxa" w:w="5616"/>
            <w:vAlign w:val="top"/>
          </w:tcPr>
          <w:p>
            <w:pPr>
              <w:spacing w:after="0"/>
            </w:pPr>
            <w:r/>
            <w:r>
              <w:rPr>
                <w:b w:val="0"/>
              </w:rPr>
              <w:t>Narrative illustrated report connecting topology and feature engineering</w:t>
            </w:r>
          </w:p>
        </w:tc>
      </w:tr>
      <w:tr>
        <w:tc>
          <w:tcPr>
            <w:tcW w:type="dxa" w:w="4752"/>
            <w:vAlign w:val="top"/>
          </w:tcPr>
          <w:p>
            <w:pPr>
              <w:spacing w:after="0"/>
            </w:pPr>
            <w:r/>
            <w:r>
              <w:rPr>
                <w:b w:val="0"/>
              </w:rPr>
              <w:t>README_VISUAL_RESULTS_PACKAGE.txt</w:t>
            </w:r>
          </w:p>
        </w:tc>
        <w:tc>
          <w:tcPr>
            <w:tcW w:type="dxa" w:w="5616"/>
            <w:vAlign w:val="top"/>
          </w:tcPr>
          <w:p>
            <w:pPr>
              <w:spacing w:after="0"/>
            </w:pPr>
            <w:r/>
            <w:r>
              <w:rPr>
                <w:b w:val="0"/>
              </w:rPr>
              <w:t>Package-level explanatory README</w:t>
            </w:r>
          </w:p>
        </w:tc>
      </w:tr>
    </w:tbl>
    <w:p/>
    <w:p>
      <w:pPr>
        <w:pStyle w:val="Heading1"/>
      </w:pPr>
      <w:r>
        <w:t>11. Final Deliverables Inventory</w:t>
      </w:r>
    </w:p>
    <w:p>
      <w:r>
        <w:t>The final deliverables are distributed across Google Drive, local downloads, and the GitHub repository. The Google Drive archive remains the complete storage location for large exploratory outputs. GitHub should contain curated reports, summary files, manifests, and compact visual materials rather than every exploratory intermediate file unless the user explicitly decides otherwise.</w:t>
      </w:r>
    </w:p>
    <w:tbl>
      <w:tblPr>
        <w:tblStyle w:val="TableGrid"/>
        <w:tblW w:type="auto" w:w="0"/>
        <w:jc w:val="center"/>
        <w:tblLook w:firstColumn="1" w:firstRow="1" w:lastColumn="0" w:lastRow="0" w:noHBand="0" w:noVBand="1" w:val="04A0"/>
      </w:tblPr>
      <w:tblGrid>
        <w:gridCol w:w="5040"/>
        <w:gridCol w:w="5040"/>
      </w:tblGrid>
      <w:tr>
        <w:tc>
          <w:tcPr>
            <w:tcW w:type="dxa" w:w="3600"/>
            <w:shd w:fill="1F4E79"/>
            <w:vAlign w:val="center"/>
          </w:tcPr>
          <w:p>
            <w:pPr>
              <w:spacing w:after="0"/>
            </w:pPr>
            <w:r/>
            <w:r>
              <w:rPr>
                <w:b/>
                <w:color w:val="FFFFFF"/>
              </w:rPr>
              <w:t>Deliverable Group</w:t>
            </w:r>
          </w:p>
        </w:tc>
        <w:tc>
          <w:tcPr>
            <w:tcW w:type="dxa" w:w="6768"/>
            <w:shd w:fill="1F4E79"/>
            <w:vAlign w:val="center"/>
          </w:tcPr>
          <w:p>
            <w:pPr>
              <w:spacing w:after="0"/>
            </w:pPr>
            <w:r/>
            <w:r>
              <w:rPr>
                <w:b/>
                <w:color w:val="FFFFFF"/>
              </w:rPr>
              <w:t>Expected Location / Notes</w:t>
            </w:r>
          </w:p>
        </w:tc>
      </w:tr>
      <w:tr>
        <w:tc>
          <w:tcPr>
            <w:tcW w:type="dxa" w:w="3600"/>
            <w:vAlign w:val="top"/>
          </w:tcPr>
          <w:p>
            <w:pPr>
              <w:spacing w:after="0"/>
            </w:pPr>
            <w:r/>
            <w:r>
              <w:rPr>
                <w:b w:val="0"/>
              </w:rPr>
              <w:t>Feature Separation Audit core files</w:t>
            </w:r>
          </w:p>
        </w:tc>
        <w:tc>
          <w:tcPr>
            <w:tcW w:type="dxa" w:w="6768"/>
            <w:vAlign w:val="top"/>
          </w:tcPr>
          <w:p>
            <w:pPr>
              <w:spacing w:after="0"/>
            </w:pPr>
            <w:r/>
            <w:r>
              <w:rPr>
                <w:b w:val="0"/>
              </w:rPr>
              <w:t>paper2_sandbox/feature_separation_audit/ in GitHub and Drive</w:t>
            </w:r>
          </w:p>
        </w:tc>
      </w:tr>
      <w:tr>
        <w:tc>
          <w:tcPr>
            <w:tcW w:type="dxa" w:w="3600"/>
            <w:vAlign w:val="top"/>
          </w:tcPr>
          <w:p>
            <w:pPr>
              <w:spacing w:after="0"/>
            </w:pPr>
            <w:r/>
            <w:r>
              <w:rPr>
                <w:b w:val="0"/>
              </w:rPr>
              <w:t>Topological Archetype Atlas</w:t>
            </w:r>
          </w:p>
        </w:tc>
        <w:tc>
          <w:tcPr>
            <w:tcW w:type="dxa" w:w="6768"/>
            <w:vAlign w:val="top"/>
          </w:tcPr>
          <w:p>
            <w:pPr>
              <w:spacing w:after="0"/>
            </w:pPr>
            <w:r/>
            <w:r>
              <w:rPr>
                <w:b w:val="0"/>
              </w:rPr>
              <w:t>Google Drive: paper2_sandbox/topological_archetype_atlas_v1_0/</w:t>
            </w:r>
          </w:p>
        </w:tc>
      </w:tr>
      <w:tr>
        <w:tc>
          <w:tcPr>
            <w:tcW w:type="dxa" w:w="3600"/>
            <w:vAlign w:val="top"/>
          </w:tcPr>
          <w:p>
            <w:pPr>
              <w:spacing w:after="0"/>
            </w:pPr>
            <w:r/>
            <w:r>
              <w:rPr>
                <w:b w:val="0"/>
              </w:rPr>
              <w:t>Feature Engineering Bridge</w:t>
            </w:r>
          </w:p>
        </w:tc>
        <w:tc>
          <w:tcPr>
            <w:tcW w:type="dxa" w:w="6768"/>
            <w:vAlign w:val="top"/>
          </w:tcPr>
          <w:p>
            <w:pPr>
              <w:spacing w:after="0"/>
            </w:pPr>
            <w:r/>
            <w:r>
              <w:rPr>
                <w:b w:val="0"/>
              </w:rPr>
              <w:t>Google Drive: topological_archetype_atlas_v1_0/feature_engineering_bridge_v1_0/</w:t>
            </w:r>
          </w:p>
        </w:tc>
      </w:tr>
      <w:tr>
        <w:tc>
          <w:tcPr>
            <w:tcW w:type="dxa" w:w="3600"/>
            <w:vAlign w:val="top"/>
          </w:tcPr>
          <w:p>
            <w:pPr>
              <w:spacing w:after="0"/>
            </w:pPr>
            <w:r/>
            <w:r>
              <w:rPr>
                <w:b w:val="0"/>
              </w:rPr>
              <w:t>Visual Results Package</w:t>
            </w:r>
          </w:p>
        </w:tc>
        <w:tc>
          <w:tcPr>
            <w:tcW w:type="dxa" w:w="6768"/>
            <w:vAlign w:val="top"/>
          </w:tcPr>
          <w:p>
            <w:pPr>
              <w:spacing w:after="0"/>
            </w:pPr>
            <w:r/>
            <w:r>
              <w:rPr>
                <w:b w:val="0"/>
              </w:rPr>
              <w:t>Google Drive: topological_archetype_atlas_v1_0/visual_results_package/; suitable for curated GitHub upload</w:t>
            </w:r>
          </w:p>
        </w:tc>
      </w:tr>
      <w:tr>
        <w:tc>
          <w:tcPr>
            <w:tcW w:type="dxa" w:w="3600"/>
            <w:vAlign w:val="top"/>
          </w:tcPr>
          <w:p>
            <w:pPr>
              <w:spacing w:after="0"/>
            </w:pPr>
            <w:r/>
            <w:r>
              <w:rPr>
                <w:b w:val="0"/>
              </w:rPr>
              <w:t>Illustrated Bridge Report</w:t>
            </w:r>
          </w:p>
        </w:tc>
        <w:tc>
          <w:tcPr>
            <w:tcW w:type="dxa" w:w="6768"/>
            <w:vAlign w:val="top"/>
          </w:tcPr>
          <w:p>
            <w:pPr>
              <w:spacing w:after="0"/>
            </w:pPr>
            <w:r/>
            <w:r>
              <w:rPr>
                <w:b w:val="0"/>
              </w:rPr>
              <w:t>Saved/downloaded as OMNI_Feature_Engineering_Bridge_Report_v1_1_Illustrated.docx</w:t>
            </w:r>
          </w:p>
        </w:tc>
      </w:tr>
      <w:tr>
        <w:tc>
          <w:tcPr>
            <w:tcW w:type="dxa" w:w="3600"/>
            <w:vAlign w:val="top"/>
          </w:tcPr>
          <w:p>
            <w:pPr>
              <w:spacing w:after="0"/>
            </w:pPr>
            <w:r/>
            <w:r>
              <w:rPr>
                <w:b w:val="0"/>
              </w:rPr>
              <w:t>This closeout report</w:t>
            </w:r>
          </w:p>
        </w:tc>
        <w:tc>
          <w:tcPr>
            <w:tcW w:type="dxa" w:w="6768"/>
            <w:vAlign w:val="top"/>
          </w:tcPr>
          <w:p>
            <w:pPr>
              <w:spacing w:after="0"/>
            </w:pPr>
            <w:r/>
            <w:r>
              <w:rPr>
                <w:b w:val="0"/>
              </w:rPr>
              <w:t>FEATURE_SEPARATION_AUDIT_CLOSEOUT_REPORT_v1_0.docx</w:t>
            </w:r>
          </w:p>
        </w:tc>
      </w:tr>
    </w:tbl>
    <w:p/>
    <w:p>
      <w:r>
        <w:br w:type="page"/>
      </w:r>
    </w:p>
    <w:p>
      <w:pPr>
        <w:pStyle w:val="Heading1"/>
      </w:pPr>
      <w:r>
        <w:t>12. GitHub Status and Recommended Closeout Handling</w:t>
      </w:r>
    </w:p>
    <w:p>
      <w:r>
        <w:t>The GitHub repository currently contains the earlier feature_separation_audit folder. Attempts to upload the full topological atlas through the browser uploader encountered GitHub file-count limits. This indicates that the full atlas is too large to manage comfortably through the GitHub browser interface.</w:t>
      </w:r>
    </w:p>
    <w:p>
      <w:r>
        <w:t>The recommended closeout approach is to keep the complete atlas in Google Drive and upload only curated, human-readable deliverables to GitHub unless a later decision is made to use Git LFS, GitHub Desktop, or a release archive. The minimum curated upload should include this closeout report, the illustrated bridge report, the visual results package, and any relevant README or manifest files.</w:t>
      </w:r>
    </w:p>
    <w:tbl>
      <w:tblPr>
        <w:tblStyle w:val="TableGrid"/>
        <w:tblW w:type="auto" w:w="0"/>
        <w:jc w:val="center"/>
        <w:tblLook w:firstColumn="1" w:firstRow="1" w:lastColumn="0" w:lastRow="0" w:noHBand="0" w:noVBand="1" w:val="04A0"/>
      </w:tblPr>
      <w:tblGrid>
        <w:gridCol w:w="5040"/>
        <w:gridCol w:w="5040"/>
      </w:tblGrid>
      <w:tr>
        <w:tc>
          <w:tcPr>
            <w:tcW w:type="dxa" w:w="3888"/>
            <w:shd w:fill="1F4E79"/>
            <w:vAlign w:val="center"/>
          </w:tcPr>
          <w:p>
            <w:pPr>
              <w:spacing w:after="0"/>
            </w:pPr>
            <w:r/>
            <w:r>
              <w:rPr>
                <w:b/>
                <w:color w:val="FFFFFF"/>
              </w:rPr>
              <w:t>GitHub Item</w:t>
            </w:r>
          </w:p>
        </w:tc>
        <w:tc>
          <w:tcPr>
            <w:tcW w:type="dxa" w:w="6480"/>
            <w:shd w:fill="1F4E79"/>
            <w:vAlign w:val="center"/>
          </w:tcPr>
          <w:p>
            <w:pPr>
              <w:spacing w:after="0"/>
            </w:pPr>
            <w:r/>
            <w:r>
              <w:rPr>
                <w:b/>
                <w:color w:val="FFFFFF"/>
              </w:rPr>
              <w:t>Recommendation</w:t>
            </w:r>
          </w:p>
        </w:tc>
      </w:tr>
      <w:tr>
        <w:tc>
          <w:tcPr>
            <w:tcW w:type="dxa" w:w="3888"/>
            <w:vAlign w:val="top"/>
          </w:tcPr>
          <w:p>
            <w:pPr>
              <w:spacing w:after="0"/>
            </w:pPr>
            <w:r/>
            <w:r>
              <w:rPr>
                <w:b w:val="0"/>
              </w:rPr>
              <w:t>feature_separation_audit/</w:t>
            </w:r>
          </w:p>
        </w:tc>
        <w:tc>
          <w:tcPr>
            <w:tcW w:type="dxa" w:w="6480"/>
            <w:vAlign w:val="top"/>
          </w:tcPr>
          <w:p>
            <w:pPr>
              <w:spacing w:after="0"/>
            </w:pPr>
            <w:r/>
            <w:r>
              <w:rPr>
                <w:b w:val="0"/>
              </w:rPr>
              <w:t>Already present; keep as the core milestone folder</w:t>
            </w:r>
          </w:p>
        </w:tc>
      </w:tr>
      <w:tr>
        <w:tc>
          <w:tcPr>
            <w:tcW w:type="dxa" w:w="3888"/>
            <w:vAlign w:val="top"/>
          </w:tcPr>
          <w:p>
            <w:pPr>
              <w:spacing w:after="0"/>
            </w:pPr>
            <w:r/>
            <w:r>
              <w:rPr>
                <w:b w:val="0"/>
              </w:rPr>
              <w:t>Full topological_archetype_atlas_v1_0/</w:t>
            </w:r>
          </w:p>
        </w:tc>
        <w:tc>
          <w:tcPr>
            <w:tcW w:type="dxa" w:w="6480"/>
            <w:vAlign w:val="top"/>
          </w:tcPr>
          <w:p>
            <w:pPr>
              <w:spacing w:after="0"/>
            </w:pPr>
            <w:r/>
            <w:r>
              <w:rPr>
                <w:b w:val="0"/>
              </w:rPr>
              <w:t>Do not force browser upload; too many files for convenient GitHub web handling</w:t>
            </w:r>
          </w:p>
        </w:tc>
      </w:tr>
      <w:tr>
        <w:tc>
          <w:tcPr>
            <w:tcW w:type="dxa" w:w="3888"/>
            <w:vAlign w:val="top"/>
          </w:tcPr>
          <w:p>
            <w:pPr>
              <w:spacing w:after="0"/>
            </w:pPr>
            <w:r/>
            <w:r>
              <w:rPr>
                <w:b w:val="0"/>
              </w:rPr>
              <w:t>visual_results_package/</w:t>
            </w:r>
          </w:p>
        </w:tc>
        <w:tc>
          <w:tcPr>
            <w:tcW w:type="dxa" w:w="6480"/>
            <w:vAlign w:val="top"/>
          </w:tcPr>
          <w:p>
            <w:pPr>
              <w:spacing w:after="0"/>
            </w:pPr>
            <w:r/>
            <w:r>
              <w:rPr>
                <w:b w:val="0"/>
              </w:rPr>
              <w:t>Good candidate for GitHub upload because it is compact and interpretable</w:t>
            </w:r>
          </w:p>
        </w:tc>
      </w:tr>
      <w:tr>
        <w:tc>
          <w:tcPr>
            <w:tcW w:type="dxa" w:w="3888"/>
            <w:vAlign w:val="top"/>
          </w:tcPr>
          <w:p>
            <w:pPr>
              <w:spacing w:after="0"/>
            </w:pPr>
            <w:r/>
            <w:r>
              <w:rPr>
                <w:b w:val="0"/>
              </w:rPr>
              <w:t>OMNI_Feature_Engineering_Bridge_Report_v1_1_Illustrated.docx</w:t>
            </w:r>
          </w:p>
        </w:tc>
        <w:tc>
          <w:tcPr>
            <w:tcW w:type="dxa" w:w="6480"/>
            <w:vAlign w:val="top"/>
          </w:tcPr>
          <w:p>
            <w:pPr>
              <w:spacing w:after="0"/>
            </w:pPr>
            <w:r/>
            <w:r>
              <w:rPr>
                <w:b w:val="0"/>
              </w:rPr>
              <w:t>Upload as a key interpretive artifact</w:t>
            </w:r>
          </w:p>
        </w:tc>
      </w:tr>
      <w:tr>
        <w:tc>
          <w:tcPr>
            <w:tcW w:type="dxa" w:w="3888"/>
            <w:vAlign w:val="top"/>
          </w:tcPr>
          <w:p>
            <w:pPr>
              <w:spacing w:after="0"/>
            </w:pPr>
            <w:r/>
            <w:r>
              <w:rPr>
                <w:b w:val="0"/>
              </w:rPr>
              <w:t>FEATURE_SEPARATION_AUDIT_CLOSEOUT_REPORT_v1_0.docx</w:t>
            </w:r>
          </w:p>
        </w:tc>
        <w:tc>
          <w:tcPr>
            <w:tcW w:type="dxa" w:w="6480"/>
            <w:vAlign w:val="top"/>
          </w:tcPr>
          <w:p>
            <w:pPr>
              <w:spacing w:after="0"/>
            </w:pPr>
            <w:r/>
            <w:r>
              <w:rPr>
                <w:b w:val="0"/>
              </w:rPr>
              <w:t>Upload as final audit closeout artifact</w:t>
            </w:r>
          </w:p>
        </w:tc>
      </w:tr>
    </w:tbl>
    <w:p/>
    <w:p>
      <w:pPr>
        <w:pStyle w:val="Heading1"/>
      </w:pPr>
      <w:r>
        <w:t>13. What Is Explicitly Closed</w:t>
      </w:r>
    </w:p>
    <w:tbl>
      <w:tblPr>
        <w:tblStyle w:val="TableGrid"/>
        <w:tblW w:type="auto" w:w="0"/>
        <w:jc w:val="center"/>
        <w:tblLook w:firstColumn="1" w:firstRow="1" w:lastColumn="0" w:lastRow="0" w:noHBand="0" w:noVBand="1" w:val="04A0"/>
      </w:tblPr>
      <w:tblGrid>
        <w:gridCol w:w="5040"/>
        <w:gridCol w:w="5040"/>
      </w:tblGrid>
      <w:tr>
        <w:tc>
          <w:tcPr>
            <w:tcW w:type="dxa" w:w="4320"/>
            <w:shd w:fill="1F4E79"/>
            <w:vAlign w:val="center"/>
          </w:tcPr>
          <w:p>
            <w:pPr>
              <w:spacing w:after="0"/>
            </w:pPr>
            <w:r/>
            <w:r>
              <w:rPr>
                <w:b/>
                <w:color w:val="FFFFFF"/>
              </w:rPr>
              <w:t>Closed Item</w:t>
            </w:r>
          </w:p>
        </w:tc>
        <w:tc>
          <w:tcPr>
            <w:tcW w:type="dxa" w:w="6048"/>
            <w:shd w:fill="1F4E79"/>
            <w:vAlign w:val="center"/>
          </w:tcPr>
          <w:p>
            <w:pPr>
              <w:spacing w:after="0"/>
            </w:pPr>
            <w:r/>
            <w:r>
              <w:rPr>
                <w:b/>
                <w:color w:val="FFFFFF"/>
              </w:rPr>
              <w:t>Closeout Decision</w:t>
            </w:r>
          </w:p>
        </w:tc>
      </w:tr>
      <w:tr>
        <w:tc>
          <w:tcPr>
            <w:tcW w:type="dxa" w:w="4320"/>
            <w:vAlign w:val="top"/>
          </w:tcPr>
          <w:p>
            <w:pPr>
              <w:spacing w:after="0"/>
            </w:pPr>
            <w:r/>
            <w:r>
              <w:rPr>
                <w:b w:val="0"/>
              </w:rPr>
              <w:t>Operational movement audit</w:t>
            </w:r>
          </w:p>
        </w:tc>
        <w:tc>
          <w:tcPr>
            <w:tcW w:type="dxa" w:w="6048"/>
            <w:vAlign w:val="top"/>
          </w:tcPr>
          <w:p>
            <w:pPr>
              <w:spacing w:after="0"/>
            </w:pPr>
            <w:r/>
            <w:r>
              <w:rPr>
                <w:b w:val="0"/>
              </w:rPr>
              <w:t>Closed</w:t>
            </w:r>
          </w:p>
        </w:tc>
      </w:tr>
      <w:tr>
        <w:tc>
          <w:tcPr>
            <w:tcW w:type="dxa" w:w="4320"/>
            <w:vAlign w:val="top"/>
          </w:tcPr>
          <w:p>
            <w:pPr>
              <w:spacing w:after="0"/>
            </w:pPr>
            <w:r/>
            <w:r>
              <w:rPr>
                <w:b w:val="0"/>
              </w:rPr>
              <w:t>Operational Scale Registry creation</w:t>
            </w:r>
          </w:p>
        </w:tc>
        <w:tc>
          <w:tcPr>
            <w:tcW w:type="dxa" w:w="6048"/>
            <w:vAlign w:val="top"/>
          </w:tcPr>
          <w:p>
            <w:pPr>
              <w:spacing w:after="0"/>
            </w:pPr>
            <w:r/>
            <w:r>
              <w:rPr>
                <w:b w:val="0"/>
              </w:rPr>
              <w:t>Closed</w:t>
            </w:r>
          </w:p>
        </w:tc>
      </w:tr>
      <w:tr>
        <w:tc>
          <w:tcPr>
            <w:tcW w:type="dxa" w:w="4320"/>
            <w:vAlign w:val="top"/>
          </w:tcPr>
          <w:p>
            <w:pPr>
              <w:spacing w:after="0"/>
            </w:pPr>
            <w:r/>
            <w:r>
              <w:rPr>
                <w:b w:val="0"/>
              </w:rPr>
              <w:t>Topology atlas generation for this audit phase</w:t>
            </w:r>
          </w:p>
        </w:tc>
        <w:tc>
          <w:tcPr>
            <w:tcW w:type="dxa" w:w="6048"/>
            <w:vAlign w:val="top"/>
          </w:tcPr>
          <w:p>
            <w:pPr>
              <w:spacing w:after="0"/>
            </w:pPr>
            <w:r/>
            <w:r>
              <w:rPr>
                <w:b w:val="0"/>
              </w:rPr>
              <w:t>Closed</w:t>
            </w:r>
          </w:p>
        </w:tc>
      </w:tr>
      <w:tr>
        <w:tc>
          <w:tcPr>
            <w:tcW w:type="dxa" w:w="4320"/>
            <w:vAlign w:val="top"/>
          </w:tcPr>
          <w:p>
            <w:pPr>
              <w:spacing w:after="0"/>
            </w:pPr>
            <w:r/>
            <w:r>
              <w:rPr>
                <w:b w:val="0"/>
              </w:rPr>
              <w:t>Nearest-neighbor topology for this audit phase</w:t>
            </w:r>
          </w:p>
        </w:tc>
        <w:tc>
          <w:tcPr>
            <w:tcW w:type="dxa" w:w="6048"/>
            <w:vAlign w:val="top"/>
          </w:tcPr>
          <w:p>
            <w:pPr>
              <w:spacing w:after="0"/>
            </w:pPr>
            <w:r/>
            <w:r>
              <w:rPr>
                <w:b w:val="0"/>
              </w:rPr>
              <w:t>Closed</w:t>
            </w:r>
          </w:p>
        </w:tc>
      </w:tr>
      <w:tr>
        <w:tc>
          <w:tcPr>
            <w:tcW w:type="dxa" w:w="4320"/>
            <w:vAlign w:val="top"/>
          </w:tcPr>
          <w:p>
            <w:pPr>
              <w:spacing w:after="0"/>
            </w:pPr>
            <w:r/>
            <w:r>
              <w:rPr>
                <w:b w:val="0"/>
              </w:rPr>
              <w:t>Feature Engineering Bridge for this audit phase</w:t>
            </w:r>
          </w:p>
        </w:tc>
        <w:tc>
          <w:tcPr>
            <w:tcW w:type="dxa" w:w="6048"/>
            <w:vAlign w:val="top"/>
          </w:tcPr>
          <w:p>
            <w:pPr>
              <w:spacing w:after="0"/>
            </w:pPr>
            <w:r/>
            <w:r>
              <w:rPr>
                <w:b w:val="0"/>
              </w:rPr>
              <w:t>Closed</w:t>
            </w:r>
          </w:p>
        </w:tc>
      </w:tr>
      <w:tr>
        <w:tc>
          <w:tcPr>
            <w:tcW w:type="dxa" w:w="4320"/>
            <w:vAlign w:val="top"/>
          </w:tcPr>
          <w:p>
            <w:pPr>
              <w:spacing w:after="0"/>
            </w:pPr>
            <w:r/>
            <w:r>
              <w:rPr>
                <w:b w:val="0"/>
              </w:rPr>
              <w:t>Visual/illustrated reporting for this audit phase</w:t>
            </w:r>
          </w:p>
        </w:tc>
        <w:tc>
          <w:tcPr>
            <w:tcW w:type="dxa" w:w="6048"/>
            <w:vAlign w:val="top"/>
          </w:tcPr>
          <w:p>
            <w:pPr>
              <w:spacing w:after="0"/>
            </w:pPr>
            <w:r/>
            <w:r>
              <w:rPr>
                <w:b w:val="0"/>
              </w:rPr>
              <w:t>Closed</w:t>
            </w:r>
          </w:p>
        </w:tc>
      </w:tr>
      <w:tr>
        <w:tc>
          <w:tcPr>
            <w:tcW w:type="dxa" w:w="4320"/>
            <w:vAlign w:val="top"/>
          </w:tcPr>
          <w:p>
            <w:pPr>
              <w:spacing w:after="0"/>
            </w:pPr>
            <w:r/>
            <w:r>
              <w:rPr>
                <w:b w:val="0"/>
              </w:rPr>
              <w:t>Further audit expansion inside this thread</w:t>
            </w:r>
          </w:p>
        </w:tc>
        <w:tc>
          <w:tcPr>
            <w:tcW w:type="dxa" w:w="6048"/>
            <w:vAlign w:val="top"/>
          </w:tcPr>
          <w:p>
            <w:pPr>
              <w:spacing w:after="0"/>
            </w:pPr>
            <w:r/>
            <w:r>
              <w:rPr>
                <w:b w:val="0"/>
              </w:rPr>
              <w:t>Closed unless the user explicitly reopens it</w:t>
            </w:r>
          </w:p>
        </w:tc>
      </w:tr>
    </w:tbl>
    <w:p/>
    <w:p>
      <w:r>
        <w:br w:type="page"/>
      </w:r>
    </w:p>
    <w:p>
      <w:pPr>
        <w:pStyle w:val="Heading1"/>
      </w:pPr>
      <w:r>
        <w:t>14. What Is Deferred, Not Decided Here</w:t>
      </w:r>
    </w:p>
    <w:p>
      <w:r>
        <w:t>The following topics are deferred to the next exploratory phase. This closeout report does not prioritize them or assume their order. The user should decide the next phase deliberately before any new notebook or analysis thread begins.</w:t>
      </w:r>
    </w:p>
    <w:tbl>
      <w:tblPr>
        <w:tblStyle w:val="TableGrid"/>
        <w:tblW w:type="auto" w:w="0"/>
        <w:jc w:val="center"/>
        <w:tblLook w:firstColumn="1" w:firstRow="1" w:lastColumn="0" w:lastRow="0" w:noHBand="0" w:noVBand="1" w:val="04A0"/>
      </w:tblPr>
      <w:tblGrid>
        <w:gridCol w:w="5040"/>
        <w:gridCol w:w="5040"/>
      </w:tblGrid>
      <w:tr>
        <w:tc>
          <w:tcPr>
            <w:tcW w:type="dxa" w:w="4320"/>
            <w:shd w:fill="1F4E79"/>
            <w:vAlign w:val="center"/>
          </w:tcPr>
          <w:p>
            <w:pPr>
              <w:spacing w:after="0"/>
            </w:pPr>
            <w:r/>
            <w:r>
              <w:rPr>
                <w:b/>
                <w:color w:val="FFFFFF"/>
              </w:rPr>
              <w:t>Deferred Topic</w:t>
            </w:r>
          </w:p>
        </w:tc>
        <w:tc>
          <w:tcPr>
            <w:tcW w:type="dxa" w:w="6048"/>
            <w:shd w:fill="1F4E79"/>
            <w:vAlign w:val="center"/>
          </w:tcPr>
          <w:p>
            <w:pPr>
              <w:spacing w:after="0"/>
            </w:pPr>
            <w:r/>
            <w:r>
              <w:rPr>
                <w:b/>
                <w:color w:val="FFFFFF"/>
              </w:rPr>
              <w:t>Status</w:t>
            </w:r>
          </w:p>
        </w:tc>
      </w:tr>
      <w:tr>
        <w:tc>
          <w:tcPr>
            <w:tcW w:type="dxa" w:w="4320"/>
            <w:vAlign w:val="top"/>
          </w:tcPr>
          <w:p>
            <w:pPr>
              <w:spacing w:after="0"/>
            </w:pPr>
            <w:r/>
            <w:r>
              <w:rPr>
                <w:b w:val="0"/>
              </w:rPr>
              <w:t>Cross-coordinate comparisons</w:t>
            </w:r>
          </w:p>
        </w:tc>
        <w:tc>
          <w:tcPr>
            <w:tcW w:type="dxa" w:w="6048"/>
            <w:vAlign w:val="top"/>
          </w:tcPr>
          <w:p>
            <w:pPr>
              <w:spacing w:after="0"/>
            </w:pPr>
            <w:r/>
            <w:r>
              <w:rPr>
                <w:b w:val="0"/>
              </w:rPr>
              <w:t>Deferred</w:t>
            </w:r>
          </w:p>
        </w:tc>
      </w:tr>
      <w:tr>
        <w:tc>
          <w:tcPr>
            <w:tcW w:type="dxa" w:w="4320"/>
            <w:vAlign w:val="top"/>
          </w:tcPr>
          <w:p>
            <w:pPr>
              <w:spacing w:after="0"/>
            </w:pPr>
            <w:r/>
            <w:r>
              <w:rPr>
                <w:b w:val="0"/>
              </w:rPr>
              <w:t>Temporal topology persistence</w:t>
            </w:r>
          </w:p>
        </w:tc>
        <w:tc>
          <w:tcPr>
            <w:tcW w:type="dxa" w:w="6048"/>
            <w:vAlign w:val="top"/>
          </w:tcPr>
          <w:p>
            <w:pPr>
              <w:spacing w:after="0"/>
            </w:pPr>
            <w:r/>
            <w:r>
              <w:rPr>
                <w:b w:val="0"/>
              </w:rPr>
              <w:t>Deferred</w:t>
            </w:r>
          </w:p>
        </w:tc>
      </w:tr>
      <w:tr>
        <w:tc>
          <w:tcPr>
            <w:tcW w:type="dxa" w:w="4320"/>
            <w:vAlign w:val="top"/>
          </w:tcPr>
          <w:p>
            <w:pPr>
              <w:spacing w:after="0"/>
            </w:pPr>
            <w:r/>
            <w:r>
              <w:rPr>
                <w:b w:val="0"/>
              </w:rPr>
              <w:t>Rupture-field stability testing</w:t>
            </w:r>
          </w:p>
        </w:tc>
        <w:tc>
          <w:tcPr>
            <w:tcW w:type="dxa" w:w="6048"/>
            <w:vAlign w:val="top"/>
          </w:tcPr>
          <w:p>
            <w:pPr>
              <w:spacing w:after="0"/>
            </w:pPr>
            <w:r/>
            <w:r>
              <w:rPr>
                <w:b w:val="0"/>
              </w:rPr>
              <w:t>Deferred</w:t>
            </w:r>
          </w:p>
        </w:tc>
      </w:tr>
      <w:tr>
        <w:tc>
          <w:tcPr>
            <w:tcW w:type="dxa" w:w="4320"/>
            <w:vAlign w:val="top"/>
          </w:tcPr>
          <w:p>
            <w:pPr>
              <w:spacing w:after="0"/>
            </w:pPr>
            <w:r/>
            <w:r>
              <w:rPr>
                <w:b w:val="0"/>
              </w:rPr>
              <w:t>Basin-width quantification</w:t>
            </w:r>
          </w:p>
        </w:tc>
        <w:tc>
          <w:tcPr>
            <w:tcW w:type="dxa" w:w="6048"/>
            <w:vAlign w:val="top"/>
          </w:tcPr>
          <w:p>
            <w:pPr>
              <w:spacing w:after="0"/>
            </w:pPr>
            <w:r/>
            <w:r>
              <w:rPr>
                <w:b w:val="0"/>
              </w:rPr>
              <w:t>Deferred</w:t>
            </w:r>
          </w:p>
        </w:tc>
      </w:tr>
      <w:tr>
        <w:tc>
          <w:tcPr>
            <w:tcW w:type="dxa" w:w="4320"/>
            <w:vAlign w:val="top"/>
          </w:tcPr>
          <w:p>
            <w:pPr>
              <w:spacing w:after="0"/>
            </w:pPr>
            <w:r/>
            <w:r>
              <w:rPr>
                <w:b w:val="0"/>
              </w:rPr>
              <w:t>Spectral decomposition</w:t>
            </w:r>
          </w:p>
        </w:tc>
        <w:tc>
          <w:tcPr>
            <w:tcW w:type="dxa" w:w="6048"/>
            <w:vAlign w:val="top"/>
          </w:tcPr>
          <w:p>
            <w:pPr>
              <w:spacing w:after="0"/>
            </w:pPr>
            <w:r/>
            <w:r>
              <w:rPr>
                <w:b w:val="0"/>
              </w:rPr>
              <w:t>Deferred</w:t>
            </w:r>
          </w:p>
        </w:tc>
      </w:tr>
      <w:tr>
        <w:tc>
          <w:tcPr>
            <w:tcW w:type="dxa" w:w="4320"/>
            <w:vAlign w:val="top"/>
          </w:tcPr>
          <w:p>
            <w:pPr>
              <w:spacing w:after="0"/>
            </w:pPr>
            <w:r/>
            <w:r>
              <w:rPr>
                <w:b w:val="0"/>
              </w:rPr>
              <w:t>Formal topology registry refinement</w:t>
            </w:r>
          </w:p>
        </w:tc>
        <w:tc>
          <w:tcPr>
            <w:tcW w:type="dxa" w:w="6048"/>
            <w:vAlign w:val="top"/>
          </w:tcPr>
          <w:p>
            <w:pPr>
              <w:spacing w:after="0"/>
            </w:pPr>
            <w:r/>
            <w:r>
              <w:rPr>
                <w:b w:val="0"/>
              </w:rPr>
              <w:t>Deferred</w:t>
            </w:r>
          </w:p>
        </w:tc>
      </w:tr>
      <w:tr>
        <w:tc>
          <w:tcPr>
            <w:tcW w:type="dxa" w:w="4320"/>
            <w:vAlign w:val="top"/>
          </w:tcPr>
          <w:p>
            <w:pPr>
              <w:spacing w:after="0"/>
            </w:pPr>
            <w:r/>
            <w:r>
              <w:rPr>
                <w:b w:val="0"/>
              </w:rPr>
              <w:t>Candidate feature shortlist for ML</w:t>
            </w:r>
          </w:p>
        </w:tc>
        <w:tc>
          <w:tcPr>
            <w:tcW w:type="dxa" w:w="6048"/>
            <w:vAlign w:val="top"/>
          </w:tcPr>
          <w:p>
            <w:pPr>
              <w:spacing w:after="0"/>
            </w:pPr>
            <w:r/>
            <w:r>
              <w:rPr>
                <w:b w:val="0"/>
              </w:rPr>
              <w:t>Deferred</w:t>
            </w:r>
          </w:p>
        </w:tc>
      </w:tr>
      <w:tr>
        <w:tc>
          <w:tcPr>
            <w:tcW w:type="dxa" w:w="4320"/>
            <w:vAlign w:val="top"/>
          </w:tcPr>
          <w:p>
            <w:pPr>
              <w:spacing w:after="0"/>
            </w:pPr>
            <w:r/>
            <w:r>
              <w:rPr>
                <w:b w:val="0"/>
              </w:rPr>
              <w:t>Production ML modeling</w:t>
            </w:r>
          </w:p>
        </w:tc>
        <w:tc>
          <w:tcPr>
            <w:tcW w:type="dxa" w:w="6048"/>
            <w:vAlign w:val="top"/>
          </w:tcPr>
          <w:p>
            <w:pPr>
              <w:spacing w:after="0"/>
            </w:pPr>
            <w:r/>
            <w:r>
              <w:rPr>
                <w:b w:val="0"/>
              </w:rPr>
              <w:t>Deferred</w:t>
            </w:r>
          </w:p>
        </w:tc>
      </w:tr>
    </w:tbl>
    <w:p/>
    <w:p>
      <w:pPr>
        <w:pStyle w:val="Heading1"/>
      </w:pPr>
      <w:r>
        <w:t>15. Final Closeout Statement</w:t>
      </w:r>
    </w:p>
    <w:p>
      <w:r>
        <w:t>The Feature Separation Audit is complete. It achieved its operational-scale objective and produced an expanded topology-based understanding of field behavior. The next phase should begin only after the user selects the next exploratory priorities. No additional Feature Separation Audit analysis is required before moving forward.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OMNI Paper 2 Sandbox | Feature Separation Audit Closeout Report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