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6"/>
          <w:szCs w:val="36"/>
        </w:rPr>
        <w:t xml:space="preserve">VX BATCH SUMMARY v1.1-final</w:t>
      </w:r>
    </w:p>
    <w:p>
      <w:pPr>
        <w:spacing w:after="60"/>
        <w:jc w:val="center"/>
      </w:pPr>
      <w:r>
        <w:rPr>
          <w:sz w:val="24"/>
          <w:szCs w:val="24"/>
        </w:rPr>
        <w:t xml:space="preserve">OMNI Geometry MLB — Paper 1</w:t>
      </w:r>
    </w:p>
    <w:p>
      <w:pPr>
        <w:spacing w:after="240"/>
        <w:jc w:val="center"/>
      </w:pPr>
      <w:r>
        <w:rPr>
          <w:i/>
          <w:iCs/>
        </w:rPr>
        <w:t xml:space="preserve">Phase 1 Confirmatory Batch — Vertex (VX)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Courtney Roberts Conrad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Copyright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2026 Courtney Roberts Conrad. All rights reserved.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OSF</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https://osf.io/yhxt4/overview</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GitHub</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omni-geometry-mlb (private)</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(locked); MC Batch Summary v1.1-final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 version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 Batch Summary v1.1-final — lock-ready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(pending PI sign-off)</w:t>
            </w:r>
          </w:p>
        </w:tc>
      </w:tr>
    </w:tbl>
    <w:p>
      <w:r>
        <w:t xml:space="preserve"/>
      </w:r>
    </w:p>
    <w:p>
      <w:pPr>
        <w:pStyle w:val="Heading1"/>
        <w:spacing w:after="180" w:before="360"/>
      </w:pPr>
      <w:r>
        <w:t xml:space="preserve">§1. Document Scope and Authority</w:t>
      </w:r>
    </w:p>
    <w:p>
      <w:pPr>
        <w:spacing w:after="80" w:before="80"/>
      </w:pPr>
      <w:r>
        <w:t xml:space="preserve">This document is the authoritative internal reference for the Vertex (VX) origin batch in Phase 1 of the OMNI Geometry MLB study. It mirrors the structure of the MC Batch Summary v1.1-final (which mirrors Asc Batch Summary v5) and applies the identical locked methodological framework: the H1 support floor, the four-regime sampling-geometry framework, the coverage-tier framework, the separation-domain principle, the two-regime signal architecture, and the concentration-regime caveat. Controlled vocabulary is sourced from paper_language.md.</w:t>
      </w:r>
    </w:p>
    <w:p>
      <w:pPr>
        <w:spacing w:after="80" w:before="80"/>
      </w:pPr>
      <w:r>
        <w:t xml:space="preserve">The VX batch comprises six chunks (positions 1, 2, 4, 5, 6, 8 in the standard nine-construction layout). Three constructions (positions 3, 7, 9) are excluded by Filter M1 of OMNI_Workflow_v1 §6: the Vertex azimuth is structurally fixed near the prime vertical (~270°) across the 25-year sample window, so VX G-AZ origin values were not propagated by the Swiss Ephemeris pipeline. The six VX chunks therefore yield a maximum testable scope of 6 chunks × 17 target bodies × 2 outcomes = 204 evaluations. PoF coverage is available in all six VX aspect files (Filter M2 not active for this batch). VX is global-regime by construction in all six chunks (Filter M3 not applicable).</w:t>
      </w:r>
    </w:p>
    <w:p>
      <w:pPr>
        <w:pStyle w:val="Heading1"/>
        <w:spacing w:after="180" w:before="360"/>
      </w:pPr>
      <w:r>
        <w:t xml:space="preserve">§2. VX Batch Overview</w:t>
      </w:r>
    </w:p>
    <w:p>
      <w:pPr>
        <w:spacing w:after="80" w:before="80"/>
      </w:pPr>
      <w:r>
        <w:t xml:space="preserve">Six chunks executed under the locked engine, in order. All 204 evaluations achieved successful Phase A locks; no skipped or failed lock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1400"/>
        <w:gridCol w:w="1400"/>
        <w:gridCol w:w="1660"/>
      </w:tblGrid>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Attempted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Supported</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Rate (%)</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Regime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82.4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same-coord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82.4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same-coord (excluded)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82.4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82.4</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73.5</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G-LON (excluded)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 cross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76.5</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global</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G-AZ × G-RA (excluded)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r>
      <w:t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Total</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204</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163</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79.9</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t>
            </w:r>
          </w:p>
        </w:tc>
      </w:tr>
    </w:tbl>
    <w:p>
      <w:r>
        <w:t xml:space="preserve"/>
      </w:r>
    </w:p>
    <w:p>
      <w:pPr>
        <w:spacing w:after="80" w:before="80"/>
      </w:pPr>
      <w:r>
        <w:t xml:space="preserve">Panel-wide VX support: 163 / 204 = 79.9%. This is the highest panel-wide H1 support rate observed among the completed Phase 1 origin batches to date, exceeding MC's 158 / 204 = 77.5% by 2.4 percentage points and Asc's 215 / 294 = 73.1% by 6.8 percentage points. A structurally distinctive property of this batch is the extreme uniformity of support across the four global-equatorial / ecliptic constructions: VX-1, VX-2, VX-4, and VX-5 each return exactly 28 / 34 = 82.4%, regardless of whether the construction is same-coord or cross-coord and regardless of the direction of cross-coordinate transformation. No previous batch has exhibited this degree of cross-construction support uniformity in the global regime. As elsewhere, comparison across origins is descriptive and does not assert relative effect-size magnitude.</w:t>
      </w:r>
    </w:p>
    <w:p>
      <w:pPr>
        <w:pStyle w:val="Heading1"/>
        <w:spacing w:after="180" w:before="360"/>
      </w:pPr>
      <w:r>
        <w:t xml:space="preserve">§3. Cross-Origin Comparison: VX vs. MC vs. Asc by Construction</w:t>
      </w:r>
    </w:p>
    <w:p>
      <w:pPr>
        <w:spacing w:after="80" w:before="80"/>
      </w:pPr>
      <w:r>
        <w:t xml:space="preserve">Per-chunk H1 support rates against the locked Asc and MC reference batches (descriptive only).</w:t>
      </w:r>
    </w:p>
    <w:p>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700"/>
        <w:gridCol w:w="1700"/>
        <w:gridCol w:w="1700"/>
        <w:gridCol w:w="1100"/>
      </w:tblGrid>
      <w:tr>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Chunk</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Construction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Asc support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MC support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VX support</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VX–MC Δ</w:t>
            </w:r>
          </w:p>
        </w:tc>
      </w:tr>
      <w:t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same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22/34 (64.7%)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r>
      <w:t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same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0.0</w:t>
            </w:r>
          </w:p>
        </w:tc>
      </w:tr>
      <w:t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G-RA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r>
      <w:t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G-LON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27/34 (79.4%)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28/34 (82.4%)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r>
      <w:t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G-LON × G-AZ</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25/34 (73.5%)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0.0</w:t>
            </w:r>
          </w:p>
        </w:tc>
      </w:tr>
      <w:t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G-RA × G-AZ</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26/34 (76.5%)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24/34 (70.6%)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26/34 (76.5%)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+5.9</w:t>
            </w:r>
          </w:p>
        </w:tc>
      </w:tr>
    </w:tbl>
    <w:p>
      <w:r>
        <w:t xml:space="preserve"/>
      </w:r>
    </w:p>
    <w:p>
      <w:pPr>
        <w:spacing w:after="80" w:before="80"/>
      </w:pPr>
      <w:r>
        <w:t xml:space="preserve">Two structurally interpretable patterns emerge. First, the four global-equatorial / ecliptic chunks (1, 2, 4, 5) reproduce VX support at exactly 82.4% in every direction, with VX matching or exceeding MC by 0.0 to 3.0 percentage points and exceeding Asc by 3.0 to 17.7 percentage points. Second, the two G-AZ-target chunks (6 and 8) produce a three-origin convergence at chunk 6 (Asc-6 = MC-6 = VX-6 = 25/34 = 73.5% identically) and a two-origin convergence at chunk 8 (Asc-8 = VX-8 = 26/34 = 76.5%, with MC-8 lower at 70.6%). Both patterns are consistent with the locked separation-domain principle: when the target frame carries the construction's coverage character through Earth's daily rotation, origin-frame distinctions become less consequential, and origins converge toward a common support rate determined by the target geometry rather than the origin geometry.</w:t>
      </w:r>
    </w:p>
    <w:p>
      <w:pPr>
        <w:pStyle w:val="Heading1"/>
        <w:spacing w:after="180" w:before="360"/>
      </w:pPr>
      <w:r>
        <w:t xml:space="preserve">§4. Detection Robustness</w:t>
      </w:r>
    </w:p>
    <w:p>
      <w:pPr>
        <w:spacing w:after="80" w:before="80"/>
      </w:pPr>
      <w:r>
        <w:t xml:space="preserve">Among the 132 evaluations on coverage-clean target bodies (Tier A: MO, MA, VS, PA, JN, CE; PoF: PFff, PFdn; Tier B: JU, NN; Tier C: SA), VX achieves H1 support in every evaluation across all six chunks. This is a 132 / 132 = 100% support rate on the coverage-clean class, identical to MC's 132 / 132 and analogous to the result reported for the Asc batch in Asc Batch Summary v5. Detection robustness on coverage-clean bodies is therefore demonstrated across all three angle origins examined to date in Phase 1, under three structurally distinct origin geometries (horizon-rising, meridian-culminating, prime-vertical-traversing).</w:t>
      </w:r>
    </w:p>
    <w:p>
      <w:pPr>
        <w:spacing w:after="80" w:before="80"/>
      </w:pPr>
      <w:r>
        <w:t xml:space="preserve">Phase B temporal validation under the locked Phase A parameters reinforces this with the strongest temporal-stability result observed anywhere in Phase 1. Across the 132 coverage-clean evaluations, the strictest 7-block scheme classifies 129 / 132 (97.7%) as anchor or persistent. The Tier A class — the multi-cycle, fully sampled bodies — anchors at 72 / 72 = 100% under the 7-block scheme, with zero evaluations classified as persistent and zero classified as fragile. PoF anchors at 24 / 24 = 100% under all three temporal schemes. Tier B clears 24 / 24 = 100% as anchor or persistent, with 17 anchored. Only Tier C (Saturn) shows partial degradation in the temporal validation: 9 / 12 = 75% anchor or persistent, with three fragile classifications under 7-block. The Tier A 100% anchor result is the single strongest temporal-validation outcome in the project to date.</w:t>
      </w:r>
    </w:p>
    <w:p>
      <w:pPr>
        <w:pStyle w:val="Heading1"/>
        <w:spacing w:after="180" w:before="360"/>
      </w:pPr>
      <w:r>
        <w:t xml:space="preserve">§5. Frame-Dependent Localization</w:t>
      </w:r>
    </w:p>
    <w:p>
      <w:pPr>
        <w:spacing w:after="80" w:before="80"/>
      </w:pPr>
      <w:r>
        <w:t xml:space="preserve">The locked detection-vs-localization principle predicts that signal presence is invariant across coordinate transformations while peak location is frame-dependent. The VX batch reproduces this pattern across all six chunks. For example, the Moon's High-target peak migrates 176° (VX-1, G-LON same) → 206° (VX-2, G-RA same) → 80° (VX-4, G-LON × G-RA) → 354° (VX-5, G-RA × G-LON) → 288° (VX-6, G-LON × G-AZ) → 285° (VX-8, G-RA × G-AZ). Pluto's Low peak migrates 260° → 60° → 261° → 54° in the four global-regime constructions, then to coverage-driven failure under target-G-AZ. Detection holds invariant; localization shifts. This is now the third independent angle-origin demonstration of the same structural principle, following Asc and MC.</w:t>
      </w:r>
    </w:p>
    <w:p>
      <w:pPr>
        <w:pStyle w:val="Heading1"/>
        <w:spacing w:after="180" w:before="360"/>
      </w:pPr>
      <w:r>
        <w:t xml:space="preserve">§6. Coverage-Driven Failure Geometry</w:t>
      </w:r>
    </w:p>
    <w:p>
      <w:pPr>
        <w:spacing w:after="80" w:before="80"/>
      </w:pPr>
      <w:r>
        <w:t xml:space="preserve">Of the 41 evaluations not satisfying H1 in the VX batch, all 41 fall on bodies whose geocentric motion is geometrically mismatched to the 360° angular-separation measurement system: 32 of 36 evaluations on the constrained-motion inner planets (Mercury, Venus, Sun) and 9 of 36 evaluations on the sparse outer planets (Uranus, Neptune, Pluto). All 41 failures are count-floor failures (peak_smoothed_count &lt; 30 under the locked window), not lock failures and not lift-floor failures. Every Phase A lock succeeded across the entire batch.</w:t>
      </w:r>
    </w:p>
    <w:p>
      <w:pPr>
        <w:spacing w:after="80" w:before="80"/>
      </w:pPr>
      <w:r>
        <w:t xml:space="preserve">Two within-failure-class observations distinguish the VX batch from the Asc and MC batches. First, the inner-planet failure pattern is more concentrated under VX: 24 of 24 inner-planet evaluations across the four global-regime chunks (VX-1, 2, 4, 5) fail the count floor, producing an unusually sharp partition between coverage-clean bodies (28 of 28 supported in every chunk) and constrained-motion bodies (0 of 6 supported in every chunk). The MC and Asc batches showed sporadic recoveries of inner-planet High targets in G-RA-involved constructions; VX does not. Second, the sparse-outer failure pattern is dramatically reduced under VX in the global-regime chunks: 0 of 24 outer-planet evaluations fail across VX-1, 2, 4, 5, compared to 11 of 24 failures across the corresponding MC chunks and a higher rate across the corresponding Asc chunks. Under VX × global-regime constructions, every Uranus, Neptune, and Pluto evaluation clears H1 with peak counts in the 44–277 range. This pattern reverts under the G-AZ-target chunks (VX-6 and VX-8), where outer-planet support drops to 3 of 12, body-specific (Neptune High supported in both, Uranus High supported in VX-6 only, Pluto unsupported throughout).</w:t>
      </w:r>
    </w:p>
    <w:p>
      <w:pPr>
        <w:spacing w:after="80" w:before="80"/>
      </w:pPr>
      <w:r>
        <w:t xml:space="preserve">The recurring smoothed-lift value 11.250244 with peak counts of 1 or 2 appears in VX-6 and VX-8 G-AZ-target evaluations on the slow outer planets, identical to the pattern documented in the MC batch. As established in MC Batch Summary §6, this value is the engine's correct numerical limit when the smoothing window encloses essentially one event in a sparse region of the 360° wheel; the count floor catches all such peaks correctly.</w:t>
      </w:r>
    </w:p>
    <w:p>
      <w:pPr>
        <w:pStyle w:val="Heading1"/>
        <w:spacing w:after="180" w:before="360"/>
      </w:pPr>
      <w:r>
        <w:t xml:space="preserve">§7. Construction-Class Hierarchy</w:t>
      </w:r>
    </w:p>
    <w:p>
      <w:pPr>
        <w:spacing w:after="80" w:before="80"/>
      </w:pPr>
      <w:r>
        <w:t xml:space="preserve">Among coverage-clean bodies, VX produces effect-size estimates closely comparable to MC. Tier A peak smoothed lifts cluster in the 1.34–1.61 range across same-coord chunks (VX-1, VX-2) and the 1.39–1.78 range in cross-coord chunks (VX-4, VX-5, VX-6, VX-8). PoF behaves as Tier A in lift magnitude and count density. Saturn's High-target lift in VX-6 (1.76 at 192°, count 671) and VX-8 (1.76 at 189°, count 469) reproduces the MC pattern of frame-systematic concentration of Saturn's geocentric motion when projected onto the target G-AZ separation domain, although at slightly lower lift magnitudes than MC produced (MC-6 SA High: 2.37; MC-8 SA High: 2.44).</w:t>
      </w:r>
    </w:p>
    <w:p>
      <w:pPr>
        <w:spacing w:after="80" w:before="80"/>
      </w:pPr>
      <w:r>
        <w:t xml:space="preserve">The most distinctive within-VX construction-class observation is the cross-construction support uniformity of the four global-equatorial / ecliptic chunks: VX-1 (G-LON same), VX-2 (G-RA same), VX-4 (G-LON × G-RA cross), and VX-5 (G-RA × G-LON cross) each return exactly 28 / 34 = 82.4% H1 support, with the same coverage-clean body class fully supported in every chunk and the same constrained-inner body class fully unsupported in every chunk. This is unprecedented uniformity across same-coord, forward-cross, and inverse-cross constructions and is itself a structural signature of VX-origin geometry.</w:t>
      </w:r>
    </w:p>
    <w:p>
      <w:pPr>
        <w:pStyle w:val="Heading1"/>
        <w:spacing w:after="180" w:before="360"/>
      </w:pPr>
      <w:r>
        <w:t xml:space="preserve">§8. Temporal Persistence Summary</w:t>
      </w:r>
    </w:p>
    <w:p>
      <w:pPr>
        <w:spacing w:after="80" w:before="80"/>
      </w:pPr>
      <w:r>
        <w:t xml:space="preserve">Phase B classification counts under each temporal scheme, panel-wide across 204 VX evaluations: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700"/>
        <w:gridCol w:w="2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Scheme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2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 + Persistent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159</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26</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178 / 204 (87.3%)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5-block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161</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30</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174 / 204 (85.3%)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7-block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158</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28</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176 / 204 (86.3%)</w:t>
            </w:r>
          </w:p>
        </w:tc>
      </w:tr>
    </w:tbl>
    <w:p>
      <w:r>
        <w:t xml:space="preserve"/>
      </w:r>
    </w:p>
    <w:p>
      <w:pPr>
        <w:spacing w:after="80" w:before="80"/>
      </w:pPr>
      <w:r>
        <w:t xml:space="preserve">Body-class breakdown under the strictest 7-block scheme: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66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Body class</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Anchor</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Persistent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Fragile</w:t>
            </w:r>
          </w:p>
        </w:tc>
        <w:tc>
          <w:tcPr>
            <w:tcW w:type="dxa" w:w="1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A+P (%)</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A (MO, MA, VS, PA, JN, 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72/72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PoF (PFff, PFdn)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24/24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B (JU, NN)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24/24 (100%)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Tier C (SA)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3</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9/12 (75.0%)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Constrained inner (ME, VE, SU)</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16</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20/36 (55.6%)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Sparse outer (UR, NE, PL)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9</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27/36 (75.0%)</w:t>
            </w:r>
          </w:p>
        </w:tc>
      </w:tr>
    </w:tbl>
    <w:p>
      <w:r>
        <w:t xml:space="preserve"/>
      </w:r>
    </w:p>
    <w:p>
      <w:pPr>
        <w:spacing w:after="80" w:before="80"/>
      </w:pPr>
      <w:r>
        <w:t xml:space="preserve">The Tier A 7-block result (72 / 72 = 100% anchor) is the single strongest temporal-validation outcome in Phase 1. Coupled with PoF at 100% anchor and Tier B at 100% anchor or persistent, the well-sampled motion classes under VX-origin geometry are not merely detectable — they are temporally rigid across increasingly fine historical partitioning schemes.</w:t>
      </w:r>
    </w:p>
    <w:p>
      <w:pPr>
        <w:spacing w:after="80" w:before="80"/>
      </w:pPr>
      <w:r>
        <w:t xml:space="preserve">Cross-batch comparison of sparse-outer 7-block persistence reveals a structurally distinct topology between VX and MC. Both batches arrive at near-identical anchor+persistent totals on the sparse outer class (VX 27/36 = 75.0%; MC 28/36 = 77.8%), but the internal composition differs sharply: VX produces 27 anchor / 0 persistent / 9 fragile, while MC produces 12 anchor / 16 persistent / 8 fragile. Where VX detects sparse-outer structure, that structure stabilizes immediately into the anchor regime; where it does not detect, the structure fails into fragility. MC, by contrast, generates a graduated middle regime in which sparse-outer structures recur across blocks but rarely consolidate into anchors. The two origin systems therefore exhibit different stability topologies on coverage-mismatched body classes — VX a binary stabilize-or-collapse pattern, MC a graduated persistence gradient.</w:t>
      </w:r>
    </w:p>
    <w:p>
      <w:pPr>
        <w:pStyle w:val="Heading1"/>
        <w:spacing w:after="180" w:before="360"/>
      </w:pPr>
      <w:r>
        <w:t xml:space="preserve">§9. Locked Statements</w:t>
      </w:r>
    </w:p>
    <w:p>
      <w:pPr>
        <w:spacing w:after="80" w:before="80"/>
      </w:pPr>
      <w:r>
        <w:t xml:space="preserve">These statements are proposed as the VX-batch equivalents of MC Batch Summary v1.1-final Statements MC-1 through MC-6. They are intended for cross-review with ChatG before lock; once locked, they become controlled vocabulary for the VX-origin panel and may not be modified retroactively.</w:t>
      </w:r>
    </w:p>
    <w:p>
      <w:pPr>
        <w:pStyle w:val="Heading2"/>
        <w:spacing w:after="120" w:before="240"/>
      </w:pPr>
      <w:r>
        <w:t xml:space="preserve">Statement VX-1 — Confirmatory H1 support, panel-wide rate</w:t>
      </w:r>
    </w:p>
    <w:p>
      <w:pPr>
        <w:spacing w:after="80" w:before="80"/>
      </w:pPr>
      <w:r>
        <w:t xml:space="preserve">The Vertex (VX) origin panel comprises six pre-registered constructions and 204 target-body evaluations under the locked Phase A pipeline (schema 2.0.2). Of these, 163 satisfy the pre-registered H1 support criterion (lock_succeeded = True; peak_smoothed_lift &gt; 1.15; peak_smoothed_count ≥ 30), yielding a panel-wide support rate of 79.9%, well above the 50% pre-registered threshold and the highest panel-wide H1 support rate observed among the completed Phase 1 origin batches to date.</w:t>
      </w:r>
    </w:p>
    <w:p>
      <w:pPr>
        <w:pStyle w:val="Heading2"/>
        <w:spacing w:after="120" w:before="240"/>
      </w:pPr>
      <w:r>
        <w:t xml:space="preserve">Statement VX-2 — Detection robustness on coverage-clean bodies, with elevated temporal stability</w:t>
      </w:r>
    </w:p>
    <w:p>
      <w:pPr>
        <w:spacing w:after="80" w:before="80"/>
      </w:pPr>
      <w:r>
        <w:t xml:space="preserve">Among the coverage-clean target body classes (Tier A, PoF, Tier B, Tier C), VX achieves H1 support in 132 of 132 evaluations (100%) across all six chunks and across both targets, identical to the Asc and MC batches. Phase B temporal persistence under the locked Phase A parameters classifies 129 of these 132 evaluations as anchor or persistent under the strictest 7-block scheme (97.7%). The Tier A class anchors at 72 / 72 = 100% under the 7-block scheme — the strongest temporal-validation outcome observed in Phase 1 to date — and PoF anchors at 24 / 24 = 100% under all three temporal schemes. The well-sampled motion classes under VX-origin geometry are temporally rigid across increasingly fine historical partitioning schemes.</w:t>
      </w:r>
    </w:p>
    <w:p>
      <w:pPr>
        <w:pStyle w:val="Heading2"/>
        <w:spacing w:after="120" w:before="240"/>
      </w:pPr>
      <w:r>
        <w:t xml:space="preserve">Statement VX-3 — Construction-class uniformity in the global-equatorial / ecliptic regime</w:t>
      </w:r>
    </w:p>
    <w:p>
      <w:pPr>
        <w:spacing w:after="80" w:before="80"/>
      </w:pPr>
      <w:r>
        <w:t xml:space="preserve">Across the four global-equatorial / ecliptic chunks (VX-1 G-LON same-coord, VX-2 G-RA same-coord, VX-4 G-LON × G-RA cross-coord, VX-5 G-RA × G-LON cross-coord), VX produces exactly 28 / 34 = 82.4% H1 support in every chunk, with identical coverage-clean / constrained-inner partition: 28 of 28 coverage-clean evaluations supported, 0 of 6 constrained-inner evaluations supported. This degree of cross-construction support uniformity is unprecedented in the Phase 1 batches examined to date. The two G-AZ-target chunks (VX-6 G-LON × G-AZ and VX-8 G-RA × G-AZ) yield lower support (73.5% and 76.5% respectively) consistent with the framework prediction that target-side G-AZ achieves full-circle separation-domain coverage via daily rotation but at lower per-degree sampling density. No within-VX construction crosses the concentration regime; all six VX chunks are global-regime.</w:t>
      </w:r>
    </w:p>
    <w:p>
      <w:pPr>
        <w:pStyle w:val="Heading2"/>
        <w:spacing w:after="120" w:before="240"/>
      </w:pPr>
      <w:r>
        <w:t xml:space="preserve">Statement VX-4 — Coverage-driven failure geometry, with binary partition</w:t>
      </w:r>
    </w:p>
    <w:p>
      <w:pPr>
        <w:spacing w:after="80" w:before="80"/>
      </w:pPr>
      <w:r>
        <w:t xml:space="preserve">All 41 H1-unsupported evaluations in the VX batch are accounted for by geometric mismatch between the 360° angular-separation measurement system and the bodies' actual geocentric motion: 32 of 41 on the constrained-motion inner planets (Mercury, Venus, Sun) and 9 of 41 on the sparse outer planets (Uranus, Neptune, Pluto). All 41 failures are count-floor failures rather than lock or lift-floor failures. The constrained-inner failure pattern is more concentrated under VX than under Asc or MC: across the four global-equatorial / ecliptic chunks, VX produces an unusually sharp partition between coverage-clean bodies (28 of 28 supported in every chunk) and constrained-inner bodies (0 of 6 supported in every chunk), without the sporadic G-RA-involved inner-planet recoveries that characterized the MC and Asc batches.</w:t>
      </w:r>
    </w:p>
    <w:p>
      <w:pPr>
        <w:pStyle w:val="Heading2"/>
        <w:spacing w:after="120" w:before="240"/>
      </w:pPr>
      <w:r>
        <w:t xml:space="preserve">Statement VX-5 — Coverage-interaction efficiency on sparse outer planets in the global regime</w:t>
      </w:r>
    </w:p>
    <w:p>
      <w:pPr>
        <w:spacing w:after="80" w:before="80"/>
      </w:pPr>
      <w:r>
        <w:t xml:space="preserve">Across the four global-equatorial / ecliptic chunks of the VX batch (VX-1, 2, 4, 5), every sparse-outer-planet evaluation (Uranus, Neptune, Pluto in both targets) clears the H1 support criterion: 24 of 24 evaluations supported, with peak counts in the 44–277 range. The corresponding chunks of the MC batch yielded 13 of 24 sparse-outer evaluations supported, and the corresponding chunks of the Asc batch yielded fewer. Under the G-AZ-target chunks (VX-6 and VX-8), sparse-outer support drops to 3 of 12, body-specific (Neptune High supported in both, Uranus High supported in VX-6 only, Pluto unsupported throughout). VX's sparse-outer support advantage relative to MC and Asc is therefore real but bounded to the global-equatorial / ecliptic regime, with partial preservation under target G-AZ. The most likely mechanism is differential coverage interaction — that is, joint-distribution density between origin and target — rather than differential marginal coverage of either component frame; this is consistent with the angle-origin coverage diagnostic, which shows VX G-LON and G-RA at 359 / 360 occupied bins, comparable to but not dramatically different from MC and Asc.</w:t>
      </w:r>
    </w:p>
    <w:p>
      <w:pPr>
        <w:pStyle w:val="Heading2"/>
        <w:spacing w:after="120" w:before="240"/>
      </w:pPr>
      <w:r>
        <w:t xml:space="preserve">Statement VX-6 — Distinct stability topology on coverage-mismatched body classes</w:t>
      </w:r>
    </w:p>
    <w:p>
      <w:pPr>
        <w:spacing w:after="80" w:before="80"/>
      </w:pPr>
      <w:r>
        <w:t xml:space="preserve">Under the strictest 7-block temporal scheme, VX and MC produce nearly identical anchor-plus-persistent totals on the sparse outer planet class (VX 27 / 36 = 75.0%; MC 28 / 36 = 77.8%), but the internal composition of those totals differs structurally. VX produces 27 anchor / 0 persistent / 9 fragile, while MC produces 12 anchor / 16 persistent / 8 fragile. Where VX detects sparse-outer structure, that structure stabilizes directly into the anchor regime under historical block partitioning; where it does not detect, the structure fails into fragility. MC, by contrast, generates a substantial middle regime in which sparse-outer structures recur across blocks but rarely consolidate into anchors. The two origin systems therefore exhibit different stability topologies on coverage-mismatched body classes: VX a binary stabilize-or-collapse pattern, MC a graduated persistence gradient. This distinction is descriptive at the present stage and is reserved for further characterization in subsequent batches and in the Discussion section of Paper 1.</w:t>
      </w:r>
    </w:p>
    <w:p>
      <w:pPr>
        <w:pStyle w:val="Heading1"/>
        <w:spacing w:after="180" w:before="360"/>
      </w:pPr>
      <w:r>
        <w:t xml:space="preserve">§10. Methodological Compliance and Forward Path</w:t>
      </w:r>
    </w:p>
    <w:p>
      <w:pPr>
        <w:spacing w:after="80" w:before="80"/>
      </w:pPr>
      <w:r>
        <w:t xml:space="preserve">All VX chunks were executed under the locked engine (schema 2.0.2) without modification. No threshold changes, no feature redefinitions, no engine edits were made during VX-batch execution. Filter M1 (VX G-AZ-origin chunks excluded) was applied pre-execution under the OSF deviation policy as an Issue, not a Deviation. Filter M2 (PoF availability) was not active for VX chunks. Filter M3 (concentration regime) is not applicable to VX, which is global-regime by construction. Registry growth across the six VX chunks was 498 → 532 → 566 → 600 → 634 → 668 → 702, exactly +34 per chunk, with zero dedupe collisions and zero locking failures.</w:t>
      </w:r>
    </w:p>
    <w:p>
      <w:pPr>
        <w:spacing w:after="80" w:before="80"/>
      </w:pPr>
      <w:r>
        <w:t xml:space="preserve">The VX batch is submitted for cross-review with ChatG. On lock, VX results become the third of six pre-registered batches in Phase 1 (Asc complete; MC complete; VX complete; EA, MO, ME pending). The next forward batch is EA (East Point), which has the full nine-construction structure analogous to Asc, including local concentration-regime chunks under the bounded G-AZ origin arc (68°–112°). After EA, MO (Moon-origin) and ME (Mercury-origin) close Phase 1.</w:t>
      </w:r>
    </w:p>
    <w:p>
      <w:pPr>
        <w:pStyle w:val="Heading1"/>
        <w:spacing w:after="180" w:before="360"/>
      </w:pPr>
      <w:r>
        <w:t xml:space="preserve">§11. Document Status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Document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VX Batch Summary v1.1-final</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Lock-ready (PI sign-off pending)</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Modeled 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MC Batch Summary v1.1-final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Engine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cell_v2_batch_v2_0_2 (schema 2.0.2)</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Workflow</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OMNI_Workflow_v1 §7</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Controlled vocabulary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paper_language.md (Sampling-Geometry Principle; Two-Regime Signal Architecture; Concentration-Regime Caveat)</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Predecessor handoffs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Asc Batch Summary v5 (locked); MC Batch Summary v1.1-final (locked)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Reviewer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 — review complete (lock-ready)</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v1 → v1.1-final</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ChatG-suggested wording softening: 'highest panel-wide support rate observed in Phase 1' → '...observed among the completed Phase 1 origin batches' (§2 + Statement VX-1); 'perfectly binary partition' → 'unusually sharp partition' (§6 + Statement VX-4)</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Authority</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Operational summary; not a substitute for locked artifacts</w:t>
            </w:r>
          </w:p>
        </w:tc>
      </w:tr>
    </w:tbl>
    <w:p>
      <w:r>
        <w:t xml:space="preserve"/>
      </w:r>
    </w:p>
    <w:p>
      <w:pPr>
        <w:spacing w:before="360"/>
        <w:jc w:val="center"/>
      </w:pPr>
      <w:r>
        <w:rPr>
          <w:i/>
          <w:iCs/>
        </w:rPr>
        <w:t xml:space="preserve">End of VX Batch Summary v1.1-final.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VX Batch Summary v1.1-final</dc:title>
  <dc:creator>OMNI Geometry MLB / Claude</dc:creator>
  <cp:lastModifiedBy>Un-named</cp:lastModifiedBy>
  <cp:revision>1</cp:revision>
  <dcterms:created xsi:type="dcterms:W3CDTF">2026-05-09T10:33:25.263Z</dcterms:created>
  <dcterms:modified xsi:type="dcterms:W3CDTF">2026-05-09T10:33:25.264Z</dcterms:modified>
</cp:coreProperties>
</file>

<file path=docProps/custom.xml><?xml version="1.0" encoding="utf-8"?>
<Properties xmlns="http://schemas.openxmlformats.org/officeDocument/2006/custom-properties" xmlns:vt="http://schemas.openxmlformats.org/officeDocument/2006/docPropsVTypes"/>
</file>