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6"/>
          <w:szCs w:val="36"/>
        </w:rPr>
        <w:t xml:space="preserve">PAPER 1 — SECTION 2: METHODS (v4)</w:t>
      </w:r>
    </w:p>
    <w:p>
      <w:pPr>
        <w:spacing w:after="80"/>
        <w:jc w:val="center"/>
      </w:pPr>
      <w:r>
        <w:rPr>
          <w:rFonts w:ascii="Calibri" w:cs="Calibri" w:eastAsia="Calibri" w:hAnsi="Calibri"/>
          <w:i/>
          <w:iCs/>
          <w:sz w:val="26"/>
          <w:szCs w:val="26"/>
        </w:rPr>
        <w:t xml:space="preserve">External Geometric Drivers of Performance</w:t>
      </w:r>
    </w:p>
    <w:p>
      <w:pPr>
        <w:spacing w:after="80"/>
        <w:jc w:val="center"/>
      </w:pPr>
      <w:r>
        <w:rPr>
          <w:rFonts w:ascii="Calibri" w:cs="Calibri" w:eastAsia="Calibri" w:hAnsi="Calibri"/>
          <w:sz w:val="22"/>
          <w:szCs w:val="22"/>
        </w:rPr>
        <w:t xml:space="preserve">OMNI Geometry MLB</w:t>
      </w:r>
    </w:p>
    <w:p>
      <w:pPr>
        <w:spacing w:after="80"/>
        <w:jc w:val="center"/>
      </w:pPr>
      <w:r>
        <w:rPr>
          <w:rFonts w:ascii="Calibri" w:cs="Calibri" w:eastAsia="Calibri" w:hAnsi="Calibri"/>
          <w:i/>
          <w:iCs/>
          <w:sz w:val="20"/>
          <w:szCs w:val="20"/>
        </w:rPr>
        <w:t xml:space="preserve">Locked publication-grade draft (v4) — 2026-05-04</w:t>
      </w:r>
    </w:p>
    <w:p>
      <w:pPr>
        <w:spacing w:after="80"/>
        <w:jc w:val="center"/>
      </w:pPr>
      <w:r>
        <w:rPr>
          <w:rFonts w:ascii="Calibri" w:cs="Calibri" w:eastAsia="Calibri" w:hAnsi="Calibri"/>
          <w:i/>
          <w:iCs/>
          <w:sz w:val="18"/>
          <w:szCs w:val="18"/>
        </w:rPr>
        <w:t xml:space="preserve">v4 incorporates: angle-origin coverage diagnostic, four-regime sampling-geometry framework, separation-domain principle, MC/VX G-AZ structural exclusion, PoF aspect-file domain restrictions, concentration-regime interpretive framing. ChatGPT round-2 hostile-review corrections integrated.</w:t>
      </w:r>
    </w:p>
    <w:p>
      <w:pPr>
        <w:spacing w:after="480"/>
        <w:jc w:val="center"/>
      </w:pPr>
      <w:r>
        <w:rPr>
          <w:rFonts w:ascii="Calibri" w:cs="Calibri" w:eastAsia="Calibri" w:hAnsi="Calibri"/>
          <w:b/>
          <w:bCs/>
          <w:sz w:val="22"/>
          <w:szCs w:val="22"/>
        </w:rPr>
        <w:t xml:space="preserve">Copyright © 2026 Courtney Roberts Conrad. All rights reserved.</w:t>
      </w:r>
    </w:p>
    <w:p>
      <w:pPr>
        <w:pStyle w:val="Heading1"/>
        <w:spacing w:after="240" w:before="360"/>
      </w:pPr>
      <w:r>
        <w:rPr>
          <w:rFonts w:ascii="Calibri" w:cs="Calibri" w:eastAsia="Calibri" w:hAnsi="Calibri"/>
          <w:b/>
          <w:bCs/>
          <w:sz w:val="32"/>
          <w:szCs w:val="32"/>
        </w:rPr>
        <w:t xml:space="preserve">2. Methods</w:t>
      </w:r>
    </w:p>
    <w:p>
      <w:pPr>
        <w:pStyle w:val="Heading2"/>
        <w:spacing w:after="180" w:before="320"/>
      </w:pPr>
      <w:r>
        <w:rPr>
          <w:rFonts w:ascii="Calibri" w:cs="Calibri" w:eastAsia="Calibri" w:hAnsi="Calibri"/>
          <w:b/>
          <w:bCs/>
          <w:sz w:val="28"/>
          <w:szCs w:val="28"/>
        </w:rPr>
        <w:t xml:space="preserve">2.1 Data and study design</w:t>
      </w:r>
    </w:p>
    <w:p>
      <w:pPr>
        <w:spacing w:after="200"/>
        <w:jc w:val="left"/>
      </w:pPr>
      <w:r>
        <w:rPr>
          <w:rFonts w:ascii="Calibri" w:cs="Calibri" w:eastAsia="Calibri" w:hAnsi="Calibri"/>
          <w:b w:val="false"/>
          <w:bCs w:val="false"/>
          <w:i w:val="false"/>
          <w:iCs w:val="false"/>
          <w:sz w:val="22"/>
          <w:szCs w:val="22"/>
        </w:rPr>
        <w:t xml:space="preserve">The dataset comprises Major League Baseball (MLB) game outcomes spanning 2000-01-01 to 2024-12-31, totaling approximately 57,635 games, with a small number of records excluded due to pre-identified data-quality issues. Specifically, a February 2024 anomaly present in the source dataset (MLB 2000-no02-2024) was removed prior to any Phase 1 analysis. This exclusion was performed solely for data integrity purposes and was not informed by outcome variables or feature behavior.</w:t>
      </w:r>
    </w:p>
    <w:p>
      <w:pPr>
        <w:spacing w:after="200"/>
        <w:jc w:val="left"/>
      </w:pPr>
      <w:r>
        <w:rPr>
          <w:rFonts w:ascii="Calibri" w:cs="Calibri" w:eastAsia="Calibri" w:hAnsi="Calibri"/>
          <w:b w:val="false"/>
          <w:bCs w:val="false"/>
          <w:i w:val="false"/>
          <w:iCs w:val="false"/>
          <w:sz w:val="22"/>
          <w:szCs w:val="22"/>
        </w:rPr>
        <w:t xml:space="preserve">Each game is treated as an independent event defined by its start time and location. Astronomical positional data were calculated for each event, and angular relationships between reference points (origins) and celestial bodies were evaluated as candidate features.</w:t>
      </w:r>
    </w:p>
    <w:p>
      <w:pPr>
        <w:spacing w:after="200"/>
        <w:jc w:val="left"/>
      </w:pPr>
      <w:r>
        <w:rPr>
          <w:rFonts w:ascii="Calibri" w:cs="Calibri" w:eastAsia="Calibri" w:hAnsi="Calibri"/>
          <w:b w:val="false"/>
          <w:bCs w:val="false"/>
          <w:i w:val="false"/>
          <w:iCs w:val="false"/>
          <w:sz w:val="22"/>
          <w:szCs w:val="22"/>
        </w:rPr>
        <w:t xml:space="preserve">Outcome variables were defined as binary indicators of high-scoring and low-scoring regimes, defined relative to dataset-wide game-level scoring distributions.</w:t>
      </w:r>
    </w:p>
    <w:p>
      <w:pPr>
        <w:pStyle w:val="Heading2"/>
        <w:spacing w:after="180" w:before="320"/>
      </w:pPr>
      <w:r>
        <w:rPr>
          <w:rFonts w:ascii="Calibri" w:cs="Calibri" w:eastAsia="Calibri" w:hAnsi="Calibri"/>
          <w:b/>
          <w:bCs/>
          <w:sz w:val="28"/>
          <w:szCs w:val="28"/>
        </w:rPr>
        <w:t xml:space="preserve">2.2 Coordinate systems and sampling geometry</w:t>
      </w:r>
    </w:p>
    <w:p>
      <w:pPr>
        <w:spacing w:after="200"/>
        <w:jc w:val="left"/>
      </w:pPr>
      <w:r>
        <w:rPr>
          <w:rFonts w:ascii="Calibri" w:cs="Calibri" w:eastAsia="Calibri" w:hAnsi="Calibri"/>
          <w:b w:val="false"/>
          <w:bCs w:val="false"/>
          <w:i w:val="false"/>
          <w:iCs w:val="false"/>
          <w:sz w:val="22"/>
          <w:szCs w:val="22"/>
        </w:rPr>
        <w:t xml:space="preserve">The analysis evaluates planetary–angle relationships across three coordinate systems: geocentric ecliptic longitude (G-LON), right ascension (G-RA), and azimuth (G-AZ). Each coordinate system captures a distinct geometric aspect of the local sky: G-LON encodes seasonal and orbital structure, G-RA encodes equatorial rotational structure, and G-AZ encodes local horizon-based geometry at the time and location of each event.</w:t>
      </w:r>
    </w:p>
    <w:p>
      <w:pPr>
        <w:spacing w:after="200"/>
        <w:jc w:val="left"/>
      </w:pPr>
      <w:r>
        <w:rPr>
          <w:rFonts w:ascii="Calibri" w:cs="Calibri" w:eastAsia="Calibri" w:hAnsi="Calibri"/>
          <w:b w:val="false"/>
          <w:bCs w:val="false"/>
          <w:i w:val="false"/>
          <w:iCs w:val="false"/>
          <w:sz w:val="22"/>
          <w:szCs w:val="22"/>
        </w:rPr>
        <w:t xml:space="preserve">A critical methodological constraint arises from the interaction between coordinate system and sampling geometry. Signal expression is governed not by coordinate system alone, but by the combination of coordinate system and the geometric domain over which observations are distributed. Valid angular-separation feature construction requires that the underlying coordinate distribution provide sufficient sampling density across the domain over which the separation statistic is computed. When this condition is not satisfied, angular-separation statistics become ill-posed, producing artificially narrow or degenerate peaks unrelated to underlying signal structure.</w:t>
      </w:r>
    </w:p>
    <w:p>
      <w:pPr>
        <w:spacing w:after="200"/>
        <w:jc w:val="left"/>
      </w:pPr>
      <w:r>
        <w:rPr>
          <w:rFonts w:ascii="Calibri" w:cs="Calibri" w:eastAsia="Calibri" w:hAnsi="Calibri"/>
          <w:b w:val="false"/>
          <w:bCs w:val="false"/>
          <w:i w:val="false"/>
          <w:iCs w:val="false"/>
          <w:sz w:val="22"/>
          <w:szCs w:val="22"/>
        </w:rPr>
        <w:t xml:space="preserve">Angular-separation features are defined as circular differences computed modulo 360°. As a result, the domain of angular separation is not constrained by the domain of the origin coordinate. When a bounded-origin coordinate (e.g., Ascendant G-AZ) is paired with a target that spans the full circular domain through temporal variation, the resulting separation values occupy the full 0–360° range. In this configuration, the origin functions as a moving reference frame rather than a limiting domain.</w:t>
      </w:r>
    </w:p>
    <w:p>
      <w:pPr>
        <w:spacing w:after="200"/>
        <w:jc w:val="left"/>
      </w:pPr>
      <w:r>
        <w:rPr>
          <w:rFonts w:ascii="Calibri" w:cs="Calibri" w:eastAsia="Calibri" w:hAnsi="Calibri"/>
          <w:b w:val="false"/>
          <w:bCs w:val="false"/>
          <w:i w:val="false"/>
          <w:iCs w:val="false"/>
          <w:sz w:val="22"/>
          <w:szCs w:val="22"/>
        </w:rPr>
        <w:t xml:space="preserve">The relationship between coordinate system, sampling geometry, and signal regime in the present study is summarized as follows: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3300"/>
      </w:tblGrid>
      <w:tr>
        <w:trPr>
          <w:tblHeader/>
        </w:trPr>
        <w:tc>
          <w:tcPr>
            <w:tcW w:type="dxa" w:w="2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Coordinate role</w:t>
            </w:r>
          </w:p>
        </w:tc>
        <w:tc>
          <w:tcPr>
            <w:tcW w:type="dxa" w:w="2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G-LON</w:t>
            </w:r>
          </w:p>
        </w:tc>
        <w:tc>
          <w:tcPr>
            <w:tcW w:type="dxa" w:w="2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G-RA</w:t>
            </w:r>
          </w:p>
        </w:tc>
        <w:tc>
          <w:tcPr>
            <w:tcW w:type="dxa" w:w="3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G-AZ</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Origin (4 angles: Asc, MC, VX, EA)</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 (≥97% of bins occupied for all four angles)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 (≥97% of bins occupied for all four angles)</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Bounded azimuthal arc (eastern horizon sector in this dataset) for Asc (53–126°, ~20% occupancy) and EA (68–112°, ~12.5% occupancy); structurally fixed and excluded for MC and VX</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Target (17 bodies)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 for Tier A bodies; coverage-limited for Tier B/C bodies (see Section 2.7)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 for Tier A bodies; coverage-limited for Tier B/C bodies (see Section 2.7)</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Effective full-circle coverage arises from Earth’s daily rotation, which cycles bodies through a broad azimuthal range over time. While instantaneous azimuth is constrained by declination and observer latitude, aggregate sampling across events produces effective full-domain coverage of the 0–360° separation space, as confirmed empirically by histogram-based occupancy diagnostics (Section 2.2.1).</w:t>
            </w:r>
          </w:p>
        </w:tc>
      </w:tr>
    </w:tbl>
    <w:p>
      <w:pPr>
        <w:spacing w:after="200"/>
        <w:jc w:val="left"/>
      </w:pPr>
      <w:r>
        <w:rPr>
          <w:rFonts w:ascii="Calibri" w:cs="Calibri" w:eastAsia="Calibri" w:hAnsi="Calibri"/>
          <w:b w:val="false"/>
          <w:bCs w:val="false"/>
          <w:i w:val="false"/>
          <w:iCs w:val="false"/>
          <w:sz w:val="22"/>
          <w:szCs w:val="22"/>
        </w:rPr>
        <w:t xml:space="preserve"/>
      </w:r>
    </w:p>
    <w:p>
      <w:pPr>
        <w:spacing w:after="200"/>
        <w:jc w:val="left"/>
      </w:pPr>
      <w:r>
        <w:rPr>
          <w:rFonts w:ascii="Calibri" w:cs="Calibri" w:eastAsia="Calibri" w:hAnsi="Calibri"/>
          <w:b w:val="false"/>
          <w:bCs w:val="false"/>
          <w:i w:val="false"/>
          <w:iCs w:val="false"/>
          <w:sz w:val="22"/>
          <w:szCs w:val="22"/>
        </w:rPr>
        <w:t xml:space="preserve">This framework yields two distinct signal regimes: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Global regime — origin and target both expressed in G-LON or G-RA, distributing observations across the full 0–360° domain and producing stable but spatially diffuse signal patterns.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Local (concentration) regime — origin expressed in G-AZ for Asc or EA, concentrating observations within a bounded azimuthal arc while separation values span the full circular domain, producing localized high-amplitude signal.</w:t>
      </w:r>
    </w:p>
    <w:p>
      <w:pPr>
        <w:spacing w:after="200"/>
        <w:jc w:val="left"/>
      </w:pPr>
      <w:r>
        <w:rPr>
          <w:rFonts w:ascii="Calibri" w:cs="Calibri" w:eastAsia="Calibri" w:hAnsi="Calibri"/>
          <w:b w:val="false"/>
          <w:bCs w:val="false"/>
          <w:i w:val="false"/>
          <w:iCs w:val="false"/>
          <w:sz w:val="22"/>
          <w:szCs w:val="22"/>
        </w:rPr>
        <w:t xml:space="preserve">Coordinate constructions in which MC or VX azimuth would serve as the origin are excluded from confirmatory testing. The Midheaven (MC) is defined by the local meridian and therefore occupies a highly constrained azimuthal range (approximately due south in the northern hemisphere), while the Vertex (VX) lies near the western horizon along the prime vertical. These geometrically constrained distributions do not approximate a valid circular sampling domain and therefore violate the assumptions required for 0–360° angular-separation feature construction. This exclusion represents a domain restriction rather than a post hoc filtering decision. For each of MC and VX, three of nine pre-registered constructions are excluded (same-coordinate G-AZ, G-AZ × G-LON cross, G-AZ × G-RA cross), leaving six valid constructions per origin.</w:t>
      </w:r>
    </w:p>
    <w:p>
      <w:pPr>
        <w:pStyle w:val="Heading3"/>
        <w:spacing w:after="140" w:before="240"/>
      </w:pPr>
      <w:r>
        <w:rPr>
          <w:rFonts w:ascii="Calibri" w:cs="Calibri" w:eastAsia="Calibri" w:hAnsi="Calibri"/>
          <w:b/>
          <w:bCs/>
          <w:i/>
          <w:iCs/>
          <w:sz w:val="24"/>
          <w:szCs w:val="24"/>
        </w:rPr>
        <w:t xml:space="preserve">2.2.1 Angle-origin coverage diagnostic</w:t>
      </w:r>
    </w:p>
    <w:p>
      <w:pPr>
        <w:spacing w:after="200"/>
        <w:jc w:val="left"/>
      </w:pPr>
      <w:r>
        <w:rPr>
          <w:rFonts w:ascii="Calibri" w:cs="Calibri" w:eastAsia="Calibri" w:hAnsi="Calibri"/>
          <w:b w:val="false"/>
          <w:bCs w:val="false"/>
          <w:i w:val="false"/>
          <w:iCs w:val="false"/>
          <w:sz w:val="22"/>
          <w:szCs w:val="22"/>
        </w:rPr>
        <w:t xml:space="preserve">Empirical coverage of the four angle origins (Asc, MC, VX, EA) was characterized prior to MC batch execution. For each angle in each frame, the angle’s position values across all 57,635 events in the locked base file were binned into 360 one-degree bins. Occupancy, span, and coefficient of variation were computed for each angle–frame combination. MC G-AZ and VX G-AZ position values were not generated by the Swiss Ephemeris pipeline (predating Phase 1 analysis) on the basis that their structurally constrained azimuth distributions would not support meaningful 360° angular-separation feature construction; this judgment is consistent with the geometric definitions of MC (meridian-anchored) and VX (prime-vertical-anchored) and is confirmed by the empirical distributions observed for the other two angles.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300"/>
        <w:gridCol w:w="1400"/>
        <w:gridCol w:w="800"/>
        <w:gridCol w:w="600"/>
        <w:gridCol w:w="3200"/>
      </w:tblGrid>
      <w:tr>
        <w:trPr>
          <w:tblHeader/>
        </w:trPr>
        <w:tc>
          <w:tcPr>
            <w:tcW w:type="dxa" w:w="6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Angle</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Frame</w:t>
            </w:r>
          </w:p>
        </w:tc>
        <w:tc>
          <w:tcPr>
            <w:tcW w:type="dxa" w:w="1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Occupied bins / 360</w:t>
            </w:r>
          </w:p>
        </w:tc>
        <w:tc>
          <w:tcPr>
            <w:tcW w:type="dxa" w:w="14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Coverage span</w:t>
            </w:r>
          </w:p>
        </w:tc>
        <w:tc>
          <w:tcPr>
            <w:tcW w:type="dxa" w:w="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Largest gap</w:t>
            </w:r>
          </w:p>
        </w:tc>
        <w:tc>
          <w:tcPr>
            <w:tcW w:type="dxa" w:w="6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CV</w:t>
            </w:r>
          </w:p>
        </w:tc>
        <w:tc>
          <w:tcPr>
            <w:tcW w:type="dxa" w:w="3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Status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4°</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0.79</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5°</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0.79</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Asc</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G-AZ</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72</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53°–126° (74°)</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2.79</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bounded eastern arc</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MC</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352</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0.70</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MC</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0.70</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MC</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G-AZ</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not in pipeline; structurally fixed near meridian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VX</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0.85</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VX</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0.84</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VX</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G-AZ</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not in pipeline; structurally fixed near prime vertical</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EA</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0.71</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EA</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0.70</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EA</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G-AZ</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45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68°–112° (45°)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3.73</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bounded eastern arc</w:t>
            </w:r>
          </w:p>
        </w:tc>
      </w:tr>
    </w:tbl>
    <w:p>
      <w:pPr>
        <w:spacing w:after="200"/>
        <w:jc w:val="left"/>
      </w:pPr>
      <w:r>
        <w:rPr>
          <w:rFonts w:ascii="Calibri" w:cs="Calibri" w:eastAsia="Calibri" w:hAnsi="Calibri"/>
          <w:b w:val="false"/>
          <w:bCs w:val="false"/>
          <w:i w:val="false"/>
          <w:iCs w:val="false"/>
          <w:sz w:val="22"/>
          <w:szCs w:val="22"/>
        </w:rPr>
        <w:t xml:space="preserve"/>
      </w:r>
    </w:p>
    <w:p>
      <w:pPr>
        <w:spacing w:after="200"/>
        <w:jc w:val="left"/>
      </w:pPr>
      <w:r>
        <w:rPr>
          <w:rFonts w:ascii="Calibri" w:cs="Calibri" w:eastAsia="Calibri" w:hAnsi="Calibri"/>
          <w:b w:val="false"/>
          <w:bCs w:val="false"/>
          <w:i w:val="false"/>
          <w:iCs w:val="false"/>
          <w:sz w:val="22"/>
          <w:szCs w:val="22"/>
        </w:rPr>
        <w:t xml:space="preserve">Angle-origin azimuth does not generally span the full 0–360° domain. In the present dataset, Asc G-AZ occupies a bounded azimuthal arc (eastern horizon sector) of 53°–126° and EA G-AZ occupies 68°–112°. These bounded domains remain variable and densely sampled within their occupied arcs (largest gap between consecutive occupied bins: 3° for Asc, 1° for EA), supporting valid angular-separation feature construction for target bodies whose azimuthal coverage spans the full 360° via aggregate sampling under daily rotation. The coefficient of variation values for Asc G-AZ (2.79) and EA G-AZ (3.73) reflect the empty-bin fraction outside the occupied arc; within the occupied arc, sampling is dense and reasonably uniform.</w:t>
      </w:r>
    </w:p>
    <w:p>
      <w:pPr>
        <w:spacing w:after="200"/>
        <w:jc w:val="left"/>
      </w:pPr>
      <w:r>
        <w:rPr>
          <w:rFonts w:ascii="Calibri" w:cs="Calibri" w:eastAsia="Calibri" w:hAnsi="Calibri"/>
          <w:b w:val="false"/>
          <w:bCs w:val="false"/>
          <w:i w:val="false"/>
          <w:iCs w:val="false"/>
          <w:sz w:val="22"/>
          <w:szCs w:val="22"/>
        </w:rPr>
        <w:t xml:space="preserve">By contrast, MC and VX azimuthal positions are geometrically constrained by the meridian and prime vertical, respectively, and do not provide a valid circular sampling domain for G-AZ-origin angular-separation analysis.</w:t>
      </w:r>
    </w:p>
    <w:p>
      <w:pPr>
        <w:pStyle w:val="Heading2"/>
        <w:spacing w:after="180" w:before="320"/>
      </w:pPr>
      <w:r>
        <w:rPr>
          <w:rFonts w:ascii="Calibri" w:cs="Calibri" w:eastAsia="Calibri" w:hAnsi="Calibri"/>
          <w:b/>
          <w:bCs/>
          <w:sz w:val="28"/>
          <w:szCs w:val="28"/>
        </w:rPr>
        <w:t xml:space="preserve">2.3 Feature construction</w:t>
      </w:r>
    </w:p>
    <w:p>
      <w:pPr>
        <w:spacing w:after="200"/>
        <w:jc w:val="left"/>
      </w:pPr>
      <w:r>
        <w:rPr>
          <w:rFonts w:ascii="Calibri" w:cs="Calibri" w:eastAsia="Calibri" w:hAnsi="Calibri"/>
          <w:b w:val="false"/>
          <w:bCs w:val="false"/>
          <w:i w:val="false"/>
          <w:iCs w:val="false"/>
          <w:sz w:val="22"/>
          <w:szCs w:val="22"/>
        </w:rPr>
        <w:t xml:space="preserve">Angular separation features were computed between origin points (e.g., Ascendant) and celestial bodies using a consistent fast → slow directional convention.</w:t>
      </w:r>
    </w:p>
    <w:p>
      <w:pPr>
        <w:spacing w:after="200"/>
        <w:jc w:val="left"/>
      </w:pPr>
      <w:r>
        <w:rPr>
          <w:rFonts w:ascii="Calibri" w:cs="Calibri" w:eastAsia="Calibri" w:hAnsi="Calibri"/>
          <w:b w:val="false"/>
          <w:bCs w:val="false"/>
          <w:i w:val="false"/>
          <w:iCs w:val="false"/>
          <w:sz w:val="22"/>
          <w:szCs w:val="22"/>
        </w:rPr>
        <w:t xml:space="preserve">For each origin–body pair, nine constructions were evaluated:</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3 same-coordinate constructions (G-LON, G-RA, G-AZ)</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6 cross-coordinate constructions (all ordered pairings of the three coordinate systems)</w:t>
      </w:r>
    </w:p>
    <w:p>
      <w:pPr>
        <w:spacing w:after="200"/>
        <w:jc w:val="left"/>
      </w:pPr>
      <w:r>
        <w:rPr>
          <w:rFonts w:ascii="Calibri" w:cs="Calibri" w:eastAsia="Calibri" w:hAnsi="Calibri"/>
          <w:b w:val="false"/>
          <w:bCs w:val="false"/>
          <w:i w:val="false"/>
          <w:iCs w:val="false"/>
          <w:sz w:val="22"/>
          <w:szCs w:val="22"/>
        </w:rPr>
        <w:t xml:space="preserve">Each feature was evaluated independently for both outcome targets.</w:t>
      </w:r>
    </w:p>
    <w:p>
      <w:pPr>
        <w:spacing w:after="200"/>
        <w:jc w:val="left"/>
      </w:pPr>
      <w:r>
        <w:rPr>
          <w:rFonts w:ascii="Calibri" w:cs="Calibri" w:eastAsia="Calibri" w:hAnsi="Calibri"/>
          <w:b w:val="false"/>
          <w:bCs w:val="false"/>
          <w:i w:val="false"/>
          <w:iCs w:val="false"/>
          <w:sz w:val="22"/>
          <w:szCs w:val="22"/>
        </w:rPr>
        <w:t xml:space="preserve">Part of Fortune variants (PFff and PFdn) are calculated points whose formulas reference the Ascendant. They are not identical to the Ascendant; consequently, Asc × PF features measure the geometric separation between two non-identical but partially co-defined points, and retain meaningful geometric interpretation despite partial mathematical dependency.</w:t>
      </w:r>
    </w:p>
    <w:p>
      <w:pPr>
        <w:pStyle w:val="Heading2"/>
        <w:spacing w:after="180" w:before="320"/>
      </w:pPr>
      <w:r>
        <w:rPr>
          <w:rFonts w:ascii="Calibri" w:cs="Calibri" w:eastAsia="Calibri" w:hAnsi="Calibri"/>
          <w:b/>
          <w:bCs/>
          <w:sz w:val="28"/>
          <w:szCs w:val="28"/>
        </w:rPr>
        <w:t xml:space="preserve">2.4 Pre-registered support criterion (H1)</w:t>
      </w:r>
    </w:p>
    <w:p>
      <w:pPr>
        <w:spacing w:after="200"/>
        <w:jc w:val="left"/>
      </w:pPr>
      <w:r>
        <w:rPr>
          <w:rFonts w:ascii="Calibri" w:cs="Calibri" w:eastAsia="Calibri" w:hAnsi="Calibri"/>
          <w:b w:val="false"/>
          <w:bCs w:val="false"/>
          <w:i w:val="false"/>
          <w:iCs w:val="false"/>
          <w:sz w:val="22"/>
          <w:szCs w:val="22"/>
        </w:rPr>
        <w:t xml:space="preserve">Feature-level support was defined according to pre-registered criteria established during Phase A/B exploratory analysis and carried forward without modification:</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peak_smoothed_lift &gt; 1.15</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peak_smoothed_count ≥ 30</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lock_succeeded = True</w:t>
      </w:r>
    </w:p>
    <w:p>
      <w:pPr>
        <w:spacing w:after="200"/>
        <w:jc w:val="left"/>
      </w:pPr>
      <w:r>
        <w:rPr>
          <w:rFonts w:ascii="Calibri" w:cs="Calibri" w:eastAsia="Calibri" w:hAnsi="Calibri"/>
          <w:b w:val="false"/>
          <w:bCs w:val="false"/>
          <w:i w:val="false"/>
          <w:iCs w:val="false"/>
          <w:sz w:val="22"/>
          <w:szCs w:val="22"/>
        </w:rPr>
        <w:t xml:space="preserve">These thresholds originate from Phase B v4 cross-frame calibration experiments and were fixed prior to Phase 1 confirmatory analysis.</w:t>
      </w:r>
    </w:p>
    <w:p>
      <w:pPr>
        <w:spacing w:after="200"/>
        <w:jc w:val="left"/>
      </w:pPr>
      <w:r>
        <w:rPr>
          <w:rFonts w:ascii="Calibri" w:cs="Calibri" w:eastAsia="Calibri" w:hAnsi="Calibri"/>
          <w:b w:val="false"/>
          <w:bCs w:val="false"/>
          <w:i w:val="false"/>
          <w:iCs w:val="false"/>
          <w:sz w:val="22"/>
          <w:szCs w:val="22"/>
        </w:rPr>
        <w:t xml:space="preserve">Panel-level support was evaluated as the proportion of feature–target evaluations satisfying all three criteria.</w:t>
      </w:r>
    </w:p>
    <w:p>
      <w:pPr>
        <w:spacing w:after="200"/>
        <w:jc w:val="left"/>
      </w:pPr>
      <w:r>
        <w:rPr>
          <w:rFonts w:ascii="Calibri" w:cs="Calibri" w:eastAsia="Calibri" w:hAnsi="Calibri"/>
          <w:b w:val="false"/>
          <w:bCs w:val="false"/>
          <w:i w:val="false"/>
          <w:iCs w:val="false"/>
          <w:sz w:val="22"/>
          <w:szCs w:val="22"/>
        </w:rPr>
        <w:t xml:space="preserve">In addition to the binary support criterion, effect-size interpretation explicitly excludes degenerate cases. High-lift, low-support peaks (e.g., single-event maxima) are treated as artifacts of sparse sampling and are not interpreted as confirmatory evidence.</w:t>
      </w:r>
    </w:p>
    <w:p>
      <w:pPr>
        <w:spacing w:after="200"/>
        <w:jc w:val="left"/>
      </w:pPr>
      <w:r>
        <w:rPr>
          <w:rFonts w:ascii="Calibri" w:cs="Calibri" w:eastAsia="Calibri" w:hAnsi="Calibri"/>
          <w:b w:val="false"/>
          <w:bCs w:val="false"/>
          <w:i w:val="false"/>
          <w:iCs w:val="false"/>
          <w:sz w:val="22"/>
          <w:szCs w:val="22"/>
        </w:rPr>
        <w:t xml:space="preserve">Elevated lift values in G-AZ-origin constructions reflect concentration of observations within a bounded sampling domain, which amplifies contrast in angular-separation distributions. This concentration effect influences measured lift magnitude and must be considered when comparing across coordinate regimes, but does not invalidate the presence of statistically supported signal. Cross-regime lift comparisons are descriptive only; comparable effect-size estimation across regimes is reserved for coverage-aware modeling in Phase 2.</w:t>
      </w:r>
    </w:p>
    <w:p>
      <w:pPr>
        <w:pStyle w:val="Heading2"/>
        <w:spacing w:after="180" w:before="320"/>
      </w:pPr>
      <w:r>
        <w:rPr>
          <w:rFonts w:ascii="Calibri" w:cs="Calibri" w:eastAsia="Calibri" w:hAnsi="Calibri"/>
          <w:b/>
          <w:bCs/>
          <w:sz w:val="28"/>
          <w:szCs w:val="28"/>
        </w:rPr>
        <w:t xml:space="preserve">2.5 Batch execution and reproducibility</w:t>
      </w:r>
    </w:p>
    <w:p>
      <w:pPr>
        <w:spacing w:after="200"/>
        <w:jc w:val="left"/>
      </w:pPr>
      <w:r>
        <w:rPr>
          <w:rFonts w:ascii="Calibri" w:cs="Calibri" w:eastAsia="Calibri" w:hAnsi="Calibri"/>
          <w:b w:val="false"/>
          <w:bCs w:val="false"/>
          <w:i w:val="false"/>
          <w:iCs w:val="false"/>
          <w:sz w:val="22"/>
          <w:szCs w:val="22"/>
        </w:rPr>
        <w:t xml:space="preserve">Features were evaluated in structured batches corresponding to the nine coordinate constructions per origin. Execution proceeded from same-coordinate to cross-coordinate constructions, with forward and inverse directions explicitly tested.</w:t>
      </w:r>
    </w:p>
    <w:p>
      <w:pPr>
        <w:spacing w:after="200"/>
        <w:jc w:val="left"/>
      </w:pPr>
      <w:r>
        <w:rPr>
          <w:rFonts w:ascii="Calibri" w:cs="Calibri" w:eastAsia="Calibri" w:hAnsi="Calibri"/>
          <w:b w:val="false"/>
          <w:bCs w:val="false"/>
          <w:i w:val="false"/>
          <w:iCs w:val="false"/>
          <w:sz w:val="22"/>
          <w:szCs w:val="22"/>
        </w:rPr>
        <w:t xml:space="preserve">All results were recorded in a centralized feature registry with:</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deterministic recomputation</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deduplication safeguards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snapshot-based version tracking</w:t>
      </w:r>
    </w:p>
    <w:p>
      <w:pPr>
        <w:spacing w:after="200"/>
        <w:jc w:val="left"/>
      </w:pPr>
      <w:r>
        <w:rPr>
          <w:rFonts w:ascii="Calibri" w:cs="Calibri" w:eastAsia="Calibri" w:hAnsi="Calibri"/>
          <w:b w:val="false"/>
          <w:bCs w:val="false"/>
          <w:i w:val="false"/>
          <w:iCs w:val="false"/>
          <w:sz w:val="22"/>
          <w:szCs w:val="22"/>
        </w:rPr>
        <w:t xml:space="preserve">Engine determinism was verified by bit-identical reproduction of independently locked Phase A and Phase C results across multiple Asc batch chunks, confirming that overlapping feature evaluations produce numerically identical outputs across phases.</w:t>
      </w:r>
    </w:p>
    <w:p>
      <w:pPr>
        <w:pStyle w:val="Heading2"/>
        <w:spacing w:after="180" w:before="320"/>
      </w:pPr>
      <w:r>
        <w:rPr>
          <w:rFonts w:ascii="Calibri" w:cs="Calibri" w:eastAsia="Calibri" w:hAnsi="Calibri"/>
          <w:b/>
          <w:bCs/>
          <w:sz w:val="28"/>
          <w:szCs w:val="28"/>
        </w:rPr>
        <w:t xml:space="preserve">2.6 Coverage diagnostic</w:t>
      </w:r>
    </w:p>
    <w:p>
      <w:pPr>
        <w:spacing w:after="200"/>
        <w:jc w:val="left"/>
      </w:pPr>
      <w:r>
        <w:rPr>
          <w:rFonts w:ascii="Calibri" w:cs="Calibri" w:eastAsia="Calibri" w:hAnsi="Calibri"/>
          <w:b w:val="false"/>
          <w:bCs w:val="false"/>
          <w:i w:val="false"/>
          <w:iCs w:val="false"/>
          <w:sz w:val="22"/>
          <w:szCs w:val="22"/>
        </w:rPr>
        <w:t xml:space="preserve">Sampling completeness was evaluated using angular histograms (0–360°) for each body–frame combination. Metrics included zero-event bin counts, distribution uniformity, and coefficient of variation (CV). Coverage limitations are treated as structural properties of the coordinate system–body pairing rather than statistical noise.</w:t>
      </w:r>
    </w:p>
    <w:p>
      <w:pPr>
        <w:spacing w:after="200"/>
        <w:jc w:val="left"/>
      </w:pPr>
      <w:r>
        <w:rPr>
          <w:rFonts w:ascii="Calibri" w:cs="Calibri" w:eastAsia="Calibri" w:hAnsi="Calibri"/>
          <w:b w:val="false"/>
          <w:bCs w:val="false"/>
          <w:i w:val="false"/>
          <w:iCs w:val="false"/>
          <w:sz w:val="22"/>
          <w:szCs w:val="22"/>
        </w:rPr>
        <w:t xml:space="preserve">Coordinate transformations involving horizon-based projections (G-AZ) exhibit direction-dependent sampling behavior arising from the interaction between sampling density and projection geometry. When G-AZ is used as a target frame, sparse sampling in certain body–frame combinations can produce degenerate peaks characterized by high lift and low supporting counts. When G-AZ is used as an origin frame, pairing with target bodies that span the full circular domain through temporal variation produces stable sampling across the separation domain and restores adequate support.</w:t>
      </w:r>
    </w:p>
    <w:p>
      <w:pPr>
        <w:spacing w:after="200"/>
        <w:jc w:val="left"/>
      </w:pPr>
      <w:r>
        <w:rPr>
          <w:rFonts w:ascii="Calibri" w:cs="Calibri" w:eastAsia="Calibri" w:hAnsi="Calibri"/>
          <w:b w:val="false"/>
          <w:bCs w:val="false"/>
          <w:i w:val="false"/>
          <w:iCs w:val="false"/>
          <w:sz w:val="22"/>
          <w:szCs w:val="22"/>
        </w:rPr>
        <w:t xml:space="preserve">This asymmetry reflects a structural property of the measurement system arising from the interaction between sampling density and projection geometry, rather than from directional or causal asymmetry in the underlying physical relationships. It arises from differences in how sampling density is distributed across the angular domain under different coordinate roles.</w:t>
      </w:r>
    </w:p>
    <w:p>
      <w:pPr>
        <w:spacing w:after="200"/>
        <w:jc w:val="left"/>
      </w:pPr>
      <w:r>
        <w:rPr>
          <w:rFonts w:ascii="Calibri" w:cs="Calibri" w:eastAsia="Calibri" w:hAnsi="Calibri"/>
          <w:b w:val="false"/>
          <w:bCs w:val="false"/>
          <w:i w:val="false"/>
          <w:iCs w:val="false"/>
          <w:sz w:val="22"/>
          <w:szCs w:val="22"/>
        </w:rPr>
        <w:t xml:space="preserve">Coverage effects are therefore interpreted within the context of the coordinate construction:</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Degenerate peaks (high lift, low count) are attributed to sparse sampling and excluded by the support criterion.</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Stable peaks (moderate-to-high lift with adequate support) are interpreted as valid signal within the constraints of the sampling regime.</w:t>
      </w:r>
    </w:p>
    <w:p>
      <w:pPr>
        <w:spacing w:after="200"/>
        <w:jc w:val="left"/>
      </w:pPr>
      <w:r>
        <w:rPr>
          <w:rFonts w:ascii="Calibri" w:cs="Calibri" w:eastAsia="Calibri" w:hAnsi="Calibri"/>
          <w:b w:val="false"/>
          <w:bCs w:val="false"/>
          <w:i w:val="false"/>
          <w:iCs w:val="false"/>
          <w:sz w:val="22"/>
          <w:szCs w:val="22"/>
        </w:rPr>
        <w:t xml:space="preserve">These coverage diagnostics inform interpretation but do not alter the pre-registered evaluation criteria.</w:t>
      </w:r>
    </w:p>
    <w:p>
      <w:pPr>
        <w:pStyle w:val="Heading2"/>
        <w:spacing w:after="180" w:before="320"/>
      </w:pPr>
      <w:r>
        <w:rPr>
          <w:rFonts w:ascii="Calibri" w:cs="Calibri" w:eastAsia="Calibri" w:hAnsi="Calibri"/>
          <w:b/>
          <w:bCs/>
          <w:sz w:val="28"/>
          <w:szCs w:val="28"/>
        </w:rPr>
        <w:t xml:space="preserve">2.7 Coverage-tier framework</w:t>
      </w:r>
    </w:p>
    <w:p>
      <w:pPr>
        <w:spacing w:after="200"/>
        <w:jc w:val="left"/>
      </w:pPr>
      <w:r>
        <w:rPr>
          <w:rFonts w:ascii="Calibri" w:cs="Calibri" w:eastAsia="Calibri" w:hAnsi="Calibri"/>
          <w:b w:val="false"/>
          <w:bCs w:val="false"/>
          <w:i w:val="false"/>
          <w:iCs w:val="false"/>
          <w:sz w:val="22"/>
          <w:szCs w:val="22"/>
        </w:rPr>
        <w:t xml:space="preserve">Bodies were classified according to sampling completeness and orbital-cycle coverage within the observation window, using quantitative thresholds established in the coverage diagnostic:</w:t>
      </w:r>
    </w:p>
    <w:p>
      <w:pPr>
        <w:spacing w:after="140"/>
        <w:ind w:left="360"/>
      </w:pPr>
      <w:r>
        <w:rPr>
          <w:rFonts w:ascii="Calibri" w:cs="Calibri" w:eastAsia="Calibri" w:hAnsi="Calibri"/>
          <w:b/>
          <w:bCs/>
          <w:sz w:val="22"/>
          <w:szCs w:val="22"/>
        </w:rPr>
        <w:t xml:space="preserve">• </w:t>
      </w:r>
      <w:r>
        <w:rPr>
          <w:rFonts w:ascii="Calibri" w:cs="Calibri" w:eastAsia="Calibri" w:hAnsi="Calibri"/>
          <w:b/>
          <w:bCs/>
          <w:sz w:val="22"/>
          <w:szCs w:val="22"/>
        </w:rPr>
        <w:t xml:space="preserve">Tier A (multi-cycle bodies):</w:t>
      </w:r>
      <w:r>
        <w:br/>
        <w:t xml:space="preserve">
</w:t>
      </w:r>
      <w:r>
        <w:rPr>
          <w:rFonts w:ascii="Calibri" w:cs="Calibri" w:eastAsia="Calibri" w:hAnsi="Calibri"/>
          <w:sz w:val="22"/>
          <w:szCs w:val="22"/>
        </w:rPr>
        <w:t xml:space="preserve">   Orbital period ≤ 5 years; ≥ 5 cycles observed within the dataset; G-LON / G-RA zero-bin count ≤ 13/360; CV ≤ 0.65.</w:t>
      </w:r>
    </w:p>
    <w:p>
      <w:pPr>
        <w:spacing w:after="140"/>
        <w:ind w:left="360"/>
      </w:pPr>
      <w:r>
        <w:rPr>
          <w:rFonts w:ascii="Calibri" w:cs="Calibri" w:eastAsia="Calibri" w:hAnsi="Calibri"/>
          <w:b/>
          <w:bCs/>
          <w:sz w:val="22"/>
          <w:szCs w:val="22"/>
        </w:rPr>
        <w:t xml:space="preserve">• </w:t>
      </w:r>
      <w:r>
        <w:rPr>
          <w:rFonts w:ascii="Calibri" w:cs="Calibri" w:eastAsia="Calibri" w:hAnsi="Calibri"/>
          <w:b/>
          <w:bCs/>
          <w:sz w:val="22"/>
          <w:szCs w:val="22"/>
        </w:rPr>
        <w:t xml:space="preserve">Tier B (partial-cycle bodies):</w:t>
      </w:r>
      <w:r>
        <w:br/>
        <w:t xml:space="preserve">
</w:t>
      </w:r>
      <w:r>
        <w:rPr>
          <w:rFonts w:ascii="Calibri" w:cs="Calibri" w:eastAsia="Calibri" w:hAnsi="Calibri"/>
          <w:sz w:val="22"/>
          <w:szCs w:val="22"/>
        </w:rPr>
        <w:t xml:space="preserve">   Orbital period approximately 10–20 years; ~1.3–2 cycles observed; G-LON / G-RA zero-bin count in the range 76–98/360; CV in the range 0.97–1.39.</w:t>
      </w:r>
    </w:p>
    <w:p>
      <w:pPr>
        <w:spacing w:after="140"/>
        <w:ind w:left="360"/>
      </w:pPr>
      <w:r>
        <w:rPr>
          <w:rFonts w:ascii="Calibri" w:cs="Calibri" w:eastAsia="Calibri" w:hAnsi="Calibri"/>
          <w:b/>
          <w:bCs/>
          <w:sz w:val="22"/>
          <w:szCs w:val="22"/>
        </w:rPr>
        <w:t xml:space="preserve">• </w:t>
      </w:r>
      <w:r>
        <w:rPr>
          <w:rFonts w:ascii="Calibri" w:cs="Calibri" w:eastAsia="Calibri" w:hAnsi="Calibri"/>
          <w:b/>
          <w:bCs/>
          <w:sz w:val="22"/>
          <w:szCs w:val="22"/>
        </w:rPr>
        <w:t xml:space="preserve">Tier C (sub-cycle bodies):</w:t>
      </w:r>
      <w:r>
        <w:br/>
        <w:t xml:space="preserve">
</w:t>
      </w:r>
      <w:r>
        <w:rPr>
          <w:rFonts w:ascii="Calibri" w:cs="Calibri" w:eastAsia="Calibri" w:hAnsi="Calibri"/>
          <w:sz w:val="22"/>
          <w:szCs w:val="22"/>
        </w:rPr>
        <w:t xml:space="preserve">   Orbital period approximately 29.5 years; ≤ 1 cycle observed; G-LON / G-RA zero-bin count in the range 108–109/360; CV in the range 1.12–1.17.</w:t>
      </w:r>
    </w:p>
    <w:p>
      <w:pPr>
        <w:spacing w:after="200"/>
        <w:jc w:val="left"/>
      </w:pPr>
      <w:r>
        <w:rPr>
          <w:rFonts w:ascii="Calibri" w:cs="Calibri" w:eastAsia="Calibri" w:hAnsi="Calibri"/>
          <w:b w:val="false"/>
          <w:bCs w:val="false"/>
          <w:i w:val="false"/>
          <w:iCs w:val="false"/>
          <w:sz w:val="22"/>
          <w:szCs w:val="22"/>
        </w:rPr>
        <w:t xml:space="preserve">Tier assignment is determined primarily by G-LON / G-RA zero-bin proportion, with coefficient of variation and orbital-cycle count serving as supporting diagnostics.</w:t>
      </w:r>
    </w:p>
    <w:p>
      <w:pPr>
        <w:spacing w:after="200"/>
        <w:jc w:val="left"/>
      </w:pPr>
      <w:r>
        <w:rPr>
          <w:rFonts w:ascii="Calibri" w:cs="Calibri" w:eastAsia="Calibri" w:hAnsi="Calibri"/>
          <w:b w:val="false"/>
          <w:bCs w:val="false"/>
          <w:i w:val="false"/>
          <w:iCs w:val="false"/>
          <w:sz w:val="22"/>
          <w:szCs w:val="22"/>
        </w:rPr>
        <w:t xml:space="preserve">Tier classification reflects sampling completeness rather than intrinsic astrophysical importance, and is used to distinguish coverage-driven limitations from true absence of signal.</w:t>
      </w:r>
    </w:p>
    <w:p>
      <w:pPr>
        <w:spacing w:after="200"/>
        <w:jc w:val="left"/>
      </w:pPr>
      <w:r>
        <w:rPr>
          <w:rFonts w:ascii="Calibri" w:cs="Calibri" w:eastAsia="Calibri" w:hAnsi="Calibri"/>
          <w:b w:val="false"/>
          <w:bCs w:val="false"/>
          <w:i w:val="false"/>
          <w:iCs w:val="false"/>
          <w:sz w:val="22"/>
          <w:szCs w:val="22"/>
        </w:rPr>
        <w:t xml:space="preserve">Coverage classification is applied at the body–frame level. Tier B and Tier C bodies are coverage-clean when evaluated in G-AZ-target constructions, as daily rotation provides uniform azimuthal sampling regardless of orbital period. In G-LON and G-RA target frames, partial-cycle and sub-cycle bodies retain their coverage-conditional or coverage-caveated status.</w:t>
      </w:r>
    </w:p>
    <w:p>
      <w:pPr>
        <w:pStyle w:val="Heading2"/>
        <w:spacing w:after="180" w:before="320"/>
      </w:pPr>
      <w:r>
        <w:rPr>
          <w:rFonts w:ascii="Calibri" w:cs="Calibri" w:eastAsia="Calibri" w:hAnsi="Calibri"/>
          <w:b/>
          <w:bCs/>
          <w:sz w:val="28"/>
          <w:szCs w:val="28"/>
        </w:rPr>
        <w:t xml:space="preserve">2.8 Inclusion rules for feature evaluation</w:t>
      </w:r>
    </w:p>
    <w:p>
      <w:pPr>
        <w:spacing w:after="200"/>
        <w:jc w:val="left"/>
      </w:pPr>
      <w:r>
        <w:rPr>
          <w:rFonts w:ascii="Calibri" w:cs="Calibri" w:eastAsia="Calibri" w:hAnsi="Calibri"/>
          <w:b w:val="false"/>
          <w:bCs w:val="false"/>
          <w:i w:val="false"/>
          <w:iCs w:val="false"/>
          <w:sz w:val="22"/>
          <w:szCs w:val="22"/>
        </w:rPr>
        <w:t xml:space="preserve">Two evaluation regimes were defined:</w:t>
      </w:r>
    </w:p>
    <w:p>
      <w:pPr>
        <w:pStyle w:val="Heading3"/>
        <w:spacing w:after="140" w:before="240"/>
      </w:pPr>
      <w:r>
        <w:rPr>
          <w:rFonts w:ascii="Calibri" w:cs="Calibri" w:eastAsia="Calibri" w:hAnsi="Calibri"/>
          <w:b/>
          <w:bCs/>
          <w:i/>
          <w:iCs/>
          <w:sz w:val="24"/>
          <w:szCs w:val="24"/>
        </w:rPr>
        <w:t xml:space="preserve">Coverage-clean regime</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Tier A bodies in all coordinate systems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Tier B/C bodies when evaluated in G-AZ-target constructions</w:t>
      </w:r>
    </w:p>
    <w:p>
      <w:pPr>
        <w:pStyle w:val="Heading3"/>
        <w:spacing w:after="140" w:before="240"/>
      </w:pPr>
      <w:r>
        <w:rPr>
          <w:rFonts w:ascii="Calibri" w:cs="Calibri" w:eastAsia="Calibri" w:hAnsi="Calibri"/>
          <w:b/>
          <w:bCs/>
          <w:i/>
          <w:iCs/>
          <w:sz w:val="24"/>
          <w:szCs w:val="24"/>
        </w:rPr>
        <w:t xml:space="preserve">Coverage-conditional regime</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Tier B/C bodies in G-LON or G-RA constructions</w:t>
      </w:r>
    </w:p>
    <w:p>
      <w:pPr>
        <w:spacing w:after="200"/>
        <w:jc w:val="left"/>
      </w:pPr>
      <w:r>
        <w:rPr>
          <w:rFonts w:ascii="Calibri" w:cs="Calibri" w:eastAsia="Calibri" w:hAnsi="Calibri"/>
          <w:b w:val="false"/>
          <w:bCs w:val="false"/>
          <w:i w:val="false"/>
          <w:iCs w:val="false"/>
          <w:sz w:val="22"/>
          <w:szCs w:val="22"/>
        </w:rPr>
        <w:t xml:space="preserve">Only coverage-clean features were included in primary ranking analyses.</w:t>
      </w:r>
    </w:p>
    <w:p>
      <w:pPr>
        <w:pStyle w:val="Heading2"/>
        <w:spacing w:after="180" w:before="320"/>
      </w:pPr>
      <w:r>
        <w:rPr>
          <w:rFonts w:ascii="Calibri" w:cs="Calibri" w:eastAsia="Calibri" w:hAnsi="Calibri"/>
          <w:b/>
          <w:bCs/>
          <w:sz w:val="28"/>
          <w:szCs w:val="28"/>
        </w:rPr>
        <w:t xml:space="preserve">2.9 Treatment of constrained and sparse bodies</w:t>
      </w:r>
    </w:p>
    <w:p>
      <w:pPr>
        <w:spacing w:after="200"/>
        <w:jc w:val="left"/>
      </w:pPr>
      <w:r>
        <w:rPr>
          <w:rFonts w:ascii="Calibri" w:cs="Calibri" w:eastAsia="Calibri" w:hAnsi="Calibri"/>
          <w:b w:val="false"/>
          <w:bCs w:val="false"/>
          <w:i w:val="false"/>
          <w:iCs w:val="false"/>
          <w:sz w:val="22"/>
          <w:szCs w:val="22"/>
        </w:rPr>
        <w:t xml:space="preserve">Three distinct mechanisms can produce failure to satisfy the support criterion:</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Constrained apparent motion (Sun, Mercury, Venus)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Sparse sampling due to long orbital periods (Uranus, Neptune, Pluto)</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Combined effects: bodies exhibiting both constrained motion and insufficient cycle coverage</w:t>
      </w:r>
    </w:p>
    <w:p>
      <w:pPr>
        <w:spacing w:after="200"/>
        <w:jc w:val="left"/>
      </w:pPr>
      <w:r>
        <w:rPr>
          <w:rFonts w:ascii="Calibri" w:cs="Calibri" w:eastAsia="Calibri" w:hAnsi="Calibri"/>
          <w:b w:val="false"/>
          <w:bCs w:val="false"/>
          <w:i w:val="false"/>
          <w:iCs w:val="false"/>
          <w:sz w:val="22"/>
          <w:szCs w:val="22"/>
        </w:rPr>
        <w:t xml:space="preserve">These mechanisms define the limits of Phase 1 interpretation and are explicitly accounted for without modifying the pre-registered evaluation framework.</w:t>
      </w:r>
    </w:p>
    <w:p>
      <w:pPr>
        <w:pStyle w:val="Heading2"/>
        <w:spacing w:after="180" w:before="320"/>
      </w:pPr>
      <w:r>
        <w:rPr>
          <w:rFonts w:ascii="Calibri" w:cs="Calibri" w:eastAsia="Calibri" w:hAnsi="Calibri"/>
          <w:b/>
          <w:bCs/>
          <w:sz w:val="28"/>
          <w:szCs w:val="28"/>
        </w:rPr>
        <w:t xml:space="preserve">2.10 Pre-registration compliance</w:t>
      </w:r>
    </w:p>
    <w:p>
      <w:pPr>
        <w:spacing w:after="200"/>
        <w:jc w:val="left"/>
      </w:pPr>
      <w:r>
        <w:rPr>
          <w:rFonts w:ascii="Calibri" w:cs="Calibri" w:eastAsia="Calibri" w:hAnsi="Calibri"/>
          <w:b w:val="false"/>
          <w:bCs w:val="false"/>
          <w:i w:val="false"/>
          <w:iCs w:val="false"/>
          <w:sz w:val="22"/>
          <w:szCs w:val="22"/>
        </w:rPr>
        <w:t xml:space="preserve">All confirmatory analyses were conducted under the pre-registered framework.</w:t>
      </w:r>
    </w:p>
    <w:p>
      <w:pPr>
        <w:spacing w:after="200"/>
        <w:jc w:val="left"/>
      </w:pPr>
      <w:r>
        <w:rPr>
          <w:rFonts w:ascii="Calibri" w:cs="Calibri" w:eastAsia="Calibri" w:hAnsi="Calibri"/>
          <w:b w:val="false"/>
          <w:bCs w:val="false"/>
          <w:i w:val="false"/>
          <w:iCs w:val="false"/>
          <w:sz w:val="22"/>
          <w:szCs w:val="22"/>
        </w:rPr>
        <w:t xml:space="preserve">The H1 support criterion (lift &gt; 1.15, count ≥ 30, lock_succeeded = True) was fixed prior to Phase 1 execution and was not modified.</w:t>
      </w:r>
    </w:p>
    <w:p>
      <w:pPr>
        <w:spacing w:after="200"/>
        <w:jc w:val="left"/>
      </w:pPr>
      <w:r>
        <w:rPr>
          <w:rFonts w:ascii="Calibri" w:cs="Calibri" w:eastAsia="Calibri" w:hAnsi="Calibri"/>
          <w:b w:val="false"/>
          <w:bCs w:val="false"/>
          <w:i w:val="false"/>
          <w:iCs w:val="false"/>
          <w:sz w:val="22"/>
          <w:szCs w:val="22"/>
        </w:rPr>
        <w:t xml:space="preserve">The coverage-tier framework (Section 2.7) was developed in response to a coverage diagnostic performed during Phase 1 and is treated as descriptive stratification of confirmatory results rather than a confirmatory threshold adjustment.</w:t>
      </w:r>
    </w:p>
    <w:p>
      <w:pPr>
        <w:spacing w:after="200"/>
        <w:jc w:val="left"/>
      </w:pPr>
      <w:r>
        <w:rPr>
          <w:rFonts w:ascii="Calibri" w:cs="Calibri" w:eastAsia="Calibri" w:hAnsi="Calibri"/>
          <w:b w:val="false"/>
          <w:bCs w:val="false"/>
          <w:i w:val="false"/>
          <w:iCs w:val="false"/>
          <w:sz w:val="22"/>
          <w:szCs w:val="22"/>
        </w:rPr>
        <w:t xml:space="preserve">Three pre-registered configurations are excluded from confirmatory testing as domain restrictions due to violation of feature-construction assumptions (Section 2.2 and Section 2.2.1):</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MC G-AZ-origin constructions (3 of 9 chunks): structurally fixed azimuth at meridian.</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VX G-AZ-origin constructions (3 of 9 chunks): structurally fixed azimuth at prime vertical.</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Part of Fortune (PFff, PFdn) feature-pair evaluations in three aspect files where G-AZ would serve as the origin frame: pipeline scope decision predating Phase 1 (logged 2026-05-02 and 2026-05-04).</w:t>
      </w:r>
    </w:p>
    <w:p>
      <w:pPr>
        <w:spacing w:after="200"/>
        <w:jc w:val="left"/>
      </w:pPr>
      <w:r>
        <w:rPr>
          <w:rFonts w:ascii="Calibri" w:cs="Calibri" w:eastAsia="Calibri" w:hAnsi="Calibri"/>
          <w:b w:val="false"/>
          <w:bCs w:val="false"/>
          <w:i w:val="false"/>
          <w:iCs w:val="false"/>
          <w:sz w:val="22"/>
          <w:szCs w:val="22"/>
        </w:rPr>
        <w:t xml:space="preserve">These exclusions affect the testable scope as follows: the pre-registered scope of 1,710 target-evaluations is reduced by 204 evaluations (Mechanism 1: MC and VX G-AZ-origin) and by 24 net additional evaluations (Mechanism 2: PoF aspect-file coverage, after de-duplication with Mechanism 1), yielding an adjusted confirmatory testable scope of 1,482 evaluations. Panel-wide H1 support across all six origins is reported against the 1,482-evaluation denominator with explicit statement of the 228-evaluation domain restriction.</w:t>
      </w:r>
    </w:p>
    <w:p>
      <w:pPr>
        <w:spacing w:after="200"/>
        <w:jc w:val="left"/>
      </w:pPr>
      <w:r>
        <w:rPr>
          <w:rFonts w:ascii="Calibri" w:cs="Calibri" w:eastAsia="Calibri" w:hAnsi="Calibri"/>
          <w:b w:val="false"/>
          <w:bCs w:val="false"/>
          <w:i w:val="false"/>
          <w:iCs w:val="false"/>
          <w:sz w:val="22"/>
          <w:szCs w:val="22"/>
        </w:rPr>
        <w:t xml:space="preserve">No features are removed from the registry, and no thresholds are modified. The dual-leaderboard structure (coverage-clean vs. coverage-conditional) governs descriptive interpretation only.</w:t>
      </w:r>
    </w:p>
    <w:p>
      <w:pPr>
        <w:pStyle w:val="Heading2"/>
        <w:spacing w:after="180" w:before="320"/>
      </w:pPr>
      <w:r>
        <w:rPr>
          <w:rFonts w:ascii="Calibri" w:cs="Calibri" w:eastAsia="Calibri" w:hAnsi="Calibri"/>
          <w:b/>
          <w:bCs/>
          <w:sz w:val="28"/>
          <w:szCs w:val="28"/>
        </w:rPr>
        <w:t xml:space="preserve">2.11 Forward-looking modeling considerations (non-confirmatory)</w:t>
      </w:r>
    </w:p>
    <w:p>
      <w:pPr>
        <w:spacing w:after="200"/>
        <w:jc w:val="left"/>
      </w:pPr>
      <w:r>
        <w:rPr>
          <w:rFonts w:ascii="Calibri" w:cs="Calibri" w:eastAsia="Calibri" w:hAnsi="Calibri"/>
          <w:b w:val="false"/>
          <w:bCs w:val="false"/>
          <w:i w:val="false"/>
          <w:iCs w:val="false"/>
          <w:sz w:val="22"/>
          <w:szCs w:val="22"/>
        </w:rPr>
        <w:t xml:space="preserve">While not part of Phase 1 confirmatory analysis, observed feature behavior suggests future modeling directions, including:</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coverage-aware feature weighting</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hierarchical pooling across coordinate systems</w:t>
      </w:r>
    </w:p>
    <w:p>
      <w:pPr>
        <w:spacing w:after="100"/>
        <w:ind w:left="360"/>
      </w:pPr>
      <w:r>
        <w:rPr>
          <w:rFonts w:ascii="Calibri" w:cs="Calibri" w:eastAsia="Calibri" w:hAnsi="Calibri"/>
          <w:b/>
          <w:bCs/>
          <w:sz w:val="22"/>
          <w:szCs w:val="22"/>
        </w:rPr>
        <w:t xml:space="preserve">• </w:t>
      </w:r>
      <w:r>
        <w:rPr>
          <w:rFonts w:ascii="Calibri" w:cs="Calibri" w:eastAsia="Calibri" w:hAnsi="Calibri"/>
          <w:sz w:val="22"/>
          <w:szCs w:val="22"/>
        </w:rPr>
        <w:t xml:space="preserve">interaction modeling between bodies and coordinate frames</w:t>
      </w:r>
    </w:p>
    <w:p>
      <w:pPr>
        <w:spacing w:after="200"/>
        <w:jc w:val="left"/>
      </w:pPr>
      <w:r>
        <w:rPr>
          <w:rFonts w:ascii="Calibri" w:cs="Calibri" w:eastAsia="Calibri" w:hAnsi="Calibri"/>
          <w:b w:val="false"/>
          <w:bCs w:val="false"/>
          <w:i w:val="false"/>
          <w:iCs w:val="false"/>
          <w:sz w:val="22"/>
          <w:szCs w:val="22"/>
        </w:rPr>
        <w:t xml:space="preserve">Any Phase 2 confirmatory modeling will be conducted under a separate pre-registration document and does not affect the Phase 1 conclusions reported here.</w:t>
      </w:r>
    </w:p>
    <w:p>
      <w:pPr>
        <w:spacing w:after="200"/>
        <w:jc w:val="left"/>
      </w:pPr>
      <w:r>
        <w:rPr>
          <w:rFonts w:ascii="Calibri" w:cs="Calibri" w:eastAsia="Calibri" w:hAnsi="Calibri"/>
          <w:b w:val="false"/>
          <w:bCs w:val="false"/>
          <w:i w:val="false"/>
          <w:iCs w:val="false"/>
          <w:sz w:val="22"/>
          <w:szCs w:val="22"/>
        </w:rPr>
        <w:t xml:space="preserve"/>
      </w:r>
    </w:p>
    <w:p>
      <w:pPr>
        <w:spacing w:after="80" w:before="320"/>
        <w:jc w:val="center"/>
      </w:pPr>
      <w:r>
        <w:rPr>
          <w:rFonts w:ascii="Calibri" w:cs="Calibri" w:eastAsia="Calibri" w:hAnsi="Calibri"/>
          <w:b/>
          <w:bCs/>
          <w:sz w:val="22"/>
          <w:szCs w:val="22"/>
        </w:rPr>
        <w:t xml:space="preserve">— END OF SECTION 2 —</w:t>
      </w:r>
    </w:p>
    <w:p>
      <w:pPr>
        <w:spacing w:after="80"/>
        <w:jc w:val="center"/>
      </w:pPr>
      <w:r>
        <w:rPr>
          <w:rFonts w:ascii="Calibri" w:cs="Calibri" w:eastAsia="Calibri" w:hAnsi="Calibri"/>
          <w:sz w:val="20"/>
          <w:szCs w:val="20"/>
        </w:rPr>
        <w:t xml:space="preserve">Copyright © 2026 Courtney Roberts Conrad.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sz w:val="32"/>
      <w:szCs w:val="32"/>
    </w:rPr>
  </w:style>
  <w:style w:type="paragraph" w:styleId="Heading2">
    <w:name w:val="Heading 2"/>
    <w:basedOn w:val="Normal"/>
    <w:next w:val="Normal"/>
    <w:qFormat/>
    <w:pPr>
      <w:spacing w:after="180" w:before="320"/>
      <w:outlineLvl w:val="1"/>
    </w:pPr>
    <w:rPr>
      <w:rFonts w:ascii="Calibri" w:cs="Calibri" w:eastAsia="Calibri" w:hAnsi="Calibri"/>
      <w:b/>
      <w:bCs/>
      <w:sz w:val="28"/>
      <w:szCs w:val="28"/>
    </w:rPr>
  </w:style>
  <w:style w:type="paragraph" w:styleId="Heading3">
    <w:name w:val="Heading 3"/>
    <w:basedOn w:val="Normal"/>
    <w:next w:val="Normal"/>
    <w:qFormat/>
    <w:pPr>
      <w:spacing w:after="140" w:before="24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 Section 2 Methods v4 LOCKED</dc:title>
  <dc:creator>OMNI Project</dc:creator>
  <cp:lastModifiedBy>Un-named</cp:lastModifiedBy>
  <cp:revision>1</cp:revision>
  <dcterms:created xsi:type="dcterms:W3CDTF">2026-05-05T17:40:53.980Z</dcterms:created>
  <dcterms:modified xsi:type="dcterms:W3CDTF">2026-05-05T17:40:53.981Z</dcterms:modified>
</cp:coreProperties>
</file>

<file path=docProps/custom.xml><?xml version="1.0" encoding="utf-8"?>
<Properties xmlns="http://schemas.openxmlformats.org/officeDocument/2006/custom-properties" xmlns:vt="http://schemas.openxmlformats.org/officeDocument/2006/docPropsVTypes"/>
</file>