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sz w:val="36"/>
          <w:szCs w:val="36"/>
        </w:rPr>
        <w:t xml:space="preserve">PHASE 1.5 EXECUTION HANDOFF</w:t>
      </w:r>
    </w:p>
    <w:p>
      <w:pPr>
        <w:spacing w:after="60"/>
        <w:jc w:val="center"/>
      </w:pPr>
      <w:r>
        <w:rPr>
          <w:sz w:val="24"/>
          <w:szCs w:val="24"/>
        </w:rPr>
        <w:t xml:space="preserve">OMNI Geometry MLB — Paper 1</w:t>
      </w:r>
    </w:p>
    <w:p>
      <w:pPr>
        <w:spacing w:after="240"/>
        <w:jc w:val="center"/>
      </w:pPr>
      <w:r>
        <w:rPr>
          <w:i/>
          <w:iCs/>
        </w:rPr>
        <w:t xml:space="preserve">Thread-transition document for Stage 1.5A execution onward</w:t>
      </w:r>
    </w:p>
    <w:p>
      <w:pPr>
        <w:pStyle w:val="Heading1"/>
        <w:spacing w:after="180" w:before="360"/>
      </w:pPr>
      <w:r>
        <w:t xml:space="preserve">§1. Purpose of This Document</w:t>
      </w:r>
    </w:p>
    <w:p>
      <w:pPr>
        <w:spacing w:after="80" w:before="80"/>
      </w:pPr>
      <w:r>
        <w:t xml:space="preserve">This handoff document is intended to enable a fresh Claude session to pick up Phase 1.5 execution work without losing methodological context. It captures the locked state of the project, the locked methodological framework, the locked Pre-Registration, the locked Phase 1 outputs, and the immediate next-step workplan. It is structured for rapid orientation: a fresh Claude session should be able to read this document plus the locked Pre-Registration and begin Stage 1.5A code construction without further preliminaries.</w:t>
      </w:r>
    </w:p>
    <w:p>
      <w:pPr>
        <w:spacing w:after="80" w:before="80"/>
      </w:pPr>
      <w:r>
        <w:t xml:space="preserve">This handoff document is NOT a substitute for the locked Pre-Registration (Phase_1_5_PreRegistration_v1_1_final.docx). The Pre-Registration is the binding methodological authority; this handoff document is operational only.</w:t>
      </w:r>
    </w:p>
    <w:p>
      <w:pPr>
        <w:pStyle w:val="Heading1"/>
        <w:spacing w:after="180" w:before="360"/>
      </w:pPr>
      <w:r>
        <w:t xml:space="preserve">§2. Project Identity (Locked Constants)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Courtney Roberts Conrad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Copyright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© 2026 Courtney Roberts Conrad. All rights reserved.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OSF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https://osf.io/yhxt4/overview (registered 2026-05-01)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omni-geometry-mlb (private)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cell_v2_batch_v2_0_2_clean.py (schema 2.0.2; locked; MD5 fee30ee05f9547088ae1810ded017789)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OMNI_Workflow_v1 §7 + Phase 1.5 amendment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Collaboration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 ↔ Claude ↔ ChatG (cross-review)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ground rules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(1) Complete code blocks (no fragments); (2) Run code in Colab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naming rule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Aspects ALWAYS faster-to-slower (e.g., MO × ME, never ME × MO)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preferences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PhD-level science; concise; no over-formatting; no breathless framing; no 'first ever' language; act like you've been here before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Communication style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paragraph results readouts; bullets only when essential; PI is experienced astrologer/astronomer; many findings are 'common sense' to PI; framework's role is to verify and document, not editorialize</w:t>
            </w:r>
          </w:p>
        </w:tc>
      </w:tr>
    </w:tbl>
    <w:p>
      <w:pPr>
        <w:pStyle w:val="Heading1"/>
        <w:spacing w:after="180" w:before="360"/>
      </w:pPr>
      <w:r>
        <w:t xml:space="preserve">§3. Phase 1 — Locked State (Complete)</w:t>
      </w:r>
    </w:p>
    <w:p>
      <w:pPr>
        <w:spacing w:after="80" w:before="80"/>
      </w:pPr>
      <w:r>
        <w:t xml:space="preserve">Phase 1 is COMPLETE and locked. All six origin batches executed under the locked engine without modification. Total scope: 1,482 evaluations across six pre-registered origin batches, exact match to pre-registered adjusted scope. All Batch Summaries locked at v1.1-final and saved to GitHub omni-geometry-mlb/docs/.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500"/>
        <w:gridCol w:w="1700"/>
        <w:gridCol w:w="3960"/>
      </w:tblGrid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Evaluations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A (H1)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B 7-block (a+p)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Defining structural finding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215/294 (73.1%)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235/294 (79.9%)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Concentration regime baseline; bounded G-AZ origin (74° arc)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158/204 (77.5%)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180/204 (88.2%)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Global-only; graduated persistence-heavy sparse-outer topology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163/204 (79.9%)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176/204 (86.3%)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Global-only; binary stabilize-or-collapse sparse-outer topology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232/294 (78.9%)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245/294 (83.3%)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Concentration regime amplification scales inversely with bounded-arc width (45° vs Asc 74°)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252/252 (100%)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252/252 (100%)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Universal support across all body classes; uniform 360° coverage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176/234 (75.2%)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186/234 (79.5%)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distinct failure modes: projection-sensitive occupancy distortion (elongation-bound) + time-domain occupancy deficit (sparse-outer)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1,482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 closes at full pre-registered adjusted scope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t xml:space="preserve">§3.1 Locked controlled vocabulary (paper_language.md)</w:t>
      </w:r>
    </w:p>
    <w:p>
      <w:pPr>
        <w:spacing w:after="80" w:before="80"/>
      </w:pPr>
      <w:r>
        <w:t xml:space="preserve">The following framework principles are locked across Phase 1 and inherit forward into Phase 1.5: Separation-Domain Principle (angular separation spans 0–360° regardless of origin domain); Detection-vs-Localization (signal presence invariant across coordinates; peak location frame-dependent); Coverage-Tier Framework (Tier A multi-cycle, Tier B 1-cycle, Tier C sub-cycle, constrained-inner, sparse-outer, PoF); Two-Regime Signal Architecture (global vs local/concentration); Concentration-Regime Caveat (high lift in bounded-domain ≠ stronger signal); Coverage Interaction (joint-distribution density between origin and target). Critical framing rule: failures = geometric measurement-system mismatch, NOT 'high-amplitude statistical artifacts'.</w:t>
      </w:r>
    </w:p>
    <w:p>
      <w:pPr>
        <w:pStyle w:val="Heading2"/>
        <w:spacing w:after="120" w:before="240"/>
      </w:pPr>
      <w:r>
        <w:t xml:space="preserve">§3.2 Locked Statements (cross-origin findings)</w:t>
      </w:r>
    </w:p>
    <w:p>
      <w:pPr>
        <w:spacing w:after="80" w:before="80"/>
      </w:pPr>
      <w:r>
        <w:t xml:space="preserve">Locked Statements particularly relevant to Phase 1.5: Statement MO-3 (cross-frame support invariance — Phase 1.5 frame-invariance test is the spectral analog); Statement MO-7 (failure mechanisms are properties of coverage interaction, not signal); Statement EA-8 (target-G-AZ sparse-outer suppression as cross-origin structural law); Statement ME-3 (formal distinction between projection-sensitive occupancy distortion and time-domain occupancy deficit — the conceptual bridge to Phase 1.5 spectral architecture); Statement ME-4 (overdense saturation and sparse-collapse are symmetric boundary failure modes of the count-and-lift framework); Statement ME-7 (Phase 1 closure: framework both detects stable structures and differentiates classes of instability).</w:t>
      </w:r>
    </w:p>
    <w:p>
      <w:pPr>
        <w:pStyle w:val="Heading1"/>
        <w:spacing w:after="180" w:before="360"/>
      </w:pPr>
      <w:r>
        <w:t xml:space="preserve">§4. Phase 1.5 — Locked Pre-Registration (Methodology)</w:t>
      </w:r>
    </w:p>
    <w:p>
      <w:pPr>
        <w:spacing w:after="80" w:before="80"/>
      </w:pPr>
      <w:r>
        <w:t xml:space="preserve">The complete Phase 1.5 methodology is locked in Phase_1_5_PreRegistration_v1_1_final.docx (OSF-registered as an amendment to the original 2026-05-01 registration). The fresh thread should treat that document as the binding methodological reference. The summary below is for orientation only and does NOT supersede the locked Pre-Registration.</w:t>
      </w:r>
    </w:p>
    <w:p>
      <w:pPr>
        <w:pStyle w:val="Heading2"/>
        <w:spacing w:after="120" w:before="240"/>
      </w:pPr>
      <w:r>
        <w:t xml:space="preserve">§4.1 Three-stage gated architecture</w:t>
      </w:r>
    </w:p>
    <w:p>
      <w:pPr>
        <w:spacing w:after="80" w:before="80"/>
      </w:pPr>
      <w:r>
        <w:t xml:space="preserve">Stage 1.5A: Calibration on a locked 10-feature set (MO-1 Tier A: MO × MA / VS / PA / JN / CE in G-LON same-coord, both High and Low). Three outcome states: supports primary inferential escalation (≥7/10 reject FDR q=0.01); supports secondary exploratory escalation (5–6/10); does not support confirmatory escalation (&lt;5/10).</w:t>
      </w:r>
    </w:p>
    <w:p>
      <w:pPr>
        <w:spacing w:after="80" w:before="80"/>
      </w:pPr>
      <w:r>
        <w:t xml:space="preserve">Stage 1.5B: Cross-origin spectral comparison across all six origins under same-coord G-LON chunks, against four locked directional predictions. Three outcome states with thresholds 3/4, 2/4, ≤1/4 directional predictions confirmed.</w:t>
      </w:r>
    </w:p>
    <w:p>
      <w:pPr>
        <w:spacing w:after="80" w:before="80"/>
      </w:pPr>
      <w:r>
        <w:t xml:space="preserve">Stage 1.5C: Full-panel inference on all 1,482 features stratified by coverage class. Frame-invariance applied to all 27 forward/inverse cross-coord pairs. Three outcome states with thresholds 2/5, 1/5, 0/5 statistics rejecting at FDR q=0.01.</w:t>
      </w:r>
    </w:p>
    <w:p>
      <w:pPr>
        <w:spacing w:after="80" w:before="80"/>
      </w:pPr>
      <w:r>
        <w:t xml:space="preserve">Conservative cross-stage rule: primary confirmatory escalation requires primary support at ALL THREE stages. Any stage downgrade propagates to overall conclusion.</w:t>
      </w:r>
    </w:p>
    <w:p>
      <w:pPr>
        <w:pStyle w:val="Heading2"/>
        <w:spacing w:after="120" w:before="240"/>
      </w:pPr>
      <w:r>
        <w:t xml:space="preserve">§4.2 Five locked test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400"/>
        <w:gridCol w:w="2660"/>
      </w:tblGrid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Statistic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Null family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surrogate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Spectral entropy H = −Σpₖ log₂ pₖ for k=1..20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A (amplitude)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Moving-block bootstrap (15° primary)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Low-k concentration ratio R = (Σk=1..5 |Fₖ|²)/(Σk=1..20 |Fₖ|²)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A (amplitude)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Moving-block bootstrap (15° primary)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Cross-feature PLV per harmonic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B (phase)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randomization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Temporal-block harmonic persistence (B=7 primary)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Composite (BOTH families required)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Moving-block + phase randomization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Frame-invariance / phase-shift coherence on forward/inverse cross-coord pairs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B (phase)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randomization per frame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t xml:space="preserve">§4.3 Locked omnibus and FDR architecture</w:t>
      </w:r>
    </w:p>
    <w:p>
      <w:pPr>
        <w:spacing w:after="80" w:before="80"/>
      </w:pPr>
      <w:r>
        <w:t xml:space="preserve">Per-feature omnibus p-value: three combination methods (Harmonic Mean P-value HMP, Fisher's combined probability test, Stouffer's Z-score combination) reported in parallel. Per-feature classification as 'rejecting the null' requires q-value ≤ 0.01 under at least 2 of 3 combination methods after FDR Benjamini-Hochberg correction. Stratified FDR q=0.05 within coverage classes is reported as secondary. Bonferroni reported in supplementary tables for the most aggressive review standard.</w:t>
      </w:r>
    </w:p>
    <w:p>
      <w:pPr>
        <w:pStyle w:val="Heading2"/>
        <w:spacing w:after="120" w:before="240"/>
      </w:pPr>
      <w:r>
        <w:t xml:space="preserve">§4.4 Locked confounder list</w:t>
      </w:r>
    </w:p>
    <w:p>
      <w:pPr>
        <w:spacing w:after="80" w:before="80"/>
      </w:pPr>
      <w:r>
        <w:t xml:space="preserve">Six confounders pre-registered with handling rules: (1) annual seasonal asymmetry — k=1 flagging rule; (2) lunar synodic / sidereal contamination on MO features — descriptive markers only, no exclusion; (3) smoothing-induced low-k inflation — automatically calibrated by Family A surrogates; (4) schedule density / stadium / local-time clustering — G-AZ vs G-LON/G-RA-only sensitivity; (5) MLB team-population shifts — early-half (2000–2011) vs late-half (2012–2024) split; (6) 2002 Regular Season exclusion — 2002-dropped sensitivity rerun.</w:t>
      </w:r>
    </w:p>
    <w:p>
      <w:pPr>
        <w:pStyle w:val="Heading1"/>
        <w:spacing w:after="180" w:before="360"/>
      </w:pPr>
      <w:r>
        <w:t xml:space="preserve">§5. Locked Phase 1 Outputs (Phase 1.5 Inputs)</w:t>
      </w:r>
    </w:p>
    <w:p>
      <w:pPr>
        <w:spacing w:after="80" w:before="80"/>
      </w:pPr>
      <w:r>
        <w:t xml:space="preserve">Phase 1.5 operates on these and only these locked Phase 1 outputs. Phase 1.5 has NO authority to modify Phase 1 outputs or to acquire new data.</w:t>
      </w:r>
    </w:p>
    <w:p>
      <w:pPr>
        <w:pStyle w:val="Heading2"/>
        <w:spacing w:after="120" w:before="240"/>
      </w:pPr>
      <w:r>
        <w:t xml:space="preserve">§5.1 File locations (Google Drive / Colab)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/ directory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/content/drive/MyDrive/MLB 2000-no0224 Training Files by System et al/MLB 2000 - no02-2024 Combined Calcd Positions.csv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positions (events × planets × frames)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/content/drive/MyDrive/MLB 2000-no0224 Training Files by System et al/MLB 2000-no02-2024 G-LON to G-LON aspect features.csv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G-LON same-coord aspect file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/content/drive/MyDrive/MLB 2000-no0224 Training Files by System et al/MLB 2000-no02-2024 G-RA to G-RA aspect features.csv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G-RA same-coord aspect file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/content/drive/MyDrive/MLB 2000-no0224 Training Files by System et al/MLB 2000-no02-2024 G-AZ to G-AZ aspect features.csv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G-AZ same-coord aspect file (PoF NOT present per Filter M2)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/content/drive/MyDrive/MLB 2000-no0224 Training Files by System et al/MLB 2000-no02-2024 Cross-System G-X to G-Y.csv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Six cross-coord aspect files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/content/drive/MyDrive/OMNI_PROJECT/workspace/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 output directory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/content/drive/MyDrive/OMNI_PROJECT/workspace/omni_feature_registry.csv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1,482 rows; per-feature peak summary; primary stratification source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/content/drive/MyDrive/OMNI_PROJECT/workspace/temporal_persistence.csv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1,482 rows; per-feature 3/5/7-block classifications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/content/drive/MyDrive/OMNI_PROJECT/workspace/&lt;feature&gt;__&lt;target&gt;__smoothed_360.csv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Per-feature × per-target 360-row smoothed angular vectors; PRIMARY Phase 1.5 input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t xml:space="preserve">§5.2 Smoothed_360 file format</w:t>
      </w:r>
    </w:p>
    <w:p>
      <w:pPr>
        <w:spacing w:after="80" w:before="80"/>
      </w:pPr>
      <w:r>
        <w:t xml:space="preserve">Each smoothed_360 CSV contains 360 rows indexed by Degree (0..359), with columns: Degree (integer 0–359); Rate (raw rate at degree); Count (raw count at degree); Lift (raw lift = Rate / baseline_rate); Smoothed_Lift (boxcar-smoothed lift across the locked window); Smoothed_Count (boxcar-smoothed count). Phase 1.5 PRIMARY INPUT is the Smoothed_Lift column. The DFT is computed on the centered Smoothed_Lift vector after subtraction of its circular mean (DC removal).</w:t>
      </w:r>
    </w:p>
    <w:p>
      <w:pPr>
        <w:pStyle w:val="Heading1"/>
        <w:spacing w:after="180" w:before="360"/>
      </w:pPr>
      <w:r>
        <w:t xml:space="preserve">§6. Stage 1.5A — Locked Feature Set</w:t>
      </w:r>
    </w:p>
    <w:p>
      <w:pPr>
        <w:spacing w:after="80" w:before="80"/>
      </w:pPr>
      <w:r>
        <w:t xml:space="preserve">Stage 1.5A operates on exactly these 10 features (5 body pairs × 2 outcomes). Filenames may follow a pattern such as 'MO x &lt;body&gt; G-LON__&lt;target&gt;__smoothed_360.csv' — the fresh thread should verify the exact filename pattern by listing the workspace directory before code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Outcome target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MA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MA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VS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VS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PA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PA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JN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JN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CE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 x CE G-LON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pStyle w:val="Heading1"/>
        <w:spacing w:after="180" w:before="360"/>
      </w:pPr>
      <w:r>
        <w:t xml:space="preserve">§7. Recommended Stage 1.5A Code Architecture</w:t>
      </w:r>
    </w:p>
    <w:p>
      <w:pPr>
        <w:spacing w:after="80" w:before="80"/>
      </w:pPr>
      <w:r>
        <w:t xml:space="preserve">The fresh thread should construct a single Colab cell implementing the full Stage 1.5A test suite per the locked Pre-Registration §6. Recommended structure: (1) imports + pre-flight assertions (smoothed_360 files exist; registry rows present; expected feature names found); (2) loader returning the 10 centered Smoothed_Lift vectors as a (10 × 360) numpy array; (3) DFT computation returning the (10 × 180) complex coefficient matrix; (4) Statistic 1 (entropy) with moving-block bootstrap surrogates and parallel computation; (5) Statistic 2 (low-k concentration) with same surrogate machinery; (6) Statistic 3 (cross-feature PLV) with phase-randomization surrogates; (7) Statistic 4 (temporal-block persistence) requiring re-computation of smoothed_360 per block from raw aspect files; (8) Statistic 5 (frame-invariance) — note: not applicable in Stage 1.5A since 1.5A is single-frame; deferred to 1.5B onward; (9) per-feature combined-omnibus p-values via HMP / Fisher / Stouffer in parallel; (10) FDR Benjamini-Hochberg q=0.01 across the 10 features for each combination method; (11) outcome classification per Pre-Registration §4.1; (12) results table emission to workspace and Deviation Log initialization.</w:t>
      </w:r>
    </w:p>
    <w:p>
      <w:pPr>
        <w:spacing w:after="80" w:before="80"/>
      </w:pPr>
      <w:r>
        <w:t xml:space="preserve">Computational notes per ChatG: 10,000 surrogates × 10 features × 4 applicable statistics × multiple block widths is manageable in Colab without parallelization (estimated 5–15 minutes for 1.5A). Stage 1.5C will require parallelization, surrogate caching, and chunked execution. Plan accordingly when scaling.</w:t>
      </w:r>
    </w:p>
    <w:p>
      <w:pPr>
        <w:pStyle w:val="Heading1"/>
        <w:spacing w:after="180" w:before="360"/>
      </w:pPr>
      <w:r>
        <w:t xml:space="preserve">§8. Outstanding Items (Deferred to Fresh Thread)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OSF amendment registration of Phase 1.5 Pre-Registration v1.1-final (administrative — PI to perform)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Append experiment_log.md entry for Pre-Registration lock (entry text provided in main thread)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 Phase_1_5_PreRegistration_v1_1_final.docx to GitHub omni-geometry-mlb/docs/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exact smoothed_360 filename pattern in workspace before Stage 1.5A code construction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Stage 1.5A Colab cell per Pre-Registration §6 and §10 sequence, and §7 of this handoff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Execute Stage 1.5A and review outcome classification with PI and ChatG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1.5A supports primary or secondary escalation, build Stage 1.5B cell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1.5A does not support confirmatory escalation, run 1.5B and 1.5C as descriptive secondary analyses per Pre-Registration §8.3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t xml:space="preserve">§9. Documents to Have Open in Fresh Thread</w:t>
      </w:r>
    </w:p>
    <w:p>
      <w:pPr>
        <w:spacing w:after="80" w:before="80"/>
      </w:pPr>
      <w:r>
        <w:t xml:space="preserve">The fresh thread should have these documents loaded as project knowledge: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Phase_1_5_PreRegistration_v1_1_final.docx (binding methodology)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Phase_1_5_Execution_Handoff.docx (this document)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MO_Batch_Summary_v1_1_final.docx (most relevant Phase 1 batch — Stage 1.5A operates on MO Tier A)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ME_Batch_Summary_v1_1_final.docx (provides the framework's strongest theoretical contribution — formal distinction between projection-sensitive distortion and time-domain deficit)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paper_language.md (controlled vocabulary)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experiment_log.md (chronological execution log)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Asc / MC / VX / EA Batch Summaries (for cross-origin context in Stage 1.5B)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8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cell_v2_batch_v2_0_2_clean.py (for any need to reconstruct smoothed_360 from raw aspect data — temporal block partitioning of Statistic 4 may require this)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t xml:space="preserve">§10. Fresh-Thread Opening Ritual</w:t>
      </w:r>
    </w:p>
    <w:p>
      <w:pPr>
        <w:spacing w:after="80" w:before="80"/>
      </w:pPr>
      <w:r>
        <w:t xml:space="preserve">When opening the fresh thread, the PI should provide a short orientation message identifying the project (OMNI Geometry MLB), the current state (Phase 1 complete; Phase 1.5 Pre-Registration locked and OSF-registered), and the immediate task (Stage 1.5A code construction). The fresh Claude session should respond by: (a) confirming receipt of the locked Pre-Registration and this handoff document; (b) summarizing the Stage 1.5A scope in 2–3 sentences to confirm understanding; (c) asking whether to begin code construction immediately or to first verify the smoothed_360 filename pattern in the Colab workspace via a small inspection cell.</w:t>
      </w:r>
    </w:p>
    <w:p>
      <w:pPr>
        <w:pStyle w:val="Heading1"/>
        <w:spacing w:after="180" w:before="360"/>
      </w:pPr>
      <w:r>
        <w:t xml:space="preserve">§11. Document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1.5 Execution Handoff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Thread-transition document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Authority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Operational only; Pre-Registration v1.1-final is the binding methodology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drafted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Drafted by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(terminating thread); reviewed by PI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Companion document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Phase_1_5_PreRegistration_v1_1_final.docx (OSF-registered)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 thread task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Stage 1.5A code construction and execution</w:t>
            </w:r>
          </w:p>
        </w:tc>
      </w:tr>
    </w:tbl>
    <w:p>
      <w:r>
        <w:t xml:space="preserve"/>
      </w:r>
    </w:p>
    <w:p>
      <w:pPr>
        <w:spacing w:before="360"/>
        <w:jc w:val="center"/>
      </w:pPr>
      <w:r>
        <w:rPr>
          <w:i/>
          <w:iCs/>
        </w:rPr>
        <w:t xml:space="preserve">End of Phase 1.5 Execution Handoff.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1.5 Execution Handoff</dc:title>
  <dc:creator>OMNI Geometry MLB / Claude</dc:creator>
  <cp:lastModifiedBy>Un-named</cp:lastModifiedBy>
  <cp:revision>1</cp:revision>
  <dcterms:created xsi:type="dcterms:W3CDTF">2026-05-10T04:19:29.412Z</dcterms:created>
  <dcterms:modified xsi:type="dcterms:W3CDTF">2026-05-10T04:19:29.412Z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