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PAPER 1 — SECTION 3: RESULTS</w:t>
      </w:r>
    </w:p>
    <w:p>
      <w:pPr>
        <w:spacing w:after="80"/>
        <w:jc w:val="center"/>
      </w:pPr>
      <w:r>
        <w:rPr>
          <w:rFonts w:ascii="Calibri" w:cs="Calibri" w:eastAsia="Calibri" w:hAnsi="Calibri"/>
          <w:i/>
          <w:iCs/>
          <w:sz w:val="26"/>
          <w:szCs w:val="26"/>
        </w:rPr>
        <w:t xml:space="preserve">External Geometric Drivers of Performance</w:t>
      </w:r>
    </w:p>
    <w:p>
      <w:pPr>
        <w:spacing w:after="80"/>
        <w:jc w:val="center"/>
      </w:pPr>
      <w:r>
        <w:rPr>
          <w:rFonts w:ascii="Calibri" w:cs="Calibri" w:eastAsia="Calibri" w:hAnsi="Calibri"/>
          <w:sz w:val="22"/>
          <w:szCs w:val="22"/>
        </w:rPr>
        <w:t xml:space="preserve">OMNI Geometry MLB</w:t>
      </w:r>
    </w:p>
    <w:p>
      <w:pPr>
        <w:spacing w:after="80"/>
        <w:jc w:val="center"/>
      </w:pPr>
      <w:r>
        <w:rPr>
          <w:rFonts w:ascii="Calibri" w:cs="Calibri" w:eastAsia="Calibri" w:hAnsi="Calibri"/>
          <w:i/>
          <w:iCs/>
          <w:sz w:val="20"/>
          <w:szCs w:val="20"/>
        </w:rPr>
        <w:t xml:space="preserve">Locked publication-grade draft — 2026-05-03</w:t>
      </w:r>
    </w:p>
    <w:p>
      <w:pPr>
        <w:spacing w:after="80"/>
        <w:jc w:val="center"/>
      </w:pPr>
      <w:r>
        <w:rPr>
          <w:rFonts w:ascii="Calibri" w:cs="Calibri" w:eastAsia="Calibri" w:hAnsi="Calibri"/>
          <w:i/>
          <w:iCs/>
          <w:sz w:val="18"/>
          <w:szCs w:val="18"/>
        </w:rPr>
        <w:t xml:space="preserve">Source: Asc Batch Summary v4 (locked statements 1–5 and coverage-tier framework)</w:t>
      </w:r>
    </w:p>
    <w:p>
      <w:pPr>
        <w:spacing w:after="480"/>
        <w:jc w:val="center"/>
      </w:pPr>
      <w:r>
        <w:rPr>
          <w:rFonts w:ascii="Calibri" w:cs="Calibri" w:eastAsia="Calibri" w:hAnsi="Calibri"/>
          <w:b/>
          <w:bCs/>
          <w:sz w:val="22"/>
          <w:szCs w:val="22"/>
        </w:rPr>
        <w:t xml:space="preserve">Copyright © 2026 Courtney Roberts Conrad. All rights reserved.</w:t>
      </w:r>
    </w:p>
    <w:p>
      <w:pPr>
        <w:pStyle w:val="Heading1"/>
        <w:spacing w:after="240" w:before="360"/>
      </w:pPr>
      <w:r>
        <w:rPr>
          <w:rFonts w:ascii="Calibri" w:cs="Calibri" w:eastAsia="Calibri" w:hAnsi="Calibri"/>
          <w:b/>
          <w:bCs/>
          <w:sz w:val="32"/>
          <w:szCs w:val="32"/>
        </w:rPr>
        <w:t xml:space="preserve">3. Results</w:t>
      </w:r>
    </w:p>
    <w:p>
      <w:pPr>
        <w:pStyle w:val="Heading2"/>
        <w:spacing w:after="180" w:before="320"/>
      </w:pPr>
      <w:r>
        <w:rPr>
          <w:rFonts w:ascii="Calibri" w:cs="Calibri" w:eastAsia="Calibri" w:hAnsi="Calibri"/>
          <w:b/>
          <w:bCs/>
          <w:sz w:val="28"/>
          <w:szCs w:val="28"/>
        </w:rPr>
        <w:t xml:space="preserve">3.1 Overview of the Ascendant-origin panel</w:t>
      </w:r>
    </w:p>
    <w:p>
      <w:pPr>
        <w:spacing w:after="200"/>
        <w:jc w:val="left"/>
      </w:pPr>
      <w:r>
        <w:rPr>
          <w:rFonts w:ascii="Calibri" w:cs="Calibri" w:eastAsia="Calibri" w:hAnsi="Calibri"/>
          <w:b w:val="false"/>
          <w:bCs w:val="false"/>
          <w:i w:val="false"/>
          <w:iCs w:val="false"/>
          <w:sz w:val="22"/>
          <w:szCs w:val="22"/>
        </w:rPr>
        <w:t xml:space="preserve">Across the Ascendant-origin panel, 215 of 294 attempted target-evaluations satisfy the pre-registered support criterion (peak_smoothed_lift &gt; 1.15, peak_smoothed_count ≥ 30, lock_succeeded = True), yielding a panel-wide support rate of 73.1%. Under maximally conservative denominator handling that includes data-unavailable evaluations, the support rate remains 70.3%, substantially exceeding the pre-registered 50% threshold.</w:t>
      </w:r>
    </w:p>
    <w:p>
      <w:pPr>
        <w:spacing w:after="200"/>
        <w:jc w:val="left"/>
      </w:pPr>
      <w:r>
        <w:rPr>
          <w:rFonts w:ascii="Calibri" w:cs="Calibri" w:eastAsia="Calibri" w:hAnsi="Calibri"/>
          <w:b w:val="false"/>
          <w:bCs w:val="false"/>
          <w:i w:val="false"/>
          <w:iCs w:val="false"/>
          <w:sz w:val="22"/>
          <w:szCs w:val="22"/>
        </w:rPr>
        <w:t xml:space="preserve">These results establish that above-baseline angular structure between the Ascendant and multiple planetary bodies is widespread across coordinate constructions, subject to the measurement constraints discussed below.</w:t>
      </w:r>
    </w:p>
    <w:p>
      <w:pPr>
        <w:pStyle w:val="Heading2"/>
        <w:spacing w:after="180" w:before="320"/>
      </w:pPr>
      <w:r>
        <w:rPr>
          <w:rFonts w:ascii="Calibri" w:cs="Calibri" w:eastAsia="Calibri" w:hAnsi="Calibri"/>
          <w:b/>
          <w:bCs/>
          <w:sz w:val="28"/>
          <w:szCs w:val="28"/>
        </w:rPr>
        <w:t xml:space="preserve">3.2 Signal detectability across coordinate systems</w:t>
      </w:r>
    </w:p>
    <w:p>
      <w:pPr>
        <w:spacing w:after="200"/>
        <w:jc w:val="left"/>
      </w:pPr>
      <w:r>
        <w:rPr>
          <w:rFonts w:ascii="Calibri" w:cs="Calibri" w:eastAsia="Calibri" w:hAnsi="Calibri"/>
          <w:b w:val="false"/>
          <w:bCs w:val="false"/>
          <w:i w:val="false"/>
          <w:iCs w:val="false"/>
          <w:sz w:val="22"/>
          <w:szCs w:val="22"/>
        </w:rPr>
        <w:t xml:space="preserve">For coverage-sufficient bodies, signal detectability is robust across all coordinate constructions (G-LON, G-RA, G-AZ) and across both forward and inverse cross-coordinate directions. That is, above-baseline structure is consistently detected regardless of the coordinate system used to measure angular separation.</w:t>
      </w:r>
    </w:p>
    <w:p>
      <w:pPr>
        <w:spacing w:after="200"/>
        <w:jc w:val="left"/>
      </w:pPr>
      <w:r>
        <w:rPr>
          <w:rFonts w:ascii="Calibri" w:cs="Calibri" w:eastAsia="Calibri" w:hAnsi="Calibri"/>
          <w:b w:val="false"/>
          <w:bCs w:val="false"/>
          <w:i w:val="false"/>
          <w:iCs w:val="false"/>
          <w:sz w:val="22"/>
          <w:szCs w:val="22"/>
        </w:rPr>
        <w:t xml:space="preserve">However, effect magnitude and peak localization are strongly frame-dependent. Identical body pairs evaluated under different coordinate constructions frequently exhibit substantial shifts in peak degree and variation in measured lift, indicating that coordinate transformation alters the expression — but not the detectability — of the underlying geometric relationship.</w:t>
      </w:r>
    </w:p>
    <w:p>
      <w:pPr>
        <w:pStyle w:val="Heading2"/>
        <w:spacing w:after="180" w:before="320"/>
      </w:pPr>
      <w:r>
        <w:rPr>
          <w:rFonts w:ascii="Calibri" w:cs="Calibri" w:eastAsia="Calibri" w:hAnsi="Calibri"/>
          <w:b/>
          <w:bCs/>
          <w:sz w:val="28"/>
          <w:szCs w:val="28"/>
        </w:rPr>
        <w:t xml:space="preserve">3.3 Measurement-system effects and coverage structure</w:t>
      </w:r>
    </w:p>
    <w:p>
      <w:pPr>
        <w:spacing w:after="200"/>
        <w:jc w:val="left"/>
      </w:pPr>
      <w:r>
        <w:rPr>
          <w:rFonts w:ascii="Calibri" w:cs="Calibri" w:eastAsia="Calibri" w:hAnsi="Calibri"/>
          <w:b w:val="false"/>
          <w:bCs w:val="false"/>
          <w:i w:val="false"/>
          <w:iCs w:val="false"/>
          <w:sz w:val="22"/>
          <w:szCs w:val="22"/>
        </w:rPr>
        <w:t xml:space="preserve">A central result of the Ascendant panel is that effect-size estimates depend not only on the underlying body pair but on the interaction between orbital sampling density and coordinate projection.</w:t>
      </w:r>
    </w:p>
    <w:p>
      <w:pPr>
        <w:spacing w:after="200"/>
        <w:jc w:val="left"/>
      </w:pPr>
      <w:r>
        <w:rPr>
          <w:rFonts w:ascii="Calibri" w:cs="Calibri" w:eastAsia="Calibri" w:hAnsi="Calibri"/>
          <w:b w:val="false"/>
          <w:bCs w:val="false"/>
          <w:i w:val="false"/>
          <w:iCs w:val="false"/>
          <w:sz w:val="22"/>
          <w:szCs w:val="22"/>
        </w:rPr>
        <w:t xml:space="preserve">Among the coordinate systems evaluated, azimuth (G-AZ) uniquely provides uniform sampling across all bodies due to Earth’s daily rotation. Every body traverses the full 360° azimuthal domain within each sidereal day, producing complete coverage independent of orbital period. As a result, G-AZ is the only coordinate system in this study in which effect-size estimates are not structurally distorted by orbital coverage bias.</w:t>
      </w:r>
    </w:p>
    <w:p>
      <w:pPr>
        <w:spacing w:after="200"/>
        <w:jc w:val="left"/>
      </w:pPr>
      <w:r>
        <w:rPr>
          <w:rFonts w:ascii="Calibri" w:cs="Calibri" w:eastAsia="Calibri" w:hAnsi="Calibri"/>
          <w:b w:val="false"/>
          <w:bCs w:val="false"/>
          <w:i w:val="false"/>
          <w:iCs w:val="false"/>
          <w:sz w:val="22"/>
          <w:szCs w:val="22"/>
        </w:rPr>
        <w:t xml:space="preserve">In contrast, geocentric ecliptic (G-LON) and equatorial (G-RA) frames exhibit systematic coverage degradation for partial-cycle and sub-cycle bodies. Within the 25-year dataset, Jupiter completes approximately two cycles, the North Node ~1.3 cycles, and Saturn less than one cycle, resulting in substantial regions of the angular domain with sparse or zero sampling. Lift values computed in G-LON and G-RA for these bodies are therefore derived from non-uniform baselines and are not directly comparable to those obtained under uniform coverage conditions.</w:t>
      </w:r>
    </w:p>
    <w:p>
      <w:pPr>
        <w:pStyle w:val="Heading2"/>
        <w:spacing w:after="180" w:before="320"/>
      </w:pPr>
      <w:r>
        <w:rPr>
          <w:rFonts w:ascii="Calibri" w:cs="Calibri" w:eastAsia="Calibri" w:hAnsi="Calibri"/>
          <w:b/>
          <w:bCs/>
          <w:sz w:val="28"/>
          <w:szCs w:val="28"/>
        </w:rPr>
        <w:t xml:space="preserve">3.4 Directional asymmetry in azimuthal constructions</w:t>
      </w:r>
    </w:p>
    <w:p>
      <w:pPr>
        <w:spacing w:after="200"/>
        <w:jc w:val="left"/>
      </w:pPr>
      <w:r>
        <w:rPr>
          <w:rFonts w:ascii="Calibri" w:cs="Calibri" w:eastAsia="Calibri" w:hAnsi="Calibri"/>
          <w:b w:val="false"/>
          <w:bCs w:val="false"/>
          <w:i w:val="false"/>
          <w:iCs w:val="false"/>
          <w:sz w:val="22"/>
          <w:szCs w:val="22"/>
        </w:rPr>
        <w:t xml:space="preserve">Cross-coordinate constructions involving azimuth exhibit a reproducible directional asymmetry.</w:t>
      </w:r>
    </w:p>
    <w:p>
      <w:pPr>
        <w:spacing w:after="200"/>
        <w:jc w:val="left"/>
      </w:pPr>
      <w:r>
        <w:rPr>
          <w:rFonts w:ascii="Calibri" w:cs="Calibri" w:eastAsia="Calibri" w:hAnsi="Calibri"/>
          <w:b w:val="false"/>
          <w:bCs w:val="false"/>
          <w:i w:val="false"/>
          <w:iCs w:val="false"/>
          <w:sz w:val="22"/>
          <w:szCs w:val="22"/>
        </w:rPr>
        <w:t xml:space="preserve">When G-AZ is used as the target frame, outer-planet features on the High target specifically (Uranus, Neptune, Pluto) frequently produce degenerate high-lift peaks characterized by identical capped lift values (peak_smoothed_lift = 11.250) and single-event support (peak_smoothed_count = 1), reproduced across both independent G-AZ-target chunks (Asc-6 and Asc-8) for all three bodies.</w:t>
      </w:r>
    </w:p>
    <w:p>
      <w:pPr>
        <w:spacing w:after="200"/>
        <w:jc w:val="left"/>
      </w:pPr>
      <w:r>
        <w:rPr>
          <w:rFonts w:ascii="Calibri" w:cs="Calibri" w:eastAsia="Calibri" w:hAnsi="Calibri"/>
          <w:b w:val="false"/>
          <w:bCs w:val="false"/>
          <w:i w:val="false"/>
          <w:iCs w:val="false"/>
          <w:sz w:val="22"/>
          <w:szCs w:val="22"/>
        </w:rPr>
        <w:t xml:space="preserve">In contrast, Low-target measurements for the same bodies do not exhibit identical-ceiling degeneracy and in several cases satisfy the support criterion with moderate sample counts.</w:t>
      </w:r>
    </w:p>
    <w:p>
      <w:pPr>
        <w:spacing w:after="200"/>
        <w:jc w:val="left"/>
      </w:pPr>
      <w:r>
        <w:rPr>
          <w:rFonts w:ascii="Calibri" w:cs="Calibri" w:eastAsia="Calibri" w:hAnsi="Calibri"/>
          <w:b w:val="false"/>
          <w:bCs w:val="false"/>
          <w:i w:val="false"/>
          <w:iCs w:val="false"/>
          <w:sz w:val="22"/>
          <w:szCs w:val="22"/>
        </w:rPr>
        <w:t xml:space="preserve">When G-AZ is used as the origin frame, the same body pairs produce well-supported peaks with substantial sample counts and moderate-to-high lift values. In this configuration, projection into G-LON or G-RA restores sampling density, eliminating the degeneracy observed in the reverse direction.</w:t>
      </w:r>
    </w:p>
    <w:p>
      <w:pPr>
        <w:spacing w:after="200"/>
        <w:jc w:val="left"/>
      </w:pPr>
      <w:r>
        <w:rPr>
          <w:rFonts w:ascii="Calibri" w:cs="Calibri" w:eastAsia="Calibri" w:hAnsi="Calibri"/>
          <w:b w:val="false"/>
          <w:bCs w:val="false"/>
          <w:i w:val="false"/>
          <w:iCs w:val="false"/>
          <w:sz w:val="22"/>
          <w:szCs w:val="22"/>
        </w:rPr>
        <w:t xml:space="preserve">This asymmetry is not a property of the body pairs themselves, but a structural consequence of projection geometry.</w:t>
      </w:r>
    </w:p>
    <w:p>
      <w:pPr>
        <w:pStyle w:val="Heading2"/>
        <w:spacing w:after="180" w:before="320"/>
      </w:pPr>
      <w:r>
        <w:rPr>
          <w:rFonts w:ascii="Calibri" w:cs="Calibri" w:eastAsia="Calibri" w:hAnsi="Calibri"/>
          <w:b/>
          <w:bCs/>
          <w:sz w:val="28"/>
          <w:szCs w:val="28"/>
        </w:rPr>
        <w:t xml:space="preserve">3.5 Construction-class hierarchy</w:t>
      </w:r>
    </w:p>
    <w:p>
      <w:pPr>
        <w:spacing w:after="200"/>
        <w:jc w:val="left"/>
      </w:pPr>
      <w:r>
        <w:rPr>
          <w:rFonts w:ascii="Calibri" w:cs="Calibri" w:eastAsia="Calibri" w:hAnsi="Calibri"/>
          <w:b w:val="false"/>
          <w:bCs w:val="false"/>
          <w:i w:val="false"/>
          <w:iCs w:val="false"/>
          <w:sz w:val="22"/>
          <w:szCs w:val="22"/>
        </w:rPr>
        <w:t xml:space="preserve">Within the supported subset, coordinate constructions exhibit a consistent hierarchy in effect magnitude and stability:</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G-AZ-origin cross-coordinate constructions (Asc G-AZ × body G-LON / G-RA) produce the strongest combination of high lift and substantial sample support.</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G-AZ-target constructions provide diagnostically useful signals but are susceptible to projection-induced sparsity for slow-moving bodies.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G-LON and G-RA constructions yield stable results for fast- and mid-cycle bodies but produce inflated or distorted effect sizes for bodies with incomplete orbital coverage.</w:t>
      </w:r>
    </w:p>
    <w:p>
      <w:pPr>
        <w:spacing w:after="200"/>
        <w:jc w:val="left"/>
      </w:pPr>
      <w:r>
        <w:rPr>
          <w:rFonts w:ascii="Calibri" w:cs="Calibri" w:eastAsia="Calibri" w:hAnsi="Calibri"/>
          <w:b w:val="false"/>
          <w:bCs w:val="false"/>
          <w:i w:val="false"/>
          <w:iCs w:val="false"/>
          <w:sz w:val="22"/>
          <w:szCs w:val="22"/>
        </w:rPr>
        <w:t xml:space="preserve">The hierarchy is established across both forward and inverse cross-coordinate directions of each pairing, with paired chunks producing identical support rates within rounding (Asc-4 = Asc-5 = 71%; Asc-7 = Asc-9 = 77%), confirming that construction-class behavior is not direction-dependent for coverage-sufficient bodies. This hierarchy reflects measurement-system behavior rather than intrinsic differences in underlying celestial relationships.</w:t>
      </w:r>
    </w:p>
    <w:p>
      <w:pPr>
        <w:pStyle w:val="Heading2"/>
        <w:spacing w:after="180" w:before="320"/>
      </w:pPr>
      <w:r>
        <w:rPr>
          <w:rFonts w:ascii="Calibri" w:cs="Calibri" w:eastAsia="Calibri" w:hAnsi="Calibri"/>
          <w:b/>
          <w:bCs/>
          <w:sz w:val="28"/>
          <w:szCs w:val="28"/>
        </w:rPr>
        <w:t xml:space="preserve">3.6 Coverage-stratified feature performance</w:t>
      </w:r>
    </w:p>
    <w:p>
      <w:pPr>
        <w:spacing w:after="200"/>
        <w:jc w:val="left"/>
      </w:pPr>
      <w:r>
        <w:rPr>
          <w:rFonts w:ascii="Calibri" w:cs="Calibri" w:eastAsia="Calibri" w:hAnsi="Calibri"/>
          <w:b w:val="false"/>
          <w:bCs w:val="false"/>
          <w:i w:val="false"/>
          <w:iCs w:val="false"/>
          <w:sz w:val="22"/>
          <w:szCs w:val="22"/>
        </w:rPr>
        <w:t xml:space="preserve">To account for sampling heterogeneity, bodies were stratified according to coverage completeness within the observation window. Coverage tiers are operationalized in the Methods section by orbital-cycle count within the 25-year window and the resulting zero-bin proportion in the G-LON / G-RA diagnostic histogram.</w:t>
      </w:r>
    </w:p>
    <w:p>
      <w:pPr>
        <w:pStyle w:val="Heading3"/>
        <w:spacing w:after="140" w:before="240"/>
      </w:pPr>
      <w:r>
        <w:rPr>
          <w:rFonts w:ascii="Calibri" w:cs="Calibri" w:eastAsia="Calibri" w:hAnsi="Calibri"/>
          <w:b/>
          <w:bCs/>
          <w:i/>
          <w:iCs/>
          <w:sz w:val="24"/>
          <w:szCs w:val="24"/>
        </w:rPr>
        <w:t xml:space="preserve">Coverage-clean bodies (multi-cycle)</w:t>
      </w:r>
    </w:p>
    <w:p>
      <w:pPr>
        <w:spacing w:after="200"/>
        <w:jc w:val="left"/>
      </w:pPr>
      <w:r>
        <w:rPr>
          <w:rFonts w:ascii="Calibri" w:cs="Calibri" w:eastAsia="Calibri" w:hAnsi="Calibri"/>
          <w:b w:val="false"/>
          <w:bCs w:val="false"/>
          <w:i w:val="false"/>
          <w:iCs w:val="false"/>
          <w:sz w:val="22"/>
          <w:szCs w:val="22"/>
        </w:rPr>
        <w:t xml:space="preserve">Bodies completing multiple orbital cycles within the dataset (Moon, Mars, Vesta, Pallas, Juno, Ceres) exhibit consistent support across all coordinate constructions. Their lift values are computed against near-uniform baselines and are directly comparable.</w:t>
      </w:r>
    </w:p>
    <w:p>
      <w:pPr>
        <w:pStyle w:val="Heading3"/>
        <w:spacing w:after="140" w:before="240"/>
      </w:pPr>
      <w:r>
        <w:rPr>
          <w:rFonts w:ascii="Calibri" w:cs="Calibri" w:eastAsia="Calibri" w:hAnsi="Calibri"/>
          <w:b/>
          <w:bCs/>
          <w:i/>
          <w:iCs/>
          <w:sz w:val="24"/>
          <w:szCs w:val="24"/>
        </w:rPr>
        <w:t xml:space="preserve">Partial-cycle bodies</w:t>
      </w:r>
    </w:p>
    <w:p>
      <w:pPr>
        <w:spacing w:after="200"/>
        <w:jc w:val="left"/>
      </w:pPr>
      <w:r>
        <w:rPr>
          <w:rFonts w:ascii="Calibri" w:cs="Calibri" w:eastAsia="Calibri" w:hAnsi="Calibri"/>
          <w:b w:val="false"/>
          <w:bCs w:val="false"/>
          <w:i w:val="false"/>
          <w:iCs w:val="false"/>
          <w:sz w:val="22"/>
          <w:szCs w:val="22"/>
        </w:rPr>
        <w:t xml:space="preserve">Jupiter and the North Node exhibit coverage-complete behavior in G-AZ but partial coverage in G-LON and G-RA. Their strongest and most interpretable effects occur in constructions where azimuth serves as the target or origin frame.</w:t>
      </w:r>
    </w:p>
    <w:p>
      <w:pPr>
        <w:pStyle w:val="Heading3"/>
        <w:spacing w:after="140" w:before="240"/>
      </w:pPr>
      <w:r>
        <w:rPr>
          <w:rFonts w:ascii="Calibri" w:cs="Calibri" w:eastAsia="Calibri" w:hAnsi="Calibri"/>
          <w:b/>
          <w:bCs/>
          <w:i/>
          <w:iCs/>
          <w:sz w:val="24"/>
          <w:szCs w:val="24"/>
        </w:rPr>
        <w:t xml:space="preserve">Sub-cycle bodies</w:t>
      </w:r>
    </w:p>
    <w:p>
      <w:pPr>
        <w:spacing w:after="200"/>
        <w:jc w:val="left"/>
      </w:pPr>
      <w:r>
        <w:rPr>
          <w:rFonts w:ascii="Calibri" w:cs="Calibri" w:eastAsia="Calibri" w:hAnsi="Calibri"/>
          <w:b w:val="false"/>
          <w:bCs w:val="false"/>
          <w:i w:val="false"/>
          <w:iCs w:val="false"/>
          <w:sz w:val="22"/>
          <w:szCs w:val="22"/>
        </w:rPr>
        <w:t xml:space="preserve">Saturn exhibits strong numerical support across constructions but inflated lift values in G-LON and G-RA due to baseline distortion. Its G-AZ-based results remain interpretable, while its ecliptic and equatorial results require explicit caveating.</w:t>
      </w:r>
    </w:p>
    <w:p>
      <w:pPr>
        <w:pStyle w:val="Heading3"/>
        <w:spacing w:after="140" w:before="240"/>
      </w:pPr>
      <w:r>
        <w:rPr>
          <w:rFonts w:ascii="Calibri" w:cs="Calibri" w:eastAsia="Calibri" w:hAnsi="Calibri"/>
          <w:b/>
          <w:bCs/>
          <w:i/>
          <w:iCs/>
          <w:sz w:val="24"/>
          <w:szCs w:val="24"/>
        </w:rPr>
        <w:t xml:space="preserve">Constrained and sparse bodies</w:t>
      </w:r>
    </w:p>
    <w:p>
      <w:pPr>
        <w:spacing w:after="200"/>
        <w:jc w:val="left"/>
      </w:pPr>
      <w:r>
        <w:rPr>
          <w:rFonts w:ascii="Calibri" w:cs="Calibri" w:eastAsia="Calibri" w:hAnsi="Calibri"/>
          <w:b w:val="false"/>
          <w:bCs w:val="false"/>
          <w:i w:val="false"/>
          <w:iCs w:val="false"/>
          <w:sz w:val="22"/>
          <w:szCs w:val="22"/>
        </w:rPr>
        <w:t xml:space="preserve">Inner planets (Sun, Mercury, Venus) and distant outer planets (Uranus, Neptune, Pluto) fail the support criterion through two distinct mechanisms — constrained apparent motion (SU, ME, VE) and sparse sample coverage (UR, NE, PL) — both of which require modeling approaches beyond Phase 1.</w:t>
      </w:r>
    </w:p>
    <w:p>
      <w:pPr>
        <w:pStyle w:val="Heading2"/>
        <w:spacing w:after="180" w:before="320"/>
      </w:pPr>
      <w:r>
        <w:rPr>
          <w:rFonts w:ascii="Calibri" w:cs="Calibri" w:eastAsia="Calibri" w:hAnsi="Calibri"/>
          <w:b/>
          <w:bCs/>
          <w:sz w:val="28"/>
          <w:szCs w:val="28"/>
        </w:rPr>
        <w:t xml:space="preserve">3.7 Dominant signal-carrying bodies</w:t>
      </w:r>
    </w:p>
    <w:p>
      <w:pPr>
        <w:spacing w:after="200"/>
        <w:jc w:val="left"/>
      </w:pPr>
      <w:r>
        <w:rPr>
          <w:rFonts w:ascii="Calibri" w:cs="Calibri" w:eastAsia="Calibri" w:hAnsi="Calibri"/>
          <w:b w:val="false"/>
          <w:bCs w:val="false"/>
          <w:i w:val="false"/>
          <w:iCs w:val="false"/>
          <w:sz w:val="22"/>
          <w:szCs w:val="22"/>
        </w:rPr>
        <w:t xml:space="preserve">Under coverage-clean inclusion rules, the dominant signal-carrying bodies in the Ascendant-origin panel are:</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Mars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Moon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Vesta</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Pallas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Juno</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Ceres</w:t>
      </w:r>
    </w:p>
    <w:p>
      <w:pPr>
        <w:spacing w:after="200"/>
        <w:jc w:val="left"/>
      </w:pPr>
      <w:r>
        <w:rPr>
          <w:rFonts w:ascii="Calibri" w:cs="Calibri" w:eastAsia="Calibri" w:hAnsi="Calibri"/>
          <w:b w:val="false"/>
          <w:bCs w:val="false"/>
          <w:i w:val="false"/>
          <w:iCs w:val="false"/>
          <w:sz w:val="22"/>
          <w:szCs w:val="22"/>
        </w:rPr>
        <w:t xml:space="preserve">These bodies exhibit consistent support across constructions and produce the most stable and interpretable effect sizes.</w:t>
      </w:r>
    </w:p>
    <w:p>
      <w:pPr>
        <w:spacing w:after="200"/>
        <w:jc w:val="left"/>
      </w:pPr>
      <w:r>
        <w:rPr>
          <w:rFonts w:ascii="Calibri" w:cs="Calibri" w:eastAsia="Calibri" w:hAnsi="Calibri"/>
          <w:b w:val="false"/>
          <w:bCs w:val="false"/>
          <w:i w:val="false"/>
          <w:iCs w:val="false"/>
          <w:sz w:val="22"/>
          <w:szCs w:val="22"/>
        </w:rPr>
        <w:t xml:space="preserve">Asteroid bodies occupy a majority of the highest-ranked coverage-clean features. This prominence reflects both their multi-cycle sampling completeness within the observation window and their consistent signal detectability under uniform-coverage conditions; distinguishing between these contributions is reserved for subsequent modeling.</w:t>
      </w:r>
    </w:p>
    <w:p>
      <w:pPr>
        <w:spacing w:after="200"/>
        <w:jc w:val="left"/>
      </w:pPr>
      <w:r>
        <w:rPr>
          <w:rFonts w:ascii="Calibri" w:cs="Calibri" w:eastAsia="Calibri" w:hAnsi="Calibri"/>
          <w:b w:val="false"/>
          <w:bCs w:val="false"/>
          <w:i w:val="false"/>
          <w:iCs w:val="false"/>
          <w:sz w:val="22"/>
          <w:szCs w:val="22"/>
        </w:rPr>
        <w:t xml:space="preserve">Jupiter and the North Node contribute selectively through azimuth-based constructions, in which their coverage-conditional G-LON / G-RA performance becomes coverage-clean by daily rotation.</w:t>
      </w:r>
    </w:p>
    <w:p>
      <w:pPr>
        <w:spacing w:after="200"/>
        <w:jc w:val="left"/>
      </w:pPr>
      <w:r>
        <w:rPr>
          <w:rFonts w:ascii="Calibri" w:cs="Calibri" w:eastAsia="Calibri" w:hAnsi="Calibri"/>
          <w:b w:val="false"/>
          <w:bCs w:val="false"/>
          <w:i w:val="false"/>
          <w:iCs w:val="false"/>
          <w:sz w:val="22"/>
          <w:szCs w:val="22"/>
        </w:rPr>
        <w:t xml:space="preserve">Saturn serves as a boundary case illustrating the impact of sampling limitations on effect estimation.</w:t>
      </w:r>
    </w:p>
    <w:p>
      <w:pPr>
        <w:pStyle w:val="Heading2"/>
        <w:spacing w:after="180" w:before="320"/>
      </w:pPr>
      <w:r>
        <w:rPr>
          <w:rFonts w:ascii="Calibri" w:cs="Calibri" w:eastAsia="Calibri" w:hAnsi="Calibri"/>
          <w:b/>
          <w:bCs/>
          <w:sz w:val="28"/>
          <w:szCs w:val="28"/>
        </w:rPr>
        <w:t xml:space="preserve">3.8 Implications for feature construction</w:t>
      </w:r>
    </w:p>
    <w:p>
      <w:pPr>
        <w:spacing w:after="200"/>
        <w:jc w:val="left"/>
      </w:pPr>
      <w:r>
        <w:rPr>
          <w:rFonts w:ascii="Calibri" w:cs="Calibri" w:eastAsia="Calibri" w:hAnsi="Calibri"/>
          <w:b w:val="false"/>
          <w:bCs w:val="false"/>
          <w:i w:val="false"/>
          <w:iCs w:val="false"/>
          <w:sz w:val="22"/>
          <w:szCs w:val="22"/>
        </w:rPr>
        <w:t xml:space="preserve">Feature performance is jointly determined by:</w:t>
      </w:r>
    </w:p>
    <w:p>
      <w:pPr>
        <w:spacing w:after="100"/>
        <w:ind w:left="360"/>
      </w:pPr>
      <w:r>
        <w:rPr>
          <w:rFonts w:ascii="Calibri" w:cs="Calibri" w:eastAsia="Calibri" w:hAnsi="Calibri"/>
          <w:b/>
          <w:bCs/>
          <w:sz w:val="22"/>
          <w:szCs w:val="22"/>
        </w:rPr>
        <w:t xml:space="preserve">1. </w:t>
      </w:r>
      <w:r>
        <w:rPr>
          <w:rFonts w:ascii="Calibri" w:cs="Calibri" w:eastAsia="Calibri" w:hAnsi="Calibri"/>
          <w:sz w:val="22"/>
          <w:szCs w:val="22"/>
        </w:rPr>
        <w:t xml:space="preserve">Geometric relationship (body pair)</w:t>
      </w:r>
    </w:p>
    <w:p>
      <w:pPr>
        <w:spacing w:after="100"/>
        <w:ind w:left="360"/>
      </w:pPr>
      <w:r>
        <w:rPr>
          <w:rFonts w:ascii="Calibri" w:cs="Calibri" w:eastAsia="Calibri" w:hAnsi="Calibri"/>
          <w:b/>
          <w:bCs/>
          <w:sz w:val="22"/>
          <w:szCs w:val="22"/>
        </w:rPr>
        <w:t xml:space="preserve">2. </w:t>
      </w:r>
      <w:r>
        <w:rPr>
          <w:rFonts w:ascii="Calibri" w:cs="Calibri" w:eastAsia="Calibri" w:hAnsi="Calibri"/>
          <w:sz w:val="22"/>
          <w:szCs w:val="22"/>
        </w:rPr>
        <w:t xml:space="preserve">Measurement system (coordinate frame)</w:t>
      </w:r>
    </w:p>
    <w:p>
      <w:pPr>
        <w:spacing w:after="100"/>
        <w:ind w:left="360"/>
      </w:pPr>
      <w:r>
        <w:rPr>
          <w:rFonts w:ascii="Calibri" w:cs="Calibri" w:eastAsia="Calibri" w:hAnsi="Calibri"/>
          <w:b/>
          <w:bCs/>
          <w:sz w:val="22"/>
          <w:szCs w:val="22"/>
        </w:rPr>
        <w:t xml:space="preserve">3. </w:t>
      </w:r>
      <w:r>
        <w:rPr>
          <w:rFonts w:ascii="Calibri" w:cs="Calibri" w:eastAsia="Calibri" w:hAnsi="Calibri"/>
          <w:sz w:val="22"/>
          <w:szCs w:val="22"/>
        </w:rPr>
        <w:t xml:space="preserve">Sampling coverage (orbital completeness)</w:t>
      </w:r>
    </w:p>
    <w:p>
      <w:pPr>
        <w:spacing w:after="200"/>
        <w:jc w:val="left"/>
      </w:pPr>
      <w:r>
        <w:rPr>
          <w:rFonts w:ascii="Calibri" w:cs="Calibri" w:eastAsia="Calibri" w:hAnsi="Calibri"/>
          <w:b w:val="false"/>
          <w:bCs w:val="false"/>
          <w:i w:val="false"/>
          <w:iCs w:val="false"/>
          <w:sz w:val="22"/>
          <w:szCs w:val="22"/>
        </w:rPr>
        <w:t xml:space="preserve">Accordingly, feature selection must be conditioned on coordinate construction and coverage regime.</w:t>
      </w:r>
    </w:p>
    <w:p>
      <w:pPr>
        <w:spacing w:after="200"/>
        <w:jc w:val="left"/>
      </w:pPr>
      <w:r>
        <w:rPr>
          <w:rFonts w:ascii="Calibri" w:cs="Calibri" w:eastAsia="Calibri" w:hAnsi="Calibri"/>
          <w:b w:val="false"/>
          <w:bCs w:val="false"/>
          <w:i w:val="false"/>
          <w:iCs w:val="false"/>
          <w:sz w:val="22"/>
          <w:szCs w:val="22"/>
        </w:rPr>
        <w:t xml:space="preserve">The azimuthal coordinate system provides a high-reliability feature space, while ecliptic and equatorial systems remain informative under constrained conditions. Bodies that do not satisfy coverage or motion criteria under current constructions are not necessarily uninformative, but require alternative modeling approaches.</w:t>
      </w:r>
    </w:p>
    <w:p>
      <w:pPr>
        <w:pStyle w:val="Heading2"/>
        <w:spacing w:after="180" w:before="320"/>
      </w:pPr>
      <w:r>
        <w:rPr>
          <w:rFonts w:ascii="Calibri" w:cs="Calibri" w:eastAsia="Calibri" w:hAnsi="Calibri"/>
          <w:b/>
          <w:bCs/>
          <w:sz w:val="28"/>
          <w:szCs w:val="28"/>
        </w:rPr>
        <w:t xml:space="preserve">3.9 Summary of findings</w:t>
      </w:r>
    </w:p>
    <w:p>
      <w:pPr>
        <w:spacing w:after="200"/>
        <w:jc w:val="left"/>
      </w:pPr>
      <w:r>
        <w:rPr>
          <w:rFonts w:ascii="Calibri" w:cs="Calibri" w:eastAsia="Calibri" w:hAnsi="Calibri"/>
          <w:b w:val="false"/>
          <w:bCs w:val="false"/>
          <w:i w:val="false"/>
          <w:iCs w:val="false"/>
          <w:sz w:val="22"/>
          <w:szCs w:val="22"/>
        </w:rPr>
        <w:t xml:space="preserve">The Ascendant-origin panel establishes four key results:</w:t>
      </w:r>
    </w:p>
    <w:p>
      <w:pPr>
        <w:spacing w:after="100"/>
        <w:ind w:left="360"/>
      </w:pPr>
      <w:r>
        <w:rPr>
          <w:rFonts w:ascii="Calibri" w:cs="Calibri" w:eastAsia="Calibri" w:hAnsi="Calibri"/>
          <w:b/>
          <w:bCs/>
          <w:sz w:val="22"/>
          <w:szCs w:val="22"/>
        </w:rPr>
        <w:t xml:space="preserve">1. </w:t>
      </w:r>
      <w:r>
        <w:rPr>
          <w:rFonts w:ascii="Calibri" w:cs="Calibri" w:eastAsia="Calibri" w:hAnsi="Calibri"/>
          <w:sz w:val="22"/>
          <w:szCs w:val="22"/>
        </w:rPr>
        <w:t xml:space="preserve">Robust signal detectability across coordinate systems for coverage-sufficient bodies.</w:t>
      </w:r>
    </w:p>
    <w:p>
      <w:pPr>
        <w:spacing w:after="100"/>
        <w:ind w:left="360"/>
      </w:pPr>
      <w:r>
        <w:rPr>
          <w:rFonts w:ascii="Calibri" w:cs="Calibri" w:eastAsia="Calibri" w:hAnsi="Calibri"/>
          <w:b/>
          <w:bCs/>
          <w:sz w:val="22"/>
          <w:szCs w:val="22"/>
        </w:rPr>
        <w:t xml:space="preserve">2. </w:t>
      </w:r>
      <w:r>
        <w:rPr>
          <w:rFonts w:ascii="Calibri" w:cs="Calibri" w:eastAsia="Calibri" w:hAnsi="Calibri"/>
          <w:sz w:val="22"/>
          <w:szCs w:val="22"/>
        </w:rPr>
        <w:t xml:space="preserve">Systematic measurement effects driven by sampling coverage and projection geometry.</w:t>
      </w:r>
    </w:p>
    <w:p>
      <w:pPr>
        <w:spacing w:after="100"/>
        <w:ind w:left="360"/>
      </w:pPr>
      <w:r>
        <w:rPr>
          <w:rFonts w:ascii="Calibri" w:cs="Calibri" w:eastAsia="Calibri" w:hAnsi="Calibri"/>
          <w:b/>
          <w:bCs/>
          <w:sz w:val="22"/>
          <w:szCs w:val="22"/>
        </w:rPr>
        <w:t xml:space="preserve">3. </w:t>
      </w:r>
      <w:r>
        <w:rPr>
          <w:rFonts w:ascii="Calibri" w:cs="Calibri" w:eastAsia="Calibri" w:hAnsi="Calibri"/>
          <w:sz w:val="22"/>
          <w:szCs w:val="22"/>
        </w:rPr>
        <w:t xml:space="preserve">A stratified feature hierarchy in which both coordinate system and orbital characteristics determine signal quality.</w:t>
      </w:r>
    </w:p>
    <w:p>
      <w:pPr>
        <w:spacing w:after="100"/>
        <w:ind w:left="360"/>
      </w:pPr>
      <w:r>
        <w:rPr>
          <w:rFonts w:ascii="Calibri" w:cs="Calibri" w:eastAsia="Calibri" w:hAnsi="Calibri"/>
          <w:b/>
          <w:bCs/>
          <w:sz w:val="22"/>
          <w:szCs w:val="22"/>
        </w:rPr>
        <w:t xml:space="preserve">4. </w:t>
      </w:r>
      <w:r>
        <w:rPr>
          <w:rFonts w:ascii="Calibri" w:cs="Calibri" w:eastAsia="Calibri" w:hAnsi="Calibri"/>
          <w:sz w:val="22"/>
          <w:szCs w:val="22"/>
        </w:rPr>
        <w:t xml:space="preserve">The azimuthal coordinate system uniquely provides orbit-independent uniform sampling, establishing it as the high-reliability feature space for both confirmatory analysis and subsequent predictive modeling.</w:t>
      </w:r>
    </w:p>
    <w:p>
      <w:pPr>
        <w:spacing w:after="200"/>
        <w:jc w:val="left"/>
      </w:pPr>
      <w:r>
        <w:rPr>
          <w:rFonts w:ascii="Calibri" w:cs="Calibri" w:eastAsia="Calibri" w:hAnsi="Calibri"/>
          <w:b w:val="false"/>
          <w:bCs w:val="false"/>
          <w:i w:val="false"/>
          <w:iCs w:val="false"/>
          <w:sz w:val="22"/>
          <w:szCs w:val="22"/>
        </w:rPr>
        <w:t xml:space="preserve">The implications of these findings for the existence-extension hypothesis (H1), the interpretation of geometric structure across measurement systems, and the architecture of subsequent predictive modeling are addressed in the Discussion.</w:t>
      </w:r>
    </w:p>
    <w:p>
      <w:pPr>
        <w:spacing w:after="20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SECTION 3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2"/>
      <w:szCs w:val="32"/>
    </w:rPr>
  </w:style>
  <w:style w:type="paragraph" w:styleId="Heading2">
    <w:name w:val="Heading 2"/>
    <w:basedOn w:val="Normal"/>
    <w:next w:val="Normal"/>
    <w:qFormat/>
    <w:pPr>
      <w:spacing w:after="180" w:before="320"/>
      <w:outlineLvl w:val="1"/>
    </w:pPr>
    <w:rPr>
      <w:rFonts w:ascii="Calibri" w:cs="Calibri" w:eastAsia="Calibri" w:hAnsi="Calibri"/>
      <w:b/>
      <w:bCs/>
      <w:sz w:val="28"/>
      <w:szCs w:val="28"/>
    </w:rPr>
  </w:style>
  <w:style w:type="paragraph" w:styleId="Heading3">
    <w:name w:val="Heading 3"/>
    <w:basedOn w:val="Normal"/>
    <w:next w:val="Normal"/>
    <w:qFormat/>
    <w:pPr>
      <w:spacing w:after="140" w:before="24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Section 3 Results LOCKED</dc:title>
  <dc:creator>OMNI Project</dc:creator>
  <cp:lastModifiedBy>Un-named</cp:lastModifiedBy>
  <cp:revision>1</cp:revision>
  <dcterms:created xsi:type="dcterms:W3CDTF">2026-05-04T00:19:09.451Z</dcterms:created>
  <dcterms:modified xsi:type="dcterms:W3CDTF">2026-05-04T00:19:09.452Z</dcterms:modified>
</cp:coreProperties>
</file>

<file path=docProps/custom.xml><?xml version="1.0" encoding="utf-8"?>
<Properties xmlns="http://schemas.openxmlformats.org/officeDocument/2006/custom-properties" xmlns:vt="http://schemas.openxmlformats.org/officeDocument/2006/docPropsVTypes"/>
</file>