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per-2-sandbox"/>
    <w:p>
      <w:pPr>
        <w:pStyle w:val="Heading1"/>
      </w:pPr>
      <w:r>
        <w:t xml:space="preserve">Paper 2 Sandbox</w:t>
      </w:r>
    </w:p>
    <w:bookmarkEnd w:id="20"/>
    <w:bookmarkStart w:id="21" w:name="feature-universe-catalog-phase"/>
    <w:p>
      <w:pPr>
        <w:pStyle w:val="Heading1"/>
      </w:pPr>
      <w:r>
        <w:t xml:space="preserve">Feature Universe Catalog Phase</w:t>
      </w:r>
    </w:p>
    <w:bookmarkEnd w:id="21"/>
    <w:bookmarkStart w:id="24" w:name="closeout-report-and-modeling-handoff"/>
    <w:p>
      <w:pPr>
        <w:pStyle w:val="Heading1"/>
      </w:pPr>
      <w:r>
        <w:t xml:space="preserve">Closeout Report and Modeling Handoff</w:t>
      </w:r>
    </w:p>
    <w:bookmarkStart w:id="23" w:name="version-1.0"/>
    <w:p>
      <w:pPr>
        <w:pStyle w:val="Heading2"/>
      </w:pPr>
      <w:r>
        <w:t xml:space="preserve">Version 1.0</w:t>
      </w:r>
    </w:p>
    <w:bookmarkStart w:id="22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Following completion of Paper 1 and the Feature Separation Audit (FSA), the project entered a catalog-construction phase whose objective was to inventory, reconcile, characterize, and organize the complete horizontal feature universe available for future predictive modeling.</w:t>
      </w:r>
    </w:p>
    <w:p>
      <w:pPr>
        <w:pStyle w:val="BodyText"/>
      </w:pPr>
      <w:r>
        <w:t xml:space="preserve">The central question was no longer whether geometric structure existed within individual systems, but rather:</w:t>
      </w:r>
    </w:p>
    <w:p>
      <w:pPr>
        <w:pStyle w:val="BodyText"/>
      </w:pPr>
      <w:r>
        <w:t xml:space="preserve">“Exactly what features exist across the full horizontal universe, what analytical evidence exists for each feature, and how should those features be organized for model-development decisions?”</w:t>
      </w:r>
    </w:p>
    <w:p>
      <w:pPr>
        <w:pStyle w:val="BodyText"/>
      </w:pPr>
      <w:r>
        <w:t xml:space="preserve">The resulting effort produced a fully reproducible feature-universe catalog consisting of 2,494 aspect features spanning sixteen horizontal matrix families and multiple analytical layers accumulated across Papers 1, 1.5, 2B-1, FSA, Step 2C, and Phase 3C.</w:t>
      </w:r>
    </w:p>
    <w:p>
      <w:pPr>
        <w:pStyle w:val="BodyText"/>
      </w:pPr>
      <w:r>
        <w:t xml:space="preserve">The phase concluded with a SHA-verified reproducibility freeze, GitHub archival, and construction of modeling-ready Universe A, Universe B, and Universe C manifests.</w:t>
      </w:r>
    </w:p>
    <w:p>
      <w:pPr>
        <w:pStyle w:val="BodyText"/>
      </w:pPr>
      <w:r>
        <w:t xml:space="preserve">No predictive modeling was performed during this phase.</w:t>
      </w:r>
    </w:p>
    <w:p>
      <w:pPr>
        <w:pStyle w:val="BodyText"/>
      </w:pPr>
      <w:r>
        <w:t xml:space="preserve">The sealed holdout partition remained unopened throughout.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motivation"/>
    <w:p>
      <w:pPr>
        <w:pStyle w:val="Heading1"/>
      </w:pPr>
      <w:r>
        <w:t xml:space="preserve">1. Motivation</w:t>
      </w:r>
    </w:p>
    <w:p>
      <w:pPr>
        <w:pStyle w:val="FirstParagraph"/>
      </w:pPr>
      <w:r>
        <w:t xml:space="preserve">Prior project phases generated numerous analytical artifacts:</w:t>
      </w:r>
    </w:p>
    <w:p>
      <w:pPr>
        <w:pStyle w:val="Compact"/>
        <w:numPr>
          <w:ilvl w:val="0"/>
          <w:numId w:val="1001"/>
        </w:numPr>
      </w:pPr>
      <w:r>
        <w:t xml:space="preserve">Paper 1 feature registries</w:t>
      </w:r>
    </w:p>
    <w:p>
      <w:pPr>
        <w:pStyle w:val="Compact"/>
        <w:numPr>
          <w:ilvl w:val="0"/>
          <w:numId w:val="1001"/>
        </w:numPr>
      </w:pPr>
      <w:r>
        <w:t xml:space="preserve">Temporal persistence analyses</w:t>
      </w:r>
    </w:p>
    <w:p>
      <w:pPr>
        <w:pStyle w:val="Compact"/>
        <w:numPr>
          <w:ilvl w:val="0"/>
          <w:numId w:val="1001"/>
        </w:numPr>
      </w:pPr>
      <w:r>
        <w:t xml:space="preserve">Horizontal-system registries</w:t>
      </w:r>
    </w:p>
    <w:p>
      <w:pPr>
        <w:pStyle w:val="Compact"/>
        <w:numPr>
          <w:ilvl w:val="0"/>
          <w:numId w:val="1001"/>
        </w:numPr>
      </w:pPr>
      <w:r>
        <w:t xml:space="preserve">Feature Separation Audit outputs</w:t>
      </w:r>
    </w:p>
    <w:p>
      <w:pPr>
        <w:pStyle w:val="Compact"/>
        <w:numPr>
          <w:ilvl w:val="0"/>
          <w:numId w:val="1001"/>
        </w:numPr>
      </w:pPr>
      <w:r>
        <w:t xml:space="preserve">Step 2C local conditional-rate registries</w:t>
      </w:r>
    </w:p>
    <w:p>
      <w:pPr>
        <w:pStyle w:val="Compact"/>
        <w:numPr>
          <w:ilvl w:val="0"/>
          <w:numId w:val="1001"/>
        </w:numPr>
      </w:pPr>
      <w:r>
        <w:t xml:space="preserve">Operating-point registries</w:t>
      </w:r>
    </w:p>
    <w:p>
      <w:pPr>
        <w:pStyle w:val="Compact"/>
        <w:numPr>
          <w:ilvl w:val="0"/>
          <w:numId w:val="1001"/>
        </w:numPr>
      </w:pPr>
      <w:r>
        <w:t xml:space="preserve">Phase 3C response summaries</w:t>
      </w:r>
    </w:p>
    <w:p>
      <w:pPr>
        <w:pStyle w:val="Compact"/>
        <w:numPr>
          <w:ilvl w:val="0"/>
          <w:numId w:val="1001"/>
        </w:numPr>
      </w:pPr>
      <w:r>
        <w:t xml:space="preserve">Heliocentric horizontal-system analyses</w:t>
      </w:r>
    </w:p>
    <w:p>
      <w:pPr>
        <w:pStyle w:val="FirstParagraph"/>
      </w:pPr>
      <w:r>
        <w:t xml:space="preserve">These artifacts existed independently and were generated at different stages of project development.</w:t>
      </w:r>
    </w:p>
    <w:p>
      <w:pPr>
        <w:pStyle w:val="BodyText"/>
      </w:pPr>
      <w:r>
        <w:t xml:space="preserve">Although individual analyses were available, no single authoritative catalog existed capable of answering:</w:t>
      </w:r>
    </w:p>
    <w:p>
      <w:pPr>
        <w:pStyle w:val="Compact"/>
        <w:numPr>
          <w:ilvl w:val="0"/>
          <w:numId w:val="1002"/>
        </w:numPr>
      </w:pPr>
      <w:r>
        <w:t xml:space="preserve">Which features exist?</w:t>
      </w:r>
    </w:p>
    <w:p>
      <w:pPr>
        <w:pStyle w:val="Compact"/>
        <w:numPr>
          <w:ilvl w:val="0"/>
          <w:numId w:val="1002"/>
        </w:numPr>
      </w:pPr>
      <w:r>
        <w:t xml:space="preserve">Which features have been analyzed?</w:t>
      </w:r>
    </w:p>
    <w:p>
      <w:pPr>
        <w:pStyle w:val="Compact"/>
        <w:numPr>
          <w:ilvl w:val="0"/>
          <w:numId w:val="1002"/>
        </w:numPr>
      </w:pPr>
      <w:r>
        <w:t xml:space="preserve">Which analytical layers apply to each feature?</w:t>
      </w:r>
    </w:p>
    <w:p>
      <w:pPr>
        <w:pStyle w:val="Compact"/>
        <w:numPr>
          <w:ilvl w:val="0"/>
          <w:numId w:val="1002"/>
        </w:numPr>
      </w:pPr>
      <w:r>
        <w:t xml:space="preserve">Which features possess operational-scale information?</w:t>
      </w:r>
    </w:p>
    <w:p>
      <w:pPr>
        <w:pStyle w:val="Compact"/>
        <w:numPr>
          <w:ilvl w:val="0"/>
          <w:numId w:val="1002"/>
        </w:numPr>
      </w:pPr>
      <w:r>
        <w:t xml:space="preserve">Which features possess persistence evidence?</w:t>
      </w:r>
    </w:p>
    <w:p>
      <w:pPr>
        <w:pStyle w:val="Compact"/>
        <w:numPr>
          <w:ilvl w:val="0"/>
          <w:numId w:val="1002"/>
        </w:numPr>
      </w:pPr>
      <w:r>
        <w:t xml:space="preserve">Which features possess response-shape information?</w:t>
      </w:r>
    </w:p>
    <w:p>
      <w:pPr>
        <w:pStyle w:val="Compact"/>
        <w:numPr>
          <w:ilvl w:val="0"/>
          <w:numId w:val="1002"/>
        </w:numPr>
      </w:pPr>
      <w:r>
        <w:t xml:space="preserve">Which features are suitable for first-pass predictive modeling?</w:t>
      </w:r>
    </w:p>
    <w:p>
      <w:pPr>
        <w:pStyle w:val="FirstParagraph"/>
      </w:pPr>
      <w:r>
        <w:t xml:space="preserve">The objective became construction of a unified feature-universe catalog.</w:t>
      </w:r>
    </w:p>
    <w:p>
      <w:r>
        <w:pict>
          <v:rect style="width:0;height:1.5pt" o:hralign="center" o:hrstd="t" o:hr="t"/>
        </w:pict>
      </w:r>
    </w:p>
    <w:bookmarkEnd w:id="25"/>
    <w:bookmarkStart w:id="27" w:name="X1afe5613b87632786d87947fc28007fe7e61f97"/>
    <w:p>
      <w:pPr>
        <w:pStyle w:val="Heading1"/>
      </w:pPr>
      <w:r>
        <w:t xml:space="preserve">2. Construction of the Master Feature Universe</w:t>
      </w:r>
    </w:p>
    <w:bookmarkStart w:id="26" w:name="registry-audit"/>
    <w:p>
      <w:pPr>
        <w:pStyle w:val="Heading2"/>
      </w:pPr>
      <w:r>
        <w:t xml:space="preserve">2.1 Registry Audit</w:t>
      </w:r>
    </w:p>
    <w:p>
      <w:pPr>
        <w:pStyle w:val="FirstParagraph"/>
      </w:pPr>
      <w:r>
        <w:t xml:space="preserve">The first task was reconciliation of all available horizontal-system feature sources.</w:t>
      </w:r>
    </w:p>
    <w:p>
      <w:pPr>
        <w:pStyle w:val="BodyText"/>
      </w:pPr>
      <w:r>
        <w:t xml:space="preserve">A complete audit identified:</w:t>
      </w:r>
    </w:p>
    <w:p>
      <w:pPr>
        <w:pStyle w:val="BodyText"/>
      </w:pPr>
      <w:r>
        <w:t xml:space="preserve">Total feature rows: 2,494</w:t>
      </w:r>
    </w:p>
    <w:p>
      <w:pPr>
        <w:pStyle w:val="BodyText"/>
      </w:pPr>
      <w:r>
        <w:t xml:space="preserve">In-scope features: 2,253</w:t>
      </w:r>
    </w:p>
    <w:p>
      <w:pPr>
        <w:pStyle w:val="BodyText"/>
      </w:pPr>
      <w:r>
        <w:t xml:space="preserve">Excluded H-LON-origin features not previously analyzed: 241</w:t>
      </w:r>
    </w:p>
    <w:p>
      <w:pPr>
        <w:pStyle w:val="BodyText"/>
      </w:pPr>
      <w:r>
        <w:t xml:space="preserve">The resulting universe spanned sixteen horizontal matrix families:</w:t>
      </w:r>
    </w:p>
    <w:p>
      <w:pPr>
        <w:numPr>
          <w:ilvl w:val="0"/>
          <w:numId w:val="1003"/>
        </w:numPr>
      </w:pPr>
      <w:r>
        <w:t xml:space="preserve">G-AZ × G-AZ</w:t>
      </w:r>
    </w:p>
    <w:p>
      <w:pPr>
        <w:numPr>
          <w:ilvl w:val="0"/>
          <w:numId w:val="1003"/>
        </w:numPr>
      </w:pPr>
      <w:r>
        <w:t xml:space="preserve">G-AZ × G-LON</w:t>
      </w:r>
    </w:p>
    <w:p>
      <w:pPr>
        <w:numPr>
          <w:ilvl w:val="0"/>
          <w:numId w:val="1003"/>
        </w:numPr>
      </w:pPr>
      <w:r>
        <w:t xml:space="preserve">G-AZ × G-RA</w:t>
      </w:r>
    </w:p>
    <w:p>
      <w:pPr>
        <w:numPr>
          <w:ilvl w:val="0"/>
          <w:numId w:val="1003"/>
        </w:numPr>
      </w:pPr>
      <w:r>
        <w:t xml:space="preserve">G-AZ × H-LON</w:t>
      </w:r>
    </w:p>
    <w:p>
      <w:pPr>
        <w:numPr>
          <w:ilvl w:val="0"/>
          <w:numId w:val="1003"/>
        </w:numPr>
      </w:pPr>
      <w:r>
        <w:t xml:space="preserve">G-LON × G-AZ</w:t>
      </w:r>
    </w:p>
    <w:p>
      <w:pPr>
        <w:numPr>
          <w:ilvl w:val="0"/>
          <w:numId w:val="1003"/>
        </w:numPr>
      </w:pPr>
      <w:r>
        <w:t xml:space="preserve">G-LON × G-LON</w:t>
      </w:r>
    </w:p>
    <w:p>
      <w:pPr>
        <w:numPr>
          <w:ilvl w:val="0"/>
          <w:numId w:val="1003"/>
        </w:numPr>
      </w:pPr>
      <w:r>
        <w:t xml:space="preserve">G-LON × G-RA</w:t>
      </w:r>
    </w:p>
    <w:p>
      <w:pPr>
        <w:numPr>
          <w:ilvl w:val="0"/>
          <w:numId w:val="1003"/>
        </w:numPr>
      </w:pPr>
      <w:r>
        <w:t xml:space="preserve">G-LON × H-LON</w:t>
      </w:r>
    </w:p>
    <w:p>
      <w:pPr>
        <w:numPr>
          <w:ilvl w:val="0"/>
          <w:numId w:val="1003"/>
        </w:numPr>
      </w:pPr>
      <w:r>
        <w:t xml:space="preserve">G-RA × G-AZ</w:t>
      </w:r>
    </w:p>
    <w:p>
      <w:pPr>
        <w:numPr>
          <w:ilvl w:val="0"/>
          <w:numId w:val="1003"/>
        </w:numPr>
      </w:pPr>
      <w:r>
        <w:t xml:space="preserve">G-RA × G-LON</w:t>
      </w:r>
    </w:p>
    <w:p>
      <w:pPr>
        <w:numPr>
          <w:ilvl w:val="0"/>
          <w:numId w:val="1003"/>
        </w:numPr>
      </w:pPr>
      <w:r>
        <w:t xml:space="preserve">G-RA × G-RA</w:t>
      </w:r>
    </w:p>
    <w:p>
      <w:pPr>
        <w:numPr>
          <w:ilvl w:val="0"/>
          <w:numId w:val="1003"/>
        </w:numPr>
      </w:pPr>
      <w:r>
        <w:t xml:space="preserve">G-RA × H-LON</w:t>
      </w:r>
    </w:p>
    <w:p>
      <w:pPr>
        <w:numPr>
          <w:ilvl w:val="0"/>
          <w:numId w:val="1003"/>
        </w:numPr>
      </w:pPr>
      <w:r>
        <w:t xml:space="preserve">H-LON × G-AZ</w:t>
      </w:r>
    </w:p>
    <w:p>
      <w:pPr>
        <w:numPr>
          <w:ilvl w:val="0"/>
          <w:numId w:val="1003"/>
        </w:numPr>
      </w:pPr>
      <w:r>
        <w:t xml:space="preserve">H-LON × G-LON</w:t>
      </w:r>
    </w:p>
    <w:p>
      <w:pPr>
        <w:numPr>
          <w:ilvl w:val="0"/>
          <w:numId w:val="1003"/>
        </w:numPr>
      </w:pPr>
      <w:r>
        <w:t xml:space="preserve">H-LON × G-RA</w:t>
      </w:r>
    </w:p>
    <w:p>
      <w:pPr>
        <w:numPr>
          <w:ilvl w:val="0"/>
          <w:numId w:val="1003"/>
        </w:numPr>
      </w:pPr>
      <w:r>
        <w:t xml:space="preserve">H-LON × H-LON</w:t>
      </w:r>
    </w:p>
    <w:p>
      <w:pPr>
        <w:pStyle w:val="FirstParagraph"/>
      </w:pPr>
      <w:r>
        <w:t xml:space="preserve">This represented the first complete inventory of the horizontal feature universe.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gistry-level-source-discovery"/>
    <w:p>
      <w:pPr>
        <w:pStyle w:val="Heading1"/>
      </w:pPr>
      <w:r>
        <w:t xml:space="preserve">3. Registry-Level Source Discovery</w:t>
      </w:r>
    </w:p>
    <w:p>
      <w:pPr>
        <w:pStyle w:val="FirstParagraph"/>
      </w:pPr>
      <w:r>
        <w:t xml:space="preserve">A multi-stage discovery process identified all analysis artifacts potentially useful for enrichment.</w:t>
      </w:r>
    </w:p>
    <w:p>
      <w:pPr>
        <w:pStyle w:val="BodyText"/>
      </w:pPr>
      <w:r>
        <w:t xml:space="preserve">Initial scan:</w:t>
      </w:r>
    </w:p>
    <w:p>
      <w:pPr>
        <w:pStyle w:val="BodyText"/>
      </w:pPr>
      <w:r>
        <w:t xml:space="preserve">21,666 candidate files</w:t>
      </w:r>
    </w:p>
    <w:p>
      <w:pPr>
        <w:pStyle w:val="BodyText"/>
      </w:pPr>
      <w:r>
        <w:t xml:space="preserve">Subsequent filtering reduced these to:</w:t>
      </w:r>
    </w:p>
    <w:p>
      <w:pPr>
        <w:pStyle w:val="BodyText"/>
      </w:pPr>
      <w:r>
        <w:t xml:space="preserve">22 registry-level analytical sources</w:t>
      </w:r>
    </w:p>
    <w:p>
      <w:pPr>
        <w:pStyle w:val="BodyText"/>
      </w:pPr>
      <w:r>
        <w:t xml:space="preserve">These sources included:</w:t>
      </w:r>
    </w:p>
    <w:p>
      <w:pPr>
        <w:pStyle w:val="Compact"/>
        <w:numPr>
          <w:ilvl w:val="0"/>
          <w:numId w:val="1004"/>
        </w:numPr>
      </w:pPr>
      <w:r>
        <w:t xml:space="preserve">Paper 1 feature registries</w:t>
      </w:r>
    </w:p>
    <w:p>
      <w:pPr>
        <w:pStyle w:val="Compact"/>
        <w:numPr>
          <w:ilvl w:val="0"/>
          <w:numId w:val="1004"/>
        </w:numPr>
      </w:pPr>
      <w:r>
        <w:t xml:space="preserve">Temporal persistence registries</w:t>
      </w:r>
    </w:p>
    <w:p>
      <w:pPr>
        <w:pStyle w:val="Compact"/>
        <w:numPr>
          <w:ilvl w:val="0"/>
          <w:numId w:val="1004"/>
        </w:numPr>
      </w:pPr>
      <w:r>
        <w:t xml:space="preserve">Horizontal descriptor registries</w:t>
      </w:r>
    </w:p>
    <w:p>
      <w:pPr>
        <w:pStyle w:val="Compact"/>
        <w:numPr>
          <w:ilvl w:val="0"/>
          <w:numId w:val="1004"/>
        </w:numPr>
      </w:pPr>
      <w:r>
        <w:t xml:space="preserve">Operational-scale registries</w:t>
      </w:r>
    </w:p>
    <w:p>
      <w:pPr>
        <w:pStyle w:val="Compact"/>
        <w:numPr>
          <w:ilvl w:val="0"/>
          <w:numId w:val="1004"/>
        </w:numPr>
      </w:pPr>
      <w:r>
        <w:t xml:space="preserve">Step 2C local-rate registries</w:t>
      </w:r>
    </w:p>
    <w:p>
      <w:pPr>
        <w:pStyle w:val="Compact"/>
        <w:numPr>
          <w:ilvl w:val="0"/>
          <w:numId w:val="1004"/>
        </w:numPr>
      </w:pPr>
      <w:r>
        <w:t xml:space="preserve">Operating-point registries</w:t>
      </w:r>
    </w:p>
    <w:p>
      <w:pPr>
        <w:pStyle w:val="Compact"/>
        <w:numPr>
          <w:ilvl w:val="0"/>
          <w:numId w:val="1004"/>
        </w:numPr>
      </w:pPr>
      <w:r>
        <w:t xml:space="preserve">Archetype summaries</w:t>
      </w:r>
    </w:p>
    <w:p>
      <w:pPr>
        <w:pStyle w:val="Compact"/>
        <w:numPr>
          <w:ilvl w:val="0"/>
          <w:numId w:val="1004"/>
        </w:numPr>
      </w:pPr>
      <w:r>
        <w:t xml:space="preserve">Phase 3C response summaries</w:t>
      </w:r>
    </w:p>
    <w:p>
      <w:pPr>
        <w:pStyle w:val="Compact"/>
        <w:numPr>
          <w:ilvl w:val="0"/>
          <w:numId w:val="1004"/>
        </w:numPr>
      </w:pPr>
      <w:r>
        <w:t xml:space="preserve">Feature engineering priority registries</w:t>
      </w:r>
    </w:p>
    <w:p>
      <w:pPr>
        <w:pStyle w:val="FirstParagraph"/>
      </w:pPr>
      <w:r>
        <w:t xml:space="preserve">Each source was audited for:</w:t>
      </w:r>
    </w:p>
    <w:p>
      <w:pPr>
        <w:pStyle w:val="Compact"/>
        <w:numPr>
          <w:ilvl w:val="0"/>
          <w:numId w:val="1005"/>
        </w:numPr>
      </w:pPr>
      <w:r>
        <w:t xml:space="preserve">feature identifiers</w:t>
      </w:r>
    </w:p>
    <w:p>
      <w:pPr>
        <w:pStyle w:val="Compact"/>
        <w:numPr>
          <w:ilvl w:val="0"/>
          <w:numId w:val="1005"/>
        </w:numPr>
      </w:pPr>
      <w:r>
        <w:t xml:space="preserve">outcome identifiers</w:t>
      </w:r>
    </w:p>
    <w:p>
      <w:pPr>
        <w:pStyle w:val="Compact"/>
        <w:numPr>
          <w:ilvl w:val="0"/>
          <w:numId w:val="1005"/>
        </w:numPr>
      </w:pPr>
      <w:r>
        <w:t xml:space="preserve">metric fields</w:t>
      </w:r>
    </w:p>
    <w:p>
      <w:pPr>
        <w:pStyle w:val="Compact"/>
        <w:numPr>
          <w:ilvl w:val="0"/>
          <w:numId w:val="1005"/>
        </w:numPr>
      </w:pPr>
      <w:r>
        <w:t xml:space="preserve">row counts</w:t>
      </w:r>
    </w:p>
    <w:p>
      <w:pPr>
        <w:pStyle w:val="Compact"/>
        <w:numPr>
          <w:ilvl w:val="0"/>
          <w:numId w:val="1005"/>
        </w:numPr>
      </w:pPr>
      <w:r>
        <w:t xml:space="preserve">merge viability</w:t>
      </w:r>
    </w:p>
    <w:p>
      <w:r>
        <w:pict>
          <v:rect style="width:0;height:1.5pt" o:hralign="center" o:hrstd="t" o:hr="t"/>
        </w:pict>
      </w:r>
    </w:p>
    <w:bookmarkEnd w:id="28"/>
    <w:bookmarkStart w:id="36" w:name="feature-universe-enrichment"/>
    <w:p>
      <w:pPr>
        <w:pStyle w:val="Heading1"/>
      </w:pPr>
      <w:r>
        <w:t xml:space="preserve">4. Feature-Universe Enrichment</w:t>
      </w:r>
    </w:p>
    <w:p>
      <w:pPr>
        <w:pStyle w:val="FirstParagraph"/>
      </w:pPr>
      <w:r>
        <w:t xml:space="preserve">The master registry was enriched using all recoverable analytical layers.</w:t>
      </w:r>
    </w:p>
    <w:p>
      <w:pPr>
        <w:pStyle w:val="BodyText"/>
      </w:pPr>
      <w:r>
        <w:t xml:space="preserve">Major layers included:</w:t>
      </w:r>
    </w:p>
    <w:bookmarkStart w:id="29" w:name="paper-1"/>
    <w:p>
      <w:pPr>
        <w:pStyle w:val="Heading2"/>
      </w:pPr>
      <w:r>
        <w:t xml:space="preserve">Paper 1</w:t>
      </w:r>
    </w:p>
    <w:p>
      <w:pPr>
        <w:pStyle w:val="FirstParagraph"/>
      </w:pPr>
      <w:r>
        <w:t xml:space="preserve">741 feature families</w:t>
      </w:r>
    </w:p>
    <w:p>
      <w:pPr>
        <w:pStyle w:val="BodyText"/>
      </w:pPr>
      <w:r>
        <w:t xml:space="preserve">Support status</w:t>
      </w:r>
    </w:p>
    <w:p>
      <w:pPr>
        <w:pStyle w:val="BodyText"/>
      </w:pPr>
      <w:r>
        <w:t xml:space="preserve">Peak degree</w:t>
      </w:r>
    </w:p>
    <w:p>
      <w:pPr>
        <w:pStyle w:val="BodyText"/>
      </w:pPr>
      <w:r>
        <w:t xml:space="preserve">Peak lift</w:t>
      </w:r>
    </w:p>
    <w:p>
      <w:pPr>
        <w:pStyle w:val="BodyText"/>
      </w:pPr>
      <w:r>
        <w:t xml:space="preserve">Lock status</w:t>
      </w:r>
    </w:p>
    <w:p>
      <w:pPr>
        <w:pStyle w:val="BodyText"/>
      </w:pPr>
      <w:r>
        <w:t xml:space="preserve">Coverage tier</w:t>
      </w:r>
    </w:p>
    <w:p>
      <w:pPr>
        <w:pStyle w:val="BodyText"/>
      </w:pPr>
      <w:r>
        <w:t xml:space="preserve">Outcome-pole evidence</w:t>
      </w:r>
    </w:p>
    <w:p>
      <w:r>
        <w:pict>
          <v:rect style="width:0;height:1.5pt" o:hralign="center" o:hrstd="t" o:hr="t"/>
        </w:pict>
      </w:r>
    </w:p>
    <w:bookmarkEnd w:id="29"/>
    <w:bookmarkStart w:id="30" w:name="phase-1.5"/>
    <w:p>
      <w:pPr>
        <w:pStyle w:val="Heading2"/>
      </w:pPr>
      <w:r>
        <w:t xml:space="preserve">Phase 1.5</w:t>
      </w:r>
    </w:p>
    <w:p>
      <w:pPr>
        <w:pStyle w:val="FirstParagraph"/>
      </w:pPr>
      <w:r>
        <w:t xml:space="preserve">Persistence evidence</w:t>
      </w:r>
    </w:p>
    <w:p>
      <w:pPr>
        <w:pStyle w:val="BodyText"/>
      </w:pPr>
      <w:r>
        <w:t xml:space="preserve">Locked-window persistence metrics</w:t>
      </w:r>
    </w:p>
    <w:p>
      <w:pPr>
        <w:pStyle w:val="BodyText"/>
      </w:pPr>
      <w:r>
        <w:t xml:space="preserve">Temporal-stability information</w:t>
      </w:r>
    </w:p>
    <w:p>
      <w:r>
        <w:pict>
          <v:rect style="width:0;height:1.5pt" o:hralign="center" o:hrstd="t" o:hr="t"/>
        </w:pict>
      </w:r>
    </w:p>
    <w:bookmarkEnd w:id="30"/>
    <w:bookmarkStart w:id="31" w:name="feature-separation-audit"/>
    <w:p>
      <w:pPr>
        <w:pStyle w:val="Heading2"/>
      </w:pPr>
      <w:r>
        <w:t xml:space="preserve">Feature Separation Audit</w:t>
      </w:r>
    </w:p>
    <w:p>
      <w:pPr>
        <w:pStyle w:val="FirstParagraph"/>
      </w:pPr>
      <w:r>
        <w:t xml:space="preserve">Operational-scale classifications</w:t>
      </w:r>
    </w:p>
    <w:p>
      <w:pPr>
        <w:pStyle w:val="BodyText"/>
      </w:pPr>
      <w:r>
        <w:t xml:space="preserve">Velocity measures</w:t>
      </w:r>
    </w:p>
    <w:p>
      <w:pPr>
        <w:pStyle w:val="BodyText"/>
      </w:pPr>
      <w:r>
        <w:t xml:space="preserve">Movement classes</w:t>
      </w:r>
    </w:p>
    <w:p>
      <w:pPr>
        <w:pStyle w:val="BodyText"/>
      </w:pPr>
      <w:r>
        <w:t xml:space="preserve">Resolution recommendations</w:t>
      </w:r>
    </w:p>
    <w:p>
      <w:r>
        <w:pict>
          <v:rect style="width:0;height:1.5pt" o:hralign="center" o:hrstd="t" o:hr="t"/>
        </w:pict>
      </w:r>
    </w:p>
    <w:bookmarkEnd w:id="31"/>
    <w:bookmarkStart w:id="32" w:name="horizontal-descriptor-layer"/>
    <w:p>
      <w:pPr>
        <w:pStyle w:val="Heading2"/>
      </w:pPr>
      <w:r>
        <w:t xml:space="preserve">Horizontal Descriptor Layer</w:t>
      </w:r>
    </w:p>
    <w:p>
      <w:pPr>
        <w:pStyle w:val="FirstParagraph"/>
      </w:pPr>
      <w:r>
        <w:t xml:space="preserve">Horizontal-system descriptors</w:t>
      </w:r>
    </w:p>
    <w:p>
      <w:pPr>
        <w:pStyle w:val="BodyText"/>
      </w:pPr>
      <w:r>
        <w:t xml:space="preserve">Outcome-pole information</w:t>
      </w:r>
    </w:p>
    <w:p>
      <w:pPr>
        <w:pStyle w:val="BodyText"/>
      </w:pPr>
      <w:r>
        <w:t xml:space="preserve">Peak structure</w:t>
      </w:r>
    </w:p>
    <w:p>
      <w:pPr>
        <w:pStyle w:val="BodyText"/>
      </w:pPr>
      <w:r>
        <w:t xml:space="preserve">System classifications</w:t>
      </w:r>
    </w:p>
    <w:p>
      <w:r>
        <w:pict>
          <v:rect style="width:0;height:1.5pt" o:hralign="center" o:hrstd="t" o:hr="t"/>
        </w:pict>
      </w:r>
    </w:p>
    <w:bookmarkEnd w:id="32"/>
    <w:bookmarkStart w:id="33" w:name="step-2c"/>
    <w:p>
      <w:pPr>
        <w:pStyle w:val="Heading2"/>
      </w:pPr>
      <w:r>
        <w:t xml:space="preserve">Step 2C</w:t>
      </w:r>
    </w:p>
    <w:p>
      <w:pPr>
        <w:pStyle w:val="FirstParagraph"/>
      </w:pPr>
      <w:r>
        <w:t xml:space="preserve">Local conditional-rate metrics</w:t>
      </w:r>
    </w:p>
    <w:p>
      <w:pPr>
        <w:pStyle w:val="BodyText"/>
      </w:pPr>
      <w:r>
        <w:t xml:space="preserve">Conditional lift behavior</w:t>
      </w:r>
    </w:p>
    <w:p>
      <w:pPr>
        <w:pStyle w:val="BodyText"/>
      </w:pPr>
      <w:r>
        <w:t xml:space="preserve">Response-shape information</w:t>
      </w:r>
    </w:p>
    <w:p>
      <w:r>
        <w:pict>
          <v:rect style="width:0;height:1.5pt" o:hralign="center" o:hrstd="t" o:hr="t"/>
        </w:pict>
      </w:r>
    </w:p>
    <w:bookmarkEnd w:id="33"/>
    <w:bookmarkStart w:id="34" w:name="operating-point-registry"/>
    <w:p>
      <w:pPr>
        <w:pStyle w:val="Heading2"/>
      </w:pPr>
      <w:r>
        <w:t xml:space="preserve">Operating Point Registry</w:t>
      </w:r>
    </w:p>
    <w:p>
      <w:pPr>
        <w:pStyle w:val="FirstParagraph"/>
      </w:pPr>
      <w:r>
        <w:t xml:space="preserve">Peak operating points</w:t>
      </w:r>
    </w:p>
    <w:p>
      <w:pPr>
        <w:pStyle w:val="BodyText"/>
      </w:pPr>
      <w:r>
        <w:t xml:space="preserve">Peak lift values</w:t>
      </w:r>
    </w:p>
    <w:p>
      <w:pPr>
        <w:pStyle w:val="BodyText"/>
      </w:pPr>
      <w:r>
        <w:t xml:space="preserve">Peak-degree information</w:t>
      </w:r>
    </w:p>
    <w:p>
      <w:r>
        <w:pict>
          <v:rect style="width:0;height:1.5pt" o:hralign="center" o:hrstd="t" o:hr="t"/>
        </w:pict>
      </w:r>
    </w:p>
    <w:bookmarkEnd w:id="34"/>
    <w:bookmarkStart w:id="35" w:name="phase-3c"/>
    <w:p>
      <w:pPr>
        <w:pStyle w:val="Heading2"/>
      </w:pPr>
      <w:r>
        <w:t xml:space="preserve">Phase 3C</w:t>
      </w:r>
    </w:p>
    <w:p>
      <w:pPr>
        <w:pStyle w:val="FirstParagraph"/>
      </w:pPr>
      <w:r>
        <w:t xml:space="preserve">Response-shape classifications</w:t>
      </w:r>
    </w:p>
    <w:p>
      <w:pPr>
        <w:pStyle w:val="BodyText"/>
      </w:pPr>
      <w:r>
        <w:t xml:space="preserve">Reliable-degree summaries</w:t>
      </w:r>
    </w:p>
    <w:p>
      <w:pPr>
        <w:pStyle w:val="BodyText"/>
      </w:pPr>
      <w:r>
        <w:t xml:space="preserve">Origin-body descriptors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haracterization-framework"/>
    <w:p>
      <w:pPr>
        <w:pStyle w:val="Heading1"/>
      </w:pPr>
      <w:r>
        <w:t xml:space="preserve">5. Characterization Framework</w:t>
      </w:r>
    </w:p>
    <w:p>
      <w:pPr>
        <w:pStyle w:val="FirstParagraph"/>
      </w:pPr>
      <w:r>
        <w:t xml:space="preserve">A major conceptual outcome of the phase was separation of:</w:t>
      </w:r>
    </w:p>
    <w:p>
      <w:pPr>
        <w:pStyle w:val="BodyText"/>
      </w:pPr>
      <w:r>
        <w:t xml:space="preserve">Coverage Validity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t xml:space="preserve">Characterization Depth</w:t>
      </w:r>
    </w:p>
    <w:p>
      <w:pPr>
        <w:pStyle w:val="BodyText"/>
      </w:pPr>
      <w:r>
        <w:t xml:space="preserve">These concepts had previously been conflated.</w:t>
      </w:r>
    </w:p>
    <w:p>
      <w:pPr>
        <w:pStyle w:val="BodyText"/>
      </w:pPr>
      <w:r>
        <w:t xml:space="preserve">The catalog treated them as independent dimensions.</w:t>
      </w:r>
    </w:p>
    <w:bookmarkStart w:id="37" w:name="coverage-validity"/>
    <w:p>
      <w:pPr>
        <w:pStyle w:val="Heading2"/>
      </w:pPr>
      <w:r>
        <w:t xml:space="preserve">Coverage Validity</w:t>
      </w:r>
    </w:p>
    <w:p>
      <w:pPr>
        <w:pStyle w:val="FirstParagraph"/>
      </w:pPr>
      <w:r>
        <w:t xml:space="preserve">Represents whether a feature occupies a geometrically reliable sampling regime.</w:t>
      </w:r>
    </w:p>
    <w:p>
      <w:pPr>
        <w:pStyle w:val="BodyText"/>
      </w:pPr>
      <w:r>
        <w:t xml:space="preserve">Classes included:</w:t>
      </w:r>
    </w:p>
    <w:p>
      <w:pPr>
        <w:pStyle w:val="Compact"/>
        <w:numPr>
          <w:ilvl w:val="0"/>
          <w:numId w:val="1006"/>
        </w:numPr>
      </w:pPr>
      <w:r>
        <w:t xml:space="preserve">coverage_clean</w:t>
      </w:r>
    </w:p>
    <w:p>
      <w:pPr>
        <w:pStyle w:val="Compact"/>
        <w:numPr>
          <w:ilvl w:val="0"/>
          <w:numId w:val="1006"/>
        </w:numPr>
      </w:pPr>
      <w:r>
        <w:t xml:space="preserve">coverage_clean_or_rotationally_supported</w:t>
      </w:r>
    </w:p>
    <w:p>
      <w:pPr>
        <w:pStyle w:val="Compact"/>
        <w:numPr>
          <w:ilvl w:val="0"/>
          <w:numId w:val="1006"/>
        </w:numPr>
      </w:pPr>
      <w:r>
        <w:t xml:space="preserve">coverage_conditional</w:t>
      </w:r>
    </w:p>
    <w:p>
      <w:pPr>
        <w:pStyle w:val="Compact"/>
        <w:numPr>
          <w:ilvl w:val="0"/>
          <w:numId w:val="1006"/>
        </w:numPr>
      </w:pPr>
      <w:r>
        <w:t xml:space="preserve">coverage_quarantine</w:t>
      </w:r>
    </w:p>
    <w:p>
      <w:pPr>
        <w:pStyle w:val="Compact"/>
        <w:numPr>
          <w:ilvl w:val="0"/>
          <w:numId w:val="1006"/>
        </w:numPr>
      </w:pPr>
      <w:r>
        <w:t xml:space="preserve">coverage_unclassified</w:t>
      </w:r>
    </w:p>
    <w:p>
      <w:pPr>
        <w:pStyle w:val="FirstParagraph"/>
      </w:pPr>
      <w:r>
        <w:t xml:space="preserve">Coverage validity derives from:</w:t>
      </w:r>
    </w:p>
    <w:p>
      <w:pPr>
        <w:pStyle w:val="Compact"/>
        <w:numPr>
          <w:ilvl w:val="0"/>
          <w:numId w:val="1007"/>
        </w:numPr>
      </w:pPr>
      <w:r>
        <w:t xml:space="preserve">Paper 1 coverage tiers</w:t>
      </w:r>
    </w:p>
    <w:p>
      <w:pPr>
        <w:pStyle w:val="Compact"/>
        <w:numPr>
          <w:ilvl w:val="0"/>
          <w:numId w:val="1007"/>
        </w:numPr>
      </w:pPr>
      <w:r>
        <w:t xml:space="preserve">Feature Separation Audit outputs</w:t>
      </w:r>
    </w:p>
    <w:p>
      <w:pPr>
        <w:pStyle w:val="Compact"/>
        <w:numPr>
          <w:ilvl w:val="0"/>
          <w:numId w:val="1007"/>
        </w:numPr>
      </w:pPr>
      <w:r>
        <w:t xml:space="preserve">Operational-scale information</w:t>
      </w:r>
    </w:p>
    <w:p>
      <w:r>
        <w:pict>
          <v:rect style="width:0;height:1.5pt" o:hralign="center" o:hrstd="t" o:hr="t"/>
        </w:pict>
      </w:r>
    </w:p>
    <w:bookmarkEnd w:id="37"/>
    <w:bookmarkStart w:id="38" w:name="characterization-depth"/>
    <w:p>
      <w:pPr>
        <w:pStyle w:val="Heading2"/>
      </w:pPr>
      <w:r>
        <w:t xml:space="preserve">Characterization Depth</w:t>
      </w:r>
    </w:p>
    <w:p>
      <w:pPr>
        <w:pStyle w:val="FirstParagraph"/>
      </w:pPr>
      <w:r>
        <w:t xml:space="preserve">Represents how much analytical evidence exists for a feature.</w:t>
      </w:r>
    </w:p>
    <w:p>
      <w:pPr>
        <w:pStyle w:val="BodyText"/>
      </w:pPr>
      <w:r>
        <w:t xml:space="preserve">Classes:</w:t>
      </w:r>
    </w:p>
    <w:p>
      <w:pPr>
        <w:pStyle w:val="Compact"/>
        <w:numPr>
          <w:ilvl w:val="0"/>
          <w:numId w:val="1008"/>
        </w:numPr>
      </w:pPr>
      <w:r>
        <w:t xml:space="preserve">richly_characterized</w:t>
      </w:r>
    </w:p>
    <w:p>
      <w:pPr>
        <w:pStyle w:val="Compact"/>
        <w:numPr>
          <w:ilvl w:val="0"/>
          <w:numId w:val="1008"/>
        </w:numPr>
      </w:pPr>
      <w:r>
        <w:t xml:space="preserve">partially_characterized</w:t>
      </w:r>
    </w:p>
    <w:p>
      <w:pPr>
        <w:pStyle w:val="Compact"/>
        <w:numPr>
          <w:ilvl w:val="0"/>
          <w:numId w:val="1008"/>
        </w:numPr>
      </w:pPr>
      <w:r>
        <w:t xml:space="preserve">lightly_characterized</w:t>
      </w:r>
    </w:p>
    <w:p>
      <w:pPr>
        <w:pStyle w:val="Compact"/>
        <w:numPr>
          <w:ilvl w:val="0"/>
          <w:numId w:val="1008"/>
        </w:numPr>
      </w:pPr>
      <w:r>
        <w:t xml:space="preserve">in_scope_unanalyzed</w:t>
      </w:r>
    </w:p>
    <w:p>
      <w:pPr>
        <w:pStyle w:val="Compact"/>
        <w:numPr>
          <w:ilvl w:val="0"/>
          <w:numId w:val="1008"/>
        </w:numPr>
      </w:pPr>
      <w:r>
        <w:t xml:space="preserve">excluded_not_analyzed</w:t>
      </w:r>
    </w:p>
    <w:p>
      <w:pPr>
        <w:pStyle w:val="FirstParagraph"/>
      </w:pPr>
      <w:r>
        <w:t xml:space="preserve">Characterization depth derives from analytical-layer presence.</w:t>
      </w:r>
    </w:p>
    <w:p>
      <w:pPr>
        <w:pStyle w:val="BodyText"/>
      </w:pPr>
      <w:r>
        <w:t xml:space="preserve">These axes remain intentionally independent.</w:t>
      </w:r>
    </w:p>
    <w:p>
      <w:pPr>
        <w:pStyle w:val="BodyText"/>
      </w:pPr>
      <w:r>
        <w:t xml:space="preserve">A richly characterized feature may still occupy a quarantine coverage regime.</w:t>
      </w:r>
    </w:p>
    <w:p>
      <w:pPr>
        <w:pStyle w:val="BodyText"/>
      </w:pPr>
      <w:r>
        <w:t xml:space="preserve">A lightly characterized feature may occupy a clean coverage regime.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registry-outputs"/>
    <w:p>
      <w:pPr>
        <w:pStyle w:val="Heading1"/>
      </w:pPr>
      <w:r>
        <w:t xml:space="preserve">6. Registry Outputs</w:t>
      </w:r>
    </w:p>
    <w:p>
      <w:pPr>
        <w:pStyle w:val="FirstParagraph"/>
      </w:pPr>
      <w:r>
        <w:t xml:space="preserve">Three successive catalog layers were produced.</w:t>
      </w:r>
    </w:p>
    <w:bookmarkStart w:id="40" w:name="v1.3"/>
    <w:p>
      <w:pPr>
        <w:pStyle w:val="Heading2"/>
      </w:pPr>
      <w:r>
        <w:t xml:space="preserve">v1.3</w:t>
      </w:r>
    </w:p>
    <w:p>
      <w:pPr>
        <w:pStyle w:val="FirstParagraph"/>
      </w:pPr>
      <w:r>
        <w:t xml:space="preserve">MASTER_ASPECT_FEATURE_ANALYSIS_REGISTRY_v1_3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Unified evidence attachment.</w:t>
      </w:r>
    </w:p>
    <w:p>
      <w:pPr>
        <w:pStyle w:val="BodyText"/>
      </w:pPr>
      <w:r>
        <w:t xml:space="preserve">Rows:</w:t>
      </w:r>
    </w:p>
    <w:p>
      <w:pPr>
        <w:pStyle w:val="BodyText"/>
      </w:pPr>
      <w:r>
        <w:t xml:space="preserve">2,494</w:t>
      </w:r>
    </w:p>
    <w:p>
      <w:r>
        <w:pict>
          <v:rect style="width:0;height:1.5pt" o:hralign="center" o:hrstd="t" o:hr="t"/>
        </w:pict>
      </w:r>
    </w:p>
    <w:bookmarkEnd w:id="40"/>
    <w:bookmarkStart w:id="41" w:name="v1.5"/>
    <w:p>
      <w:pPr>
        <w:pStyle w:val="Heading2"/>
      </w:pPr>
      <w:r>
        <w:t xml:space="preserve">v1.5</w:t>
      </w:r>
    </w:p>
    <w:p>
      <w:pPr>
        <w:pStyle w:val="FirstParagraph"/>
      </w:pPr>
      <w:r>
        <w:t xml:space="preserve">MASTER_ASPECT_FEATURE_CHARACTERIZATION_REGISTRY_v1_5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Coverage-validity and characterization-depth framework.</w:t>
      </w:r>
    </w:p>
    <w:p>
      <w:pPr>
        <w:pStyle w:val="BodyText"/>
      </w:pPr>
      <w:r>
        <w:t xml:space="preserve">Rows:</w:t>
      </w:r>
    </w:p>
    <w:p>
      <w:pPr>
        <w:pStyle w:val="BodyText"/>
      </w:pPr>
      <w:r>
        <w:t xml:space="preserve">2,494</w:t>
      </w:r>
    </w:p>
    <w:p>
      <w:pPr>
        <w:pStyle w:val="BodyText"/>
      </w:pPr>
      <w:r>
        <w:t xml:space="preserve">Columns:</w:t>
      </w:r>
    </w:p>
    <w:p>
      <w:pPr>
        <w:pStyle w:val="BodyText"/>
      </w:pPr>
      <w:r>
        <w:t xml:space="preserve">~710</w:t>
      </w:r>
    </w:p>
    <w:p>
      <w:r>
        <w:pict>
          <v:rect style="width:0;height:1.5pt" o:hralign="center" o:hrstd="t" o:hr="t"/>
        </w:pict>
      </w:r>
    </w:p>
    <w:bookmarkEnd w:id="41"/>
    <w:bookmarkStart w:id="42" w:name="v1.6"/>
    <w:p>
      <w:pPr>
        <w:pStyle w:val="Heading2"/>
      </w:pPr>
      <w:r>
        <w:t xml:space="preserve">v1.6</w:t>
      </w:r>
    </w:p>
    <w:p>
      <w:pPr>
        <w:pStyle w:val="FirstParagraph"/>
      </w:pPr>
      <w:r>
        <w:t xml:space="preserve">MASTER_ASPECT_FEATURE_DECISION_VIEW_v1_6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Model-development decision layer.</w:t>
      </w:r>
    </w:p>
    <w:p>
      <w:pPr>
        <w:pStyle w:val="BodyText"/>
      </w:pPr>
      <w:r>
        <w:t xml:space="preserve">Rows:</w:t>
      </w:r>
    </w:p>
    <w:p>
      <w:pPr>
        <w:pStyle w:val="BodyText"/>
      </w:pPr>
      <w:r>
        <w:t xml:space="preserve">2,494</w:t>
      </w:r>
    </w:p>
    <w:p>
      <w:pPr>
        <w:pStyle w:val="BodyText"/>
      </w:pPr>
      <w:r>
        <w:t xml:space="preserve">Columns: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This became the primary operational catalog.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modeling-universe-construction"/>
    <w:p>
      <w:pPr>
        <w:pStyle w:val="Heading1"/>
      </w:pPr>
      <w:r>
        <w:t xml:space="preserve">7. Modeling Universe Construction</w:t>
      </w:r>
    </w:p>
    <w:p>
      <w:pPr>
        <w:pStyle w:val="FirstParagraph"/>
      </w:pPr>
      <w:r>
        <w:t xml:space="preserve">Three modeling universes were defined.</w:t>
      </w:r>
    </w:p>
    <w:bookmarkStart w:id="44" w:name="universe-a"/>
    <w:p>
      <w:pPr>
        <w:pStyle w:val="Heading2"/>
      </w:pPr>
      <w:r>
        <w:t xml:space="preserve">Universe A</w:t>
      </w:r>
    </w:p>
    <w:p>
      <w:pPr>
        <w:pStyle w:val="FirstParagraph"/>
      </w:pPr>
      <w:r>
        <w:t xml:space="preserve">Tier-A Engine Candidates</w:t>
      </w:r>
    </w:p>
    <w:p>
      <w:pPr>
        <w:pStyle w:val="BodyText"/>
      </w:pPr>
      <w:r>
        <w:t xml:space="preserve">345 features</w:t>
      </w:r>
    </w:p>
    <w:p>
      <w:pPr>
        <w:pStyle w:val="BodyText"/>
      </w:pPr>
      <w:r>
        <w:t xml:space="preserve">Coverage-clean</w:t>
      </w:r>
    </w:p>
    <w:p>
      <w:pPr>
        <w:pStyle w:val="BodyText"/>
      </w:pPr>
      <w:r>
        <w:t xml:space="preserve">Highest-priority baseline universe</w:t>
      </w:r>
    </w:p>
    <w:p>
      <w:r>
        <w:pict>
          <v:rect style="width:0;height:1.5pt" o:hralign="center" o:hrstd="t" o:hr="t"/>
        </w:pict>
      </w:r>
    </w:p>
    <w:bookmarkEnd w:id="44"/>
    <w:bookmarkStart w:id="45" w:name="universe-b"/>
    <w:p>
      <w:pPr>
        <w:pStyle w:val="Heading2"/>
      </w:pPr>
      <w:r>
        <w:t xml:space="preserve">Universe B</w:t>
      </w:r>
    </w:p>
    <w:p>
      <w:pPr>
        <w:pStyle w:val="FirstParagraph"/>
      </w:pPr>
      <w:r>
        <w:t xml:space="preserve">Tier A + Tier B + Tier C Engine Candidates</w:t>
      </w:r>
    </w:p>
    <w:p>
      <w:pPr>
        <w:pStyle w:val="BodyText"/>
      </w:pPr>
      <w:r>
        <w:t xml:space="preserve">423 features</w:t>
      </w:r>
    </w:p>
    <w:p>
      <w:pPr>
        <w:pStyle w:val="BodyText"/>
      </w:pPr>
      <w:r>
        <w:t xml:space="preserve">Universe A plus:</w:t>
      </w:r>
    </w:p>
    <w:p>
      <w:pPr>
        <w:pStyle w:val="BodyText"/>
      </w:pPr>
      <w:r>
        <w:t xml:space="preserve">78 additional Tier-B/C candidates</w:t>
      </w:r>
    </w:p>
    <w:p>
      <w:pPr>
        <w:pStyle w:val="BodyText"/>
      </w:pPr>
      <w:r>
        <w:t xml:space="preserve">Designed for nested-increment testing.</w:t>
      </w:r>
    </w:p>
    <w:p>
      <w:r>
        <w:pict>
          <v:rect style="width:0;height:1.5pt" o:hralign="center" o:hrstd="t" o:hr="t"/>
        </w:pict>
      </w:r>
    </w:p>
    <w:bookmarkEnd w:id="45"/>
    <w:bookmarkStart w:id="46" w:name="universe-c"/>
    <w:p>
      <w:pPr>
        <w:pStyle w:val="Heading2"/>
      </w:pPr>
      <w:r>
        <w:t xml:space="preserve">Universe C</w:t>
      </w:r>
    </w:p>
    <w:p>
      <w:pPr>
        <w:pStyle w:val="FirstParagraph"/>
      </w:pPr>
      <w:r>
        <w:t xml:space="preserve">Representation Development Universe</w:t>
      </w:r>
    </w:p>
    <w:p>
      <w:pPr>
        <w:pStyle w:val="BodyText"/>
      </w:pPr>
      <w:r>
        <w:t xml:space="preserve">510 features</w:t>
      </w:r>
    </w:p>
    <w:p>
      <w:pPr>
        <w:pStyle w:val="BodyText"/>
      </w:pPr>
      <w:r>
        <w:t xml:space="preserve">Coverage-conditional or quarantine-class features</w:t>
      </w:r>
    </w:p>
    <w:p>
      <w:pPr>
        <w:pStyle w:val="BodyText"/>
      </w:pPr>
      <w:r>
        <w:t xml:space="preserve">Not excluded from future research.</w:t>
      </w:r>
    </w:p>
    <w:p>
      <w:pPr>
        <w:pStyle w:val="BodyText"/>
      </w:pPr>
      <w:r>
        <w:t xml:space="preserve">Reserved for later representation engineering.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andidate-pool-interpretation"/>
    <w:p>
      <w:pPr>
        <w:pStyle w:val="Heading1"/>
      </w:pPr>
      <w:r>
        <w:t xml:space="preserve">8. Candidate-Pool Interpretation</w:t>
      </w:r>
    </w:p>
    <w:p>
      <w:pPr>
        <w:pStyle w:val="FirstParagraph"/>
      </w:pPr>
      <w:r>
        <w:t xml:space="preserve">The resulting engine-candidate pool consisted of:</w:t>
      </w:r>
    </w:p>
    <w:p>
      <w:pPr>
        <w:pStyle w:val="BodyText"/>
      </w:pPr>
      <w:r>
        <w:t xml:space="preserve">423 features</w:t>
      </w:r>
    </w:p>
    <w:p>
      <w:pPr>
        <w:pStyle w:val="BodyText"/>
      </w:pPr>
      <w:r>
        <w:t xml:space="preserve">Composition:</w:t>
      </w:r>
    </w:p>
    <w:p>
      <w:pPr>
        <w:pStyle w:val="BodyText"/>
      </w:pPr>
      <w:r>
        <w:t xml:space="preserve">Tier A: 345</w:t>
      </w:r>
    </w:p>
    <w:p>
      <w:pPr>
        <w:pStyle w:val="BodyText"/>
      </w:pPr>
      <w:r>
        <w:t xml:space="preserve">Tier B: 51</w:t>
      </w:r>
    </w:p>
    <w:p>
      <w:pPr>
        <w:pStyle w:val="BodyText"/>
      </w:pPr>
      <w:r>
        <w:t xml:space="preserve">Tier C: 27</w:t>
      </w:r>
    </w:p>
    <w:p>
      <w:pPr>
        <w:pStyle w:val="BodyText"/>
      </w:pPr>
      <w:r>
        <w:t xml:space="preserve">Rich-clean: 102</w:t>
      </w:r>
    </w:p>
    <w:p>
      <w:pPr>
        <w:pStyle w:val="BodyText"/>
      </w:pPr>
      <w:r>
        <w:t xml:space="preserve">Partial-clean: 91</w:t>
      </w:r>
    </w:p>
    <w:p>
      <w:pPr>
        <w:pStyle w:val="BodyText"/>
      </w:pPr>
      <w:r>
        <w:t xml:space="preserve">Light-clean: 230</w:t>
      </w:r>
    </w:p>
    <w:p>
      <w:pPr>
        <w:pStyle w:val="BodyText"/>
      </w:pPr>
      <w:r>
        <w:t xml:space="preserve">The audit demonstrated that Tier-B/C features comprise only a minority of the pool.</w:t>
      </w:r>
    </w:p>
    <w:p>
      <w:pPr>
        <w:pStyle w:val="BodyText"/>
      </w:pPr>
      <w:r>
        <w:t xml:space="preserve">Future model evaluation will determine whether these features contribute predictive value beyond Tier-A candidates.</w:t>
      </w:r>
    </w:p>
    <w:p>
      <w:pPr>
        <w:pStyle w:val="BodyText"/>
      </w:pPr>
      <w:r>
        <w:t xml:space="preserve">No assumptions regarding predictive usefulness are encoded in the catalog.</w:t>
      </w:r>
    </w:p>
    <w:p>
      <w:pPr>
        <w:pStyle w:val="BodyText"/>
      </w:pPr>
      <w:r>
        <w:t xml:space="preserve">Predictive value remains an empirical modeling question.</w:t>
      </w:r>
    </w:p>
    <w:p>
      <w:r>
        <w:pict>
          <v:rect style="width:0;height:1.5pt" o:hralign="center" o:hrstd="t" o:hr="t"/>
        </w:pict>
      </w:r>
    </w:p>
    <w:bookmarkEnd w:id="48"/>
    <w:bookmarkStart w:id="49" w:name="reproducibility-freeze"/>
    <w:p>
      <w:pPr>
        <w:pStyle w:val="Heading1"/>
      </w:pPr>
      <w:r>
        <w:t xml:space="preserve">9. Reproducibility Freeze</w:t>
      </w:r>
    </w:p>
    <w:p>
      <w:pPr>
        <w:pStyle w:val="FirstParagraph"/>
      </w:pPr>
      <w:r>
        <w:t xml:space="preserve">A complete reproducibility freeze was executed.</w:t>
      </w:r>
    </w:p>
    <w:p>
      <w:pPr>
        <w:pStyle w:val="BodyText"/>
      </w:pPr>
      <w:r>
        <w:t xml:space="preserve">Artifacts frozen:</w:t>
      </w:r>
    </w:p>
    <w:p>
      <w:pPr>
        <w:pStyle w:val="BodyText"/>
      </w:pPr>
      <w:r>
        <w:t xml:space="preserve">21 files</w:t>
      </w:r>
    </w:p>
    <w:p>
      <w:pPr>
        <w:pStyle w:val="BodyText"/>
      </w:pPr>
      <w:r>
        <w:t xml:space="preserve">Including:</w:t>
      </w:r>
    </w:p>
    <w:p>
      <w:pPr>
        <w:pStyle w:val="Compact"/>
        <w:numPr>
          <w:ilvl w:val="0"/>
          <w:numId w:val="1009"/>
        </w:numPr>
      </w:pPr>
      <w:r>
        <w:t xml:space="preserve">registries</w:t>
      </w:r>
    </w:p>
    <w:p>
      <w:pPr>
        <w:pStyle w:val="Compact"/>
        <w:numPr>
          <w:ilvl w:val="0"/>
          <w:numId w:val="1009"/>
        </w:numPr>
      </w:pPr>
      <w:r>
        <w:t xml:space="preserve">manifests</w:t>
      </w:r>
    </w:p>
    <w:p>
      <w:pPr>
        <w:pStyle w:val="Compact"/>
        <w:numPr>
          <w:ilvl w:val="0"/>
          <w:numId w:val="1009"/>
        </w:numPr>
      </w:pPr>
      <w:r>
        <w:t xml:space="preserve">QA outputs</w:t>
      </w:r>
    </w:p>
    <w:p>
      <w:pPr>
        <w:pStyle w:val="Compact"/>
        <w:numPr>
          <w:ilvl w:val="0"/>
          <w:numId w:val="1009"/>
        </w:numPr>
      </w:pPr>
      <w:r>
        <w:t xml:space="preserve">summaries</w:t>
      </w:r>
    </w:p>
    <w:p>
      <w:pPr>
        <w:pStyle w:val="Compact"/>
        <w:numPr>
          <w:ilvl w:val="0"/>
          <w:numId w:val="1009"/>
        </w:numPr>
      </w:pPr>
      <w:r>
        <w:t xml:space="preserve">build scripts</w:t>
      </w:r>
    </w:p>
    <w:p>
      <w:pPr>
        <w:pStyle w:val="Compact"/>
        <w:numPr>
          <w:ilvl w:val="0"/>
          <w:numId w:val="1009"/>
        </w:numPr>
      </w:pPr>
      <w:r>
        <w:t xml:space="preserve">reproducibility manifests</w:t>
      </w:r>
    </w:p>
    <w:p>
      <w:pPr>
        <w:pStyle w:val="FirstParagraph"/>
      </w:pPr>
      <w:r>
        <w:t xml:space="preserve">All artifacts were SHA-verified.</w:t>
      </w:r>
    </w:p>
    <w:p>
      <w:pPr>
        <w:pStyle w:val="BodyText"/>
      </w:pPr>
      <w:r>
        <w:t xml:space="preserve">Verified chain:</w:t>
      </w:r>
    </w:p>
    <w:p>
      <w:pPr>
        <w:pStyle w:val="BodyText"/>
      </w:pPr>
      <w:r>
        <w:t xml:space="preserve">v1.3</w:t>
      </w:r>
    </w:p>
    <w:p>
      <w:pPr>
        <w:pStyle w:val="BodyText"/>
      </w:pPr>
      <w:r>
        <w:t xml:space="preserve">→ v1.5</w:t>
      </w:r>
    </w:p>
    <w:p>
      <w:pPr>
        <w:pStyle w:val="BodyText"/>
      </w:pPr>
      <w:r>
        <w:t xml:space="preserve">→ v1.6</w:t>
      </w:r>
    </w:p>
    <w:p>
      <w:pPr>
        <w:pStyle w:val="BodyText"/>
      </w:pPr>
      <w:r>
        <w:t xml:space="preserve">→ v1.7</w:t>
      </w:r>
    </w:p>
    <w:p>
      <w:pPr>
        <w:pStyle w:val="BodyText"/>
      </w:pPr>
      <w:r>
        <w:t xml:space="preserve">The freeze package was archived to GitHub.</w:t>
      </w:r>
    </w:p>
    <w:p>
      <w:r>
        <w:pict>
          <v:rect style="width:0;height:1.5pt" o:hralign="center" o:hrstd="t" o:hr="t"/>
        </w:pict>
      </w:r>
    </w:p>
    <w:bookmarkEnd w:id="49"/>
    <w:bookmarkStart w:id="50" w:name="modeling-guardrails"/>
    <w:p>
      <w:pPr>
        <w:pStyle w:val="Heading1"/>
      </w:pPr>
      <w:r>
        <w:t xml:space="preserve">10. Modeling Guardrails</w:t>
      </w:r>
    </w:p>
    <w:p>
      <w:pPr>
        <w:pStyle w:val="FirstParagraph"/>
      </w:pPr>
      <w:r>
        <w:t xml:space="preserve">The following project constraints remain active.</w:t>
      </w:r>
    </w:p>
    <w:p>
      <w:pPr>
        <w:numPr>
          <w:ilvl w:val="0"/>
          <w:numId w:val="1010"/>
        </w:numPr>
      </w:pPr>
      <w:r>
        <w:t xml:space="preserve">Holdout partition remains sealed.</w:t>
      </w:r>
    </w:p>
    <w:p>
      <w:pPr>
        <w:numPr>
          <w:ilvl w:val="0"/>
          <w:numId w:val="1010"/>
        </w:numPr>
      </w:pPr>
      <w:r>
        <w:t xml:space="preserve">All model selection occurs within exploratory data only.</w:t>
      </w:r>
    </w:p>
    <w:p>
      <w:pPr>
        <w:numPr>
          <w:ilvl w:val="0"/>
          <w:numId w:val="1010"/>
        </w:numPr>
      </w:pPr>
      <w:r>
        <w:t xml:space="preserve">GroupKFold by date remains mandatory.</w:t>
      </w:r>
    </w:p>
    <w:p>
      <w:pPr>
        <w:numPr>
          <w:ilvl w:val="0"/>
          <w:numId w:val="1010"/>
        </w:numPr>
      </w:pPr>
      <w:r>
        <w:t xml:space="preserve">In-sample lift does not imply predictive utility.</w:t>
      </w:r>
    </w:p>
    <w:p>
      <w:pPr>
        <w:numPr>
          <w:ilvl w:val="0"/>
          <w:numId w:val="1010"/>
        </w:numPr>
      </w:pPr>
      <w:r>
        <w:t xml:space="preserve">Feature selection requires out-of-fold validation.</w:t>
      </w:r>
    </w:p>
    <w:p>
      <w:pPr>
        <w:numPr>
          <w:ilvl w:val="0"/>
          <w:numId w:val="1010"/>
        </w:numPr>
      </w:pPr>
      <w:r>
        <w:t xml:space="preserve">Tier-B/C features enter modeling as a nested increment rather than being silently mixed into baseline analyses.</w:t>
      </w:r>
    </w:p>
    <w:p>
      <w:pPr>
        <w:numPr>
          <w:ilvl w:val="0"/>
          <w:numId w:val="1010"/>
        </w:numPr>
      </w:pPr>
      <w:r>
        <w:t xml:space="preserve">BHW/GHL remains archived as a secondary contrast and is not part of the primary modeling track.</w:t>
      </w:r>
    </w:p>
    <w:p>
      <w:r>
        <w:pict>
          <v:rect style="width:0;height:1.5pt" o:hralign="center" o:hrstd="t" o:hr="t"/>
        </w:pict>
      </w:r>
    </w:p>
    <w:bookmarkEnd w:id="50"/>
    <w:bookmarkStart w:id="51" w:name="status-at-closeout"/>
    <w:p>
      <w:pPr>
        <w:pStyle w:val="Heading1"/>
      </w:pPr>
      <w:r>
        <w:t xml:space="preserve">11. Status at Closeout</w:t>
      </w:r>
    </w:p>
    <w:p>
      <w:pPr>
        <w:pStyle w:val="FirstParagraph"/>
      </w:pPr>
      <w:r>
        <w:t xml:space="preserve">Feature-universe catalog phase:</w:t>
      </w:r>
    </w:p>
    <w:p>
      <w:pPr>
        <w:pStyle w:val="BodyText"/>
      </w:pPr>
      <w:r>
        <w:t xml:space="preserve">COMPLETE</w:t>
      </w:r>
    </w:p>
    <w:p>
      <w:pPr>
        <w:pStyle w:val="BodyText"/>
      </w:pPr>
      <w:r>
        <w:t xml:space="preserve">GitHub freeze:</w:t>
      </w:r>
    </w:p>
    <w:p>
      <w:pPr>
        <w:pStyle w:val="BodyText"/>
      </w:pPr>
      <w:r>
        <w:t xml:space="preserve">COMPLETE</w:t>
      </w:r>
    </w:p>
    <w:p>
      <w:pPr>
        <w:pStyle w:val="BodyText"/>
      </w:pPr>
      <w:r>
        <w:t xml:space="preserve">Universe manifests:</w:t>
      </w:r>
    </w:p>
    <w:p>
      <w:pPr>
        <w:pStyle w:val="BodyText"/>
      </w:pPr>
      <w:r>
        <w:t xml:space="preserve">COMPLETE</w:t>
      </w:r>
    </w:p>
    <w:p>
      <w:pPr>
        <w:pStyle w:val="BodyText"/>
      </w:pPr>
      <w:r>
        <w:t xml:space="preserve">Reproducibility chain:</w:t>
      </w:r>
    </w:p>
    <w:p>
      <w:pPr>
        <w:pStyle w:val="BodyText"/>
      </w:pPr>
      <w:r>
        <w:t xml:space="preserve">COMPLETE</w:t>
      </w:r>
    </w:p>
    <w:p>
      <w:pPr>
        <w:pStyle w:val="BodyText"/>
      </w:pPr>
      <w:r>
        <w:t xml:space="preserve">Holdout status:</w:t>
      </w:r>
    </w:p>
    <w:p>
      <w:pPr>
        <w:pStyle w:val="BodyText"/>
      </w:pPr>
      <w:r>
        <w:t xml:space="preserve">SEALED</w:t>
      </w:r>
    </w:p>
    <w:p>
      <w:pPr>
        <w:pStyle w:val="BodyText"/>
      </w:pPr>
      <w:r>
        <w:t xml:space="preserve">Next phase:</w:t>
      </w:r>
    </w:p>
    <w:p>
      <w:pPr>
        <w:pStyle w:val="BodyText"/>
      </w:pPr>
      <w:r>
        <w:t xml:space="preserve">Paper 2 Sandbox</w:t>
      </w:r>
      <w:r>
        <w:t xml:space="preserve"> </w:t>
      </w:r>
      <w:r>
        <w:t xml:space="preserve">HS/LS Modeling Launch</w:t>
      </w:r>
    </w:p>
    <w:p>
      <w:pPr>
        <w:pStyle w:val="BodyText"/>
      </w:pPr>
      <w:r>
        <w:t xml:space="preserve">Initial sequence:</w:t>
      </w:r>
    </w:p>
    <w:p>
      <w:pPr>
        <w:pStyle w:val="BodyText"/>
      </w:pPr>
      <w:r>
        <w:t xml:space="preserve">Universe A baseline modeling</w:t>
      </w:r>
    </w:p>
    <w:p>
      <w:pPr>
        <w:pStyle w:val="BodyText"/>
      </w:pPr>
      <w:r>
        <w:t xml:space="preserve">Universe B nested increment evaluation</w:t>
      </w:r>
    </w:p>
    <w:p>
      <w:pPr>
        <w:pStyle w:val="BodyText"/>
      </w:pPr>
      <w:r>
        <w:t xml:space="preserve">Representation-development investigations (Universe C)</w:t>
      </w:r>
    </w:p>
    <w:p>
      <w:pPr>
        <w:pStyle w:val="BodyText"/>
      </w:pPr>
      <w:r>
        <w:t xml:space="preserve">The feature universe is now fully inventoried, characterized, reproducibly archived, and prepared for predictive-model development.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2026-06-18T22:56:15Z</dcterms:created>
  <dcterms:modified xsi:type="dcterms:W3CDTF">2026-06-18T22:56:15Z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