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OMNI Paper 2 — Exploratory Sandbox Charter</w:t>
      </w:r>
    </w:p>
    <w:p>
      <w:pPr>
        <w:spacing w:after="240" w:before="0"/>
        <w:jc w:val="center"/>
      </w:pPr>
      <w:r>
        <w:rPr>
          <w:i/>
          <w:iCs/>
          <w:sz w:val="22"/>
          <w:szCs w:val="22"/>
        </w:rPr>
        <w:t xml:space="preserve">Version v0.3 (working draft, post ChatG third-pass review) — 25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Project</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OMNI Geometry MLB — Paper 2 (working title TBD)</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Status</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Working draft v0.3. Project-management artifact; not a pre-registration.</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PI</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Courtney</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Author</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Claude (drafting)</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Hostile review</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ChatG — v0, v0.1, v0.2 passes complete; fourth pass scheduled at lock</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Predecessor work</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Paper 1 (1,482 evaluations across six origin batches, locked); Phase 1.5 Pre-Registration v1.1-final (OSF-submitted)</w:t>
            </w:r>
          </w:p>
        </w:tc>
      </w:tr>
    </w:tbl>
    <w:p>
      <w:pPr>
        <w:spacing w:after="120" w:before="120"/>
      </w:pPr>
      <w:r>
        <w:t xml:space="preserve"/>
      </w:r>
    </w:p>
    <w:p>
      <w:pPr>
        <w:pStyle w:val="Heading1"/>
        <w:spacing w:after="140" w:before="280"/>
      </w:pPr>
      <w:r>
        <w:rPr>
          <w:b/>
          <w:bCs/>
          <w:sz w:val="32"/>
          <w:szCs w:val="32"/>
        </w:rPr>
        <w:t xml:space="preserve">1. Purpose and scope</w:t>
      </w:r>
    </w:p>
    <w:p>
      <w:pPr>
        <w:spacing w:after="60" w:before="60"/>
        <w:jc w:val="left"/>
      </w:pPr>
      <w:r>
        <w:rPr>
          <w:b w:val="false"/>
          <w:bCs w:val="false"/>
          <w:i w:val="false"/>
          <w:iCs w:val="false"/>
          <w:sz w:val="22"/>
          <w:szCs w:val="22"/>
        </w:rPr>
        <w:t xml:space="preserve">This Charter governs the exploratory phase of OMNI Paper 2. It is not a pre-registration and confers no confirmatory authority. Its purpose is to (i) seal a hold-out partition of the Paper 1 event base before exploration begins, (ii) declare the research-vector landscape under consideration, (iii) impose an exploration-log discipline that makes the eventual Paper 2 pre-registration honest about what was considered and shelved, and (iv) define the conversion threshold at which exploratory work crystallizes into a Paper 2 pre-registration draft.</w:t>
      </w:r>
    </w:p>
    <w:p>
      <w:pPr>
        <w:spacing w:after="60" w:before="60"/>
        <w:jc w:val="left"/>
      </w:pPr>
      <w:r>
        <w:rPr>
          <w:b w:val="false"/>
          <w:bCs w:val="false"/>
          <w:i w:val="false"/>
          <w:iCs w:val="false"/>
          <w:sz w:val="22"/>
          <w:szCs w:val="22"/>
        </w:rPr>
        <w:t xml:space="preserve">Exploratory work under this Charter is free to consider any feature, model, outcome class, stratification, or research question consistent with §4 and §5. Confirmatory authority is reserved for the Paper 2 pre-registration document, which has not yet been drafted.</w:t>
      </w:r>
    </w:p>
    <w:p>
      <w:pPr>
        <w:spacing w:after="60" w:before="60"/>
        <w:jc w:val="left"/>
      </w:pPr>
      <w:r>
        <w:rPr>
          <w:b/>
          <w:bCs/>
          <w:sz w:val="22"/>
          <w:szCs w:val="22"/>
        </w:rPr>
        <w:t xml:space="preserve">Exploratory findings are treated as architecture-discovery signals rather than inferential evidence. </w:t>
      </w:r>
      <w:r>
        <w:rPr>
          <w:sz w:val="22"/>
          <w:szCs w:val="22"/>
        </w:rPr>
        <w:t xml:space="preserve">The sandbox discovers candidate structures and rules out unworkable ones; it does not generate inferential conclusions about the underlying geometry. Any apparent finding that emerges during exploration is provisional until restated as a pre-registered hypothesis and tested against the confirmatory hold-out.</w:t>
      </w:r>
    </w:p>
    <w:p>
      <w:pPr>
        <w:pStyle w:val="Heading1"/>
        <w:spacing w:after="140" w:before="280"/>
      </w:pPr>
      <w:r>
        <w:rPr>
          <w:b/>
          <w:bCs/>
          <w:sz w:val="32"/>
          <w:szCs w:val="32"/>
        </w:rPr>
        <w:t xml:space="preserve">2. Relation to Paper 1 and Phase 1.5</w:t>
      </w:r>
    </w:p>
    <w:p>
      <w:pPr>
        <w:spacing w:after="60" w:before="60"/>
        <w:jc w:val="left"/>
      </w:pPr>
      <w:r>
        <w:rPr>
          <w:b w:val="false"/>
          <w:bCs w:val="false"/>
          <w:i w:val="false"/>
          <w:iCs w:val="false"/>
          <w:sz w:val="22"/>
          <w:szCs w:val="22"/>
        </w:rPr>
        <w:t xml:space="preserve">Paper 1 outputs are inputs to this Charter and are not subject to revision. The Paper 1 engine (cell_v2_batch_v2_0_2, schema 2.0.2; MD5 fee30ee05f9547088ae1810ded017789) is locked; no sandbox work modifies it. Phase 1.5 runs independently against the same locked Paper 1 outputs; sandbox notebooks do not interact with Phase 1.5 statistical machinery or surrogate distributions.</w:t>
      </w:r>
    </w:p>
    <w:p>
      <w:pPr>
        <w:spacing w:after="60" w:before="60"/>
        <w:jc w:val="left"/>
      </w:pPr>
      <w:r>
        <w:rPr>
          <w:b w:val="false"/>
          <w:bCs w:val="false"/>
          <w:i w:val="false"/>
          <w:iCs w:val="false"/>
          <w:sz w:val="22"/>
          <w:szCs w:val="22"/>
        </w:rPr>
        <w:t xml:space="preserve">The underlying MLB event base is the same 57,635-event corpus used in Paper 1 (2000–2024; regular-season 2002 excluded for unavailable game start times; 2002 postseason retained).</w:t>
      </w:r>
    </w:p>
    <w:p>
      <w:pPr>
        <w:pStyle w:val="Heading1"/>
        <w:spacing w:after="140" w:before="280"/>
      </w:pPr>
      <w:r>
        <w:rPr>
          <w:b/>
          <w:bCs/>
          <w:sz w:val="32"/>
          <w:szCs w:val="32"/>
        </w:rPr>
        <w:t xml:space="preserve">3. Hold-out partition specification</w:t>
      </w:r>
    </w:p>
    <w:p>
      <w:pPr>
        <w:spacing w:after="60" w:before="60"/>
        <w:jc w:val="left"/>
      </w:pPr>
      <w:r>
        <w:rPr>
          <w:b/>
          <w:bCs/>
          <w:sz w:val="22"/>
          <w:szCs w:val="22"/>
        </w:rPr>
        <w:t xml:space="preserve">Unit of assignment. </w:t>
      </w:r>
      <w:r>
        <w:rPr>
          <w:sz w:val="22"/>
          <w:szCs w:val="22"/>
        </w:rPr>
        <w:t xml:space="preserve">Game-date. Each unique calendar date on which one or more MLB games were played is assigned to either the exploratory partition or the confirmatory hold-out as an indivisible unit. This protects against trivial leakage from same-day games sharing slowly-varying astronomical context (slow-body G-LON, etc.) and respects the natural temporal grain of the data.</w:t>
      </w:r>
    </w:p>
    <w:p>
      <w:pPr>
        <w:spacing w:after="60" w:before="60"/>
        <w:jc w:val="left"/>
      </w:pPr>
      <w:r>
        <w:rPr>
          <w:b/>
          <w:bCs/>
          <w:sz w:val="22"/>
          <w:szCs w:val="22"/>
        </w:rPr>
        <w:t xml:space="preserve">Ratio. </w:t>
      </w:r>
      <w:r>
        <w:rPr>
          <w:sz w:val="22"/>
          <w:szCs w:val="22"/>
        </w:rPr>
        <w:t xml:space="preserve">80 / 20 (exploratory / confirmatory).</w:t>
      </w:r>
    </w:p>
    <w:p>
      <w:pPr>
        <w:spacing w:after="60" w:before="60"/>
        <w:jc w:val="left"/>
      </w:pPr>
      <w:r>
        <w:rPr>
          <w:b/>
          <w:bCs/>
          <w:sz w:val="22"/>
          <w:szCs w:val="22"/>
        </w:rPr>
        <w:t xml:space="preserve">Seed. </w:t>
      </w:r>
      <w:r>
        <w:rPr>
          <w:sz w:val="22"/>
          <w:szCs w:val="22"/>
        </w:rPr>
        <w:t xml:space="preserve">OMNI_P2_SEED = 20260524 (fixed integer; replaceable only via §10 amendment prior to manifest generation).</w:t>
      </w:r>
    </w:p>
    <w:p>
      <w:pPr>
        <w:spacing w:after="60" w:before="60"/>
        <w:jc w:val="left"/>
      </w:pPr>
      <w:r>
        <w:rPr>
          <w:b/>
          <w:bCs/>
          <w:sz w:val="22"/>
          <w:szCs w:val="22"/>
        </w:rPr>
        <w:t xml:space="preserve">Generation procedure. </w:t>
      </w:r>
      <w:r>
        <w:rPr>
          <w:sz w:val="22"/>
          <w:szCs w:val="22"/>
        </w:rPr>
        <w:t xml:space="preserve">numpy.random.default_rng(OMNI_P2_SEED) → random permutation of the sorted unique-game-date list → first 80% by permutation index → exploratory; remainder → confirmatory hold-out.</w:t>
      </w:r>
    </w:p>
    <w:p>
      <w:pPr>
        <w:spacing w:after="60" w:before="60"/>
        <w:jc w:val="left"/>
      </w:pPr>
      <w:r>
        <w:rPr>
          <w:b/>
          <w:bCs/>
          <w:sz w:val="22"/>
          <w:szCs w:val="22"/>
        </w:rPr>
        <w:t xml:space="preserve">Output artifact. </w:t>
      </w:r>
      <w:r>
        <w:rPr>
          <w:sz w:val="22"/>
          <w:szCs w:val="22"/>
        </w:rPr>
        <w:t xml:space="preserve">holdout_manifest_v1_0.csv (columns: game_date in ISO 8601; partition ∈ {exploratory, confirmatory}), stored at /content/drive/MyDrive/OMNI_PROJECT/paper2_sandbox/holdout_manifest_v1_0.csv. SHA256 of the manifest committed to GitHub omni-geometry-mlb at Charter lock.</w:t>
      </w:r>
    </w:p>
    <w:p>
      <w:pPr>
        <w:spacing w:after="60" w:before="60"/>
        <w:jc w:val="left"/>
      </w:pPr>
      <w:r>
        <w:rPr>
          <w:b/>
          <w:bCs/>
          <w:sz w:val="22"/>
          <w:szCs w:val="22"/>
        </w:rPr>
        <w:t xml:space="preserve">Sealing of the hold-out. </w:t>
      </w:r>
      <w:r>
        <w:rPr>
          <w:sz w:val="22"/>
          <w:szCs w:val="22"/>
        </w:rPr>
        <w:t xml:space="preserve">Sandbox notebooks and exploration scripts read only events whose date is assigned to the exploratory partition. The confirmatory subset is gated by a sentinel file (sandbox_seal_v1_0.lock) located in /content/drive/MyDrive/OMNI_PROJECT/paper2_sandbox/CONFIRMATORY_GATE/. The sentinel is honored by all sandbox code by convention; the convention is enforced by code review, not by filesystem permissions. Access is permitted only after the Paper 2 pre-registration document is locked on OSF.</w:t>
      </w:r>
    </w:p>
    <w:p>
      <w:pPr>
        <w:spacing w:after="60" w:before="60"/>
        <w:jc w:val="left"/>
      </w:pPr>
      <w:r>
        <w:rPr>
          <w:b/>
          <w:bCs/>
          <w:sz w:val="22"/>
          <w:szCs w:val="22"/>
        </w:rPr>
        <w:t xml:space="preserve">Generation timing. </w:t>
      </w:r>
      <w:r>
        <w:rPr>
          <w:sz w:val="22"/>
          <w:szCs w:val="22"/>
        </w:rPr>
        <w:t xml:space="preserve">The seed value and partition-generation code are committed to GitHub before the partition manifest is generated. The manifest is then generated once, hashed, and the hash committed.</w:t>
      </w:r>
    </w:p>
    <w:p>
      <w:pPr>
        <w:pStyle w:val="Heading2"/>
        <w:spacing w:after="120" w:before="220"/>
      </w:pPr>
      <w:r>
        <w:rPr>
          <w:b/>
          <w:bCs/>
          <w:sz w:val="26"/>
          <w:szCs w:val="26"/>
        </w:rPr>
        <w:t xml:space="preserve">3.1. Limits of the hold-out as evidence</w:t>
      </w:r>
    </w:p>
    <w:p>
      <w:pPr>
        <w:spacing w:after="60" w:before="60"/>
        <w:jc w:val="left"/>
      </w:pPr>
      <w:r>
        <w:rPr>
          <w:b w:val="false"/>
          <w:bCs w:val="false"/>
          <w:i w:val="false"/>
          <w:iCs w:val="false"/>
          <w:sz w:val="22"/>
          <w:szCs w:val="22"/>
        </w:rPr>
        <w:t xml:space="preserve">The exploratory partition itself may become adaptively overfit through repeated iteration: feature engineering, model selection, outcome-class threshold refinement, and visualization-driven pattern detection collectively accumulate researcher degrees of freedom that propagate to any architecture surviving to confirmatory testing. Consequently, confirmatory performance estimates on the 20% hold-out are treated as necessary but not sufficient evidence of generalization.</w:t>
      </w:r>
    </w:p>
    <w:p>
      <w:pPr>
        <w:spacing w:after="60" w:before="60"/>
        <w:jc w:val="left"/>
      </w:pPr>
      <w:r>
        <w:rPr>
          <w:b w:val="false"/>
          <w:bCs w:val="false"/>
          <w:i w:val="false"/>
          <w:iCs w:val="false"/>
          <w:sz w:val="22"/>
          <w:szCs w:val="22"/>
        </w:rPr>
        <w:t xml:space="preserve">Robust generalization claims require, at minimum, replication against future MLB seasons collected after the conclusion of Paper 2 confirmatory analysis. Out-of-distribution replication against alternative event bases (other sports; alternative timeframes; non-North-American competitive systems) is the gold standard and remains a deferred objective rather than a Paper 2 deliverable. Paper 2 reporting will explicitly disclose the size of the researcher-degrees-of-freedom space accumulated during the exploratory phase, as documented in the exploration log (§7).</w:t>
      </w:r>
    </w:p>
    <w:p>
      <w:pPr>
        <w:spacing w:after="60" w:before="60"/>
        <w:jc w:val="left"/>
      </w:pPr>
      <w:r>
        <w:rPr>
          <w:b w:val="false"/>
          <w:bCs w:val="false"/>
          <w:i w:val="false"/>
          <w:iCs w:val="false"/>
          <w:sz w:val="22"/>
          <w:szCs w:val="22"/>
        </w:rPr>
        <w:t xml:space="preserve">Date-level partitioning reduces local astronomical leakage and removes same-day duplication of slowly-varying sky-state context, but it does not eliminate broader temporal dependence structures across MLB eras and adjacent seasons. Rule-era shifts, scoring-environment drift, weather evolution, and roster-era continuity propagate macro-temporal structure that random date-level partitioning cannot fully decouple. Stratification-axis analyses (notably the competitive-stakes regime introduced in §5.2 and Vector E in §4) provide one mechanism for probing regime-dependent structure within the exploratory partition; they do not resolve macro-temporal dependence but they make its footprint partially visible.</w:t>
      </w:r>
    </w:p>
    <w:p>
      <w:pPr>
        <w:pStyle w:val="Heading1"/>
        <w:spacing w:after="140" w:before="280"/>
      </w:pPr>
      <w:r>
        <w:rPr>
          <w:b/>
          <w:bCs/>
          <w:sz w:val="32"/>
          <w:szCs w:val="32"/>
        </w:rPr>
        <w:t xml:space="preserve">4. Research-vector landscape</w:t>
      </w:r>
    </w:p>
    <w:p>
      <w:pPr>
        <w:spacing w:after="60" w:before="60"/>
        <w:jc w:val="left"/>
      </w:pPr>
      <w:r>
        <w:rPr>
          <w:b w:val="false"/>
          <w:bCs w:val="false"/>
          <w:i w:val="false"/>
          <w:iCs w:val="false"/>
          <w:sz w:val="22"/>
          <w:szCs w:val="22"/>
        </w:rPr>
        <w:t xml:space="preserve">Five vectors are on the table. Vector labels are retained from v0.1 with Vector E added; the priority is governed by the three-tier ordering in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400"/>
        <w:gridCol w:w="1960"/>
      </w:tblGrid>
      <w:tr>
        <w:trPr>
          <w:tblHeader/>
        </w:trPr>
        <w:tc>
          <w:tcPr>
            <w:tcW w:type="dxa" w:w="8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Vector</w:t>
            </w:r>
          </w:p>
        </w:tc>
        <w:tc>
          <w:tcPr>
            <w:tcW w:type="dxa" w:w="22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Label</w:t>
            </w:r>
          </w:p>
        </w:tc>
        <w:tc>
          <w:tcPr>
            <w:tcW w:type="dxa" w:w="44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Description</w:t>
            </w:r>
          </w:p>
        </w:tc>
        <w:tc>
          <w:tcPr>
            <w:tcW w:type="dxa" w:w="196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Methodological risk</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C</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Margin-polarity outcome architecture</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Big Home Wins (home margin ≥ +5) vs Gutting Home Losses (home margin ≤ −5) on the same event base. Frames as a substantively distinct competitive-state geometry rather than as a re-thresholding of the HS/LS tail contrast.</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Low–medium. Novel contrast; tails well-balanced relative to HS/LS.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Competitive-stakes-regime stratification</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Stratification of all outcome classes by competitive-stakes regime: regular-season (RS) vs post-season (PS, including division series, championship series, and World Series). Tests the "stakes-intensification" question: do geometric signals detectable in RS data sharpen, attenuate, or shift under the PS regime? Treated under §4.3 caveats.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Medium. Sample asymmetry; calendar-window confound; team-selection confound.</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Unsupervised structure discovery</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Clustering, manifold methods (UMAP, PaCMAP, diffusion maps), and topological-data-analysis approaches (Mapper, persistent homology) applied to per-event feature vectors of outcome-class subsets. Treated under §4.2 caveats.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Medium. Structure-first feature engineering; latent-class overinterpretation risk.</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B</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Engineered Paper 1 meta-features</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Features derived from Paper 1 locked outputs: anchor-region indicators, persistence-class encodings, cross-feature anchor co-occurrence, signed distance-to-peak transforms, scale-structure-flag dummies.</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Low. Pure post-processing of locked artifacts.</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Engine extension: heliocentric + vertical</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Heliocentric (H-LON) and vertical-coordinate (declination, ecliptic latitude, altitude) feature engineering. Engine extension required. Constitutes a separate workstream and may yield a Paper 3 spin-off.</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Medium–high. Engine modifications require independent review gate.</w:t>
            </w:r>
          </w:p>
        </w:tc>
      </w:tr>
    </w:tbl>
    <w:p>
      <w:pPr>
        <w:spacing w:after="120" w:before="120"/>
      </w:pPr>
      <w:r>
        <w:t xml:space="preserve"/>
      </w:r>
    </w:p>
    <w:p>
      <w:pPr>
        <w:pStyle w:val="Heading2"/>
        <w:spacing w:after="120" w:before="220"/>
      </w:pPr>
      <w:r>
        <w:rPr>
          <w:b/>
          <w:bCs/>
          <w:sz w:val="26"/>
          <w:szCs w:val="26"/>
        </w:rPr>
        <w:t xml:space="preserve">4.1. Tier ordering</w:t>
      </w:r>
    </w:p>
    <w:p>
      <w:pPr>
        <w:spacing w:after="60" w:before="60"/>
        <w:jc w:val="left"/>
      </w:pPr>
      <w:r>
        <w:rPr>
          <w:b w:val="false"/>
          <w:bCs w:val="false"/>
          <w:i w:val="false"/>
          <w:iCs w:val="false"/>
          <w:sz w:val="22"/>
          <w:szCs w:val="22"/>
        </w:rPr>
        <w:t xml:space="preserve">Activities are organized into three execution tiers. Tier 1 work begins immediately upon Charter lock; Tier 2 work begins once Tier 1 produces a stable target-and-feature baseline; Tier 3 work is admitted only after the lower tiers have yielded a characterized representation space.</w:t>
      </w:r>
    </w:p>
    <w:p>
      <w:pPr>
        <w:spacing w:after="60" w:before="60"/>
        <w:jc w:val="left"/>
      </w:pPr>
      <w:r>
        <w:rPr>
          <w:b/>
          <w:bCs/>
          <w:sz w:val="22"/>
          <w:szCs w:val="22"/>
        </w:rPr>
        <w:t xml:space="preserve">Tier progression reflects increasing epistemic uncertainty and representational flexibility, not merely computational complexity. </w:t>
      </w:r>
      <w:r>
        <w:rPr>
          <w:sz w:val="22"/>
          <w:szCs w:val="22"/>
        </w:rPr>
        <w:t xml:space="preserve">Each tier escalates the degrees of freedom the analyst commits to: Tier 1 commits target construction and basic representation; Tier 2 commits feature engineering and panel-hierarchy structure; Tier 3 commits architectural exoticism. Premature ascent collapses interpretability before the lower tiers have characterized the problem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200"/>
        <w:gridCol w:w="1760"/>
      </w:tblGrid>
      <w:tr>
        <w:trPr>
          <w:tblHeader/>
        </w:trPr>
        <w:tc>
          <w:tcPr>
            <w:tcW w:type="dxa" w:w="12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Tier</w:t>
            </w:r>
          </w:p>
        </w:tc>
        <w:tc>
          <w:tcPr>
            <w:tcW w:type="dxa" w:w="12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Stage</w:t>
            </w:r>
          </w:p>
        </w:tc>
        <w:tc>
          <w:tcPr>
            <w:tcW w:type="dxa" w:w="52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Activities</w:t>
            </w:r>
          </w:p>
        </w:tc>
        <w:tc>
          <w:tcPr>
            <w:tcW w:type="dxa" w:w="176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Primary vector(s)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1</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Immediate</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BHW / GHL outcome-class construction and target stability characterization; RS / PS stratification manifest construction and sample-balance audit; UMAP and clustering on per-event Paper 1 feature vectors; calibration benchmarking across logistic regression and gradient-boosted trees; coverage-clean vs coverage-conditional partition experiments.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C, E, D,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Intermediate</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Engineered Paper 1 meta-feature library; hierarchical / mixed-effects logistic models exploiting the panel hierarchy with RS / PS as an additional grouping factor; stability-aware embeddings; persistence-class feature engineering; cross-target and cross-stratum generalization tests within the exploratory partition; formal stakes-intensification effect-size estimation.</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B, D, 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Advanced / speculative</w:t>
            </w:r>
          </w:p>
        </w:tc>
        <w:tc>
          <w:tcPr>
            <w:tcW w:type="dxa" w:w="5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Heliocentric and vertical-coordinate engine extension; angular-equivariant architectures over smoothed_360 input vectors; persistent-homology / TDA on tail subsets; neural geometric representations. Admissible only after Tier 1 and Tier 2 outputs have stabilized.</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A, D</w:t>
            </w:r>
          </w:p>
        </w:tc>
      </w:tr>
    </w:tbl>
    <w:p>
      <w:pPr>
        <w:spacing w:after="120" w:before="120"/>
      </w:pPr>
      <w:r>
        <w:t xml:space="preserve"/>
      </w:r>
    </w:p>
    <w:p>
      <w:pPr>
        <w:pStyle w:val="Heading2"/>
        <w:spacing w:after="120" w:before="220"/>
      </w:pPr>
      <w:r>
        <w:rPr>
          <w:b/>
          <w:bCs/>
          <w:sz w:val="26"/>
          <w:szCs w:val="26"/>
        </w:rPr>
        <w:t xml:space="preserve">4.2. Vector D methodological framing</w:t>
      </w:r>
    </w:p>
    <w:p>
      <w:pPr>
        <w:spacing w:after="60" w:before="60"/>
        <w:jc w:val="left"/>
      </w:pPr>
      <w:r>
        <w:rPr>
          <w:b w:val="false"/>
          <w:bCs w:val="false"/>
          <w:i w:val="false"/>
          <w:iCs w:val="false"/>
          <w:sz w:val="22"/>
          <w:szCs w:val="22"/>
        </w:rPr>
        <w:t xml:space="preserve">Vector D treats unsupervised methods as exploratory topology tools, not as latent causal discovery engines. Cluster structure is always discoverable in sufficiently high-dimensional spaces; its mere presence carries no inferential weight.</w:t>
      </w:r>
    </w:p>
    <w:p>
      <w:pPr>
        <w:spacing w:after="60" w:before="60"/>
        <w:jc w:val="left"/>
      </w:pPr>
      <w:r>
        <w:rPr>
          <w:b w:val="false"/>
          <w:bCs w:val="false"/>
          <w:i w:val="false"/>
          <w:iCs w:val="false"/>
          <w:sz w:val="22"/>
          <w:szCs w:val="22"/>
        </w:rPr>
        <w:t xml:space="preserve">Cluster structure alone will not be interpreted as evidence of underlying physical classes absent (i) cross-resample stability under repeated subsampling of the exploratory partition, (ii) reproducibility across independent halves of the exploratory partition, and (iii) demonstrable downstream predictive relevance under supervised modeling on the same partition. Latent-class narratives are inadmissible as exploratory conclusions and may not appear in the eventual Paper 2 manuscript unless the three preconditions above are met and explicitly reported.</w:t>
      </w:r>
    </w:p>
    <w:p>
      <w:pPr>
        <w:pStyle w:val="Heading2"/>
        <w:spacing w:after="120" w:before="220"/>
      </w:pPr>
      <w:r>
        <w:rPr>
          <w:b/>
          <w:bCs/>
          <w:sz w:val="26"/>
          <w:szCs w:val="26"/>
        </w:rPr>
        <w:t xml:space="preserve">4.3. Vector E methodological framing</w:t>
      </w:r>
    </w:p>
    <w:p>
      <w:pPr>
        <w:spacing w:after="60" w:before="60"/>
        <w:jc w:val="left"/>
      </w:pPr>
      <w:r>
        <w:rPr>
          <w:b w:val="false"/>
          <w:bCs w:val="false"/>
          <w:i w:val="false"/>
          <w:iCs w:val="false"/>
          <w:sz w:val="22"/>
          <w:szCs w:val="22"/>
        </w:rPr>
        <w:t xml:space="preserve">Vector E tests the stakes-intensification question: do geometric signals detectable in regular-season (RS) data sharpen, attenuate, or shift under the post-season (PS) regime? The framing is intentionally agnostic to direction; the empirical question is whether the RS and PS regimes produce statistically distinguishable signal geometries on the same feature substrate.</w:t>
      </w:r>
    </w:p>
    <w:p>
      <w:pPr>
        <w:spacing w:after="60" w:before="60"/>
        <w:jc w:val="left"/>
      </w:pPr>
      <w:r>
        <w:rPr>
          <w:b w:val="false"/>
          <w:bCs w:val="false"/>
          <w:i w:val="false"/>
          <w:iCs w:val="false"/>
          <w:sz w:val="22"/>
          <w:szCs w:val="22"/>
        </w:rPr>
        <w:t xml:space="preserve">Four confounds are acknowledged in advance and must be controlled or explicitly disclosed in any Vector E analysis:</w:t>
      </w:r>
    </w:p>
    <w:p>
      <w:pPr>
        <w:pStyle w:val="ListParagraph"/>
        <w:numPr>
          <w:ilvl w:val="0"/>
          <w:numId w:val="2"/>
        </w:numPr>
        <w:spacing w:after="40" w:before="40"/>
      </w:pPr>
      <w:r>
        <w:rPr>
          <w:sz w:val="22"/>
          <w:szCs w:val="22"/>
        </w:rPr>
        <w:t xml:space="preserve">Sample asymmetry. The post-season subset is approximately 1.5% of the full event base (≈ 800–900 PS games against ≈ 56,700 RS games across 2000–2024). PS-only tail counts (HS, LS, BHW, GHL) are small, and Vector E analyses rely on effect-size estimation with bootstrap confidence intervals rather than on null-against-uniform tests calibrated for large samples.</w:t>
      </w:r>
    </w:p>
    <w:p>
      <w:pPr>
        <w:pStyle w:val="ListParagraph"/>
        <w:numPr>
          <w:ilvl w:val="0"/>
          <w:numId w:val="2"/>
        </w:numPr>
        <w:spacing w:after="40" w:before="40"/>
      </w:pPr>
      <w:r>
        <w:rPr>
          <w:sz w:val="22"/>
          <w:szCs w:val="22"/>
        </w:rPr>
        <w:t xml:space="preserve">Calendar-window confound. PS games are concentrated in a narrow late-autumn calendar window (≈ early October through early November); RS games span April through September. Any RS → PS signal shift therefore contains a coverage-window component on top of any stakes component. RS-October-only subsetting is one diagnostic for partial deconfounding.</w:t>
      </w:r>
    </w:p>
    <w:p>
      <w:pPr>
        <w:pStyle w:val="ListParagraph"/>
        <w:numPr>
          <w:ilvl w:val="0"/>
          <w:numId w:val="2"/>
        </w:numPr>
        <w:spacing w:after="40" w:before="40"/>
      </w:pPr>
      <w:r>
        <w:rPr>
          <w:sz w:val="22"/>
          <w:szCs w:val="22"/>
        </w:rPr>
        <w:t xml:space="preserve">Team-selection confound. PS teams are non-random subsets of RS teams (the league's higher-performing teams in any given season). RS → PS signal shifts may therefore reflect competitive-quality selection rather than stakes per se. Restricting RS comparisons to games involving teams that ultimately reached the PS that year is one diagnostic for partial deconfounding.</w:t>
      </w:r>
    </w:p>
    <w:p>
      <w:pPr>
        <w:pStyle w:val="ListParagraph"/>
        <w:numPr>
          <w:ilvl w:val="0"/>
          <w:numId w:val="2"/>
        </w:numPr>
        <w:spacing w:after="40" w:before="40"/>
      </w:pPr>
      <w:r>
        <w:rPr>
          <w:sz w:val="22"/>
          <w:szCs w:val="22"/>
        </w:rPr>
        <w:t xml:space="preserve">Operational-scheduling confound (broadcast / start-time / travel structure). PS games are concentrated in broadcast-driven late-afternoon and evening start-time windows, are played under colder weather, involve different travel and rest patterns, and concentrate in a smaller and more latitude-clustered set of host cities than RS. These factors collectively compress the G-AZ (horizon-projection) coverage of the PS subset and may compress short-period body coverage in other frames as well. The operational-scheduling and calendar-window confounds are partially coupled through the apparent-azimuth distribution; this confound is therefore the mechanism that makes the G-AZ frame mechanistically the most sensitive — and the most artifact-prone — frame for Vector E. Diagnostics include matched-time-of-day RS subsetting and per-frame coverage-tier audits paralleling Paper 1's coverage-clean vs coverage-conditional protocol.</w:t>
      </w:r>
    </w:p>
    <w:p>
      <w:pPr>
        <w:spacing w:after="60" w:before="60"/>
        <w:jc w:val="left"/>
      </w:pPr>
      <w:r>
        <w:rPr>
          <w:b w:val="false"/>
          <w:bCs w:val="false"/>
          <w:i w:val="false"/>
          <w:iCs w:val="false"/>
          <w:sz w:val="22"/>
          <w:szCs w:val="22"/>
        </w:rPr>
        <w:t xml:space="preserve">Stakes-intensification claims that survive the four diagnostics above are admissible as architecture-discovery signals under §1; they are not admissible as inferential conclusions until restated and tested under the Paper 2 pre-registration on the confirmatory hold-out.</w:t>
      </w:r>
    </w:p>
    <w:p>
      <w:pPr>
        <w:pStyle w:val="Heading1"/>
        <w:spacing w:after="140" w:before="280"/>
      </w:pPr>
      <w:r>
        <w:rPr>
          <w:b/>
          <w:bCs/>
          <w:sz w:val="32"/>
          <w:szCs w:val="32"/>
        </w:rPr>
        <w:t xml:space="preserve">5. Outcome-class operational definitions and stratification axes</w:t>
      </w:r>
    </w:p>
    <w:p>
      <w:pPr>
        <w:pStyle w:val="Heading2"/>
        <w:spacing w:after="120" w:before="220"/>
      </w:pPr>
      <w:r>
        <w:rPr>
          <w:b/>
          <w:bCs/>
          <w:sz w:val="26"/>
          <w:szCs w:val="26"/>
        </w:rPr>
        <w:t xml:space="preserve">5.1. Outcome-class families</w:t>
      </w:r>
    </w:p>
    <w:p>
      <w:pPr>
        <w:spacing w:after="60" w:before="60"/>
        <w:jc w:val="left"/>
      </w:pPr>
      <w:r>
        <w:rPr>
          <w:b w:val="false"/>
          <w:bCs w:val="false"/>
          <w:i w:val="false"/>
          <w:iCs w:val="false"/>
          <w:sz w:val="22"/>
          <w:szCs w:val="22"/>
        </w:rPr>
        <w:t xml:space="preserve">Two outcome-class families are admitted under this Charter: total-runs tails (Paper 1 inheritance) and margin-polarity tails (Vector C). Numerical thresholds within each family are revisable during exploration; the family-level conceptual partition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Label</w:t>
            </w:r>
          </w:p>
        </w:tc>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Class family</w:t>
            </w:r>
          </w:p>
        </w:tc>
        <w:tc>
          <w:tcPr>
            <w:tcW w:type="dxa" w:w="536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Operational definition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HS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Total-runs tail</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Total runs ≥ 16 (inherited from Paper 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LS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Total-runs tail</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Total runs ≤ 3 (inherited from Paper 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BHW</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Margin-polarity tail</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Home-team final margin ≥ +5 — "Big Home Win."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GHL</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Margin-polarity tail</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Home-team final margin ≤ −5 — "Gutting Home Loss."</w:t>
            </w:r>
          </w:p>
        </w:tc>
      </w:tr>
    </w:tbl>
    <w:p>
      <w:pPr>
        <w:spacing w:after="120" w:before="120"/>
      </w:pPr>
      <w:r>
        <w:t xml:space="preserve"/>
      </w:r>
    </w:p>
    <w:p>
      <w:pPr>
        <w:spacing w:after="60" w:before="60"/>
        <w:jc w:val="left"/>
      </w:pPr>
      <w:r>
        <w:rPr>
          <w:b w:val="false"/>
          <w:bCs w:val="false"/>
          <w:i w:val="false"/>
          <w:iCs w:val="false"/>
          <w:sz w:val="22"/>
          <w:szCs w:val="22"/>
        </w:rPr>
        <w:t xml:space="preserve">The total-runs and margin-polarity families are conceptually distinct rather than redundant: total-runs tails confound offense, defense, weather, park effects, and extra-inning chaos, while margin-polarity tails are conditioned on the home team and isolate competitive-dominance asymmetry. If margin-polarity targets prove more stable, more balanced, or more interpretable under exploration, that finding is itself reportable as a structural observation about MLB outcome geometry.</w:t>
      </w:r>
    </w:p>
    <w:p>
      <w:pPr>
        <w:pStyle w:val="Heading2"/>
        <w:spacing w:after="120" w:before="220"/>
      </w:pPr>
      <w:r>
        <w:rPr>
          <w:b/>
          <w:bCs/>
          <w:sz w:val="26"/>
          <w:szCs w:val="26"/>
        </w:rPr>
        <w:t xml:space="preserve">5.2. Stratification axes</w:t>
      </w:r>
    </w:p>
    <w:p>
      <w:pPr>
        <w:spacing w:after="60" w:before="60"/>
        <w:jc w:val="left"/>
      </w:pPr>
      <w:r>
        <w:rPr>
          <w:b w:val="false"/>
          <w:bCs w:val="false"/>
          <w:i w:val="false"/>
          <w:iCs w:val="false"/>
          <w:sz w:val="22"/>
          <w:szCs w:val="22"/>
        </w:rPr>
        <w:t xml:space="preserve">One stratification axis is admitted under this Charter: the competitive-stakes regime (RS vs PS). The stratification is orthogonal to the outcome-class families of §5.1; any of the four outcome classes (HS, LS, BHW, GHL) may be conditioned on either stratum, yielding eight admissible outcome × stratum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Label</w:t>
            </w:r>
          </w:p>
        </w:tc>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Stratification axis</w:t>
            </w:r>
          </w:p>
        </w:tc>
        <w:tc>
          <w:tcPr>
            <w:tcW w:type="dxa" w:w="536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Operational definition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RS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Competitive-stakes regime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Regular-season games. Approximately 56,700 events across 2000–2024.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sz w:val="20"/>
                <w:szCs w:val="20"/>
              </w:rPr>
              <w:t xml:space="preserve">PS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Competitive-stakes regime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Post-season games: division series, league championship series, and World Series. Approximately 800–900 events across 2000–2024.</w:t>
            </w:r>
          </w:p>
        </w:tc>
      </w:tr>
    </w:tbl>
    <w:p>
      <w:pPr>
        <w:spacing w:after="120" w:before="120"/>
      </w:pPr>
      <w:r>
        <w:t xml:space="preserve"/>
      </w:r>
    </w:p>
    <w:p>
      <w:pPr>
        <w:spacing w:after="60" w:before="60"/>
        <w:jc w:val="left"/>
      </w:pPr>
      <w:r>
        <w:rPr>
          <w:b w:val="false"/>
          <w:bCs w:val="false"/>
          <w:i w:val="false"/>
          <w:iCs w:val="false"/>
          <w:sz w:val="22"/>
          <w:szCs w:val="22"/>
        </w:rPr>
        <w:t xml:space="preserve">The stratification is implemented as an event-level lookup table (paper2_sandbox/event_stratum_manifest_v1_0.csv with columns event_id, stratum ∈ {regular_season, post_season}) constructed from the existing date-bearing Paper 1 per-event artifacts. The lookup is a sandbox artifact and does not modify any locked Paper 1 file. Construction code goes in the Tier 1 stratification-manifest cell.</w:t>
      </w:r>
    </w:p>
    <w:p>
      <w:pPr>
        <w:spacing w:after="60" w:before="60"/>
        <w:jc w:val="left"/>
      </w:pPr>
      <w:r>
        <w:rPr>
          <w:b w:val="false"/>
          <w:bCs w:val="false"/>
          <w:i w:val="false"/>
          <w:iCs w:val="false"/>
          <w:sz w:val="22"/>
          <w:szCs w:val="22"/>
        </w:rPr>
        <w:t xml:space="preserve">Additional stratification axes (era partitions, scoring-environment partitions, park-class partitions) are not admitted under v0.2 and require a v0.x → v0.(x+1) charter revision with ChatG hostile review.</w:t>
      </w:r>
    </w:p>
    <w:p>
      <w:pPr>
        <w:pStyle w:val="Heading1"/>
        <w:spacing w:after="140" w:before="280"/>
      </w:pPr>
      <w:r>
        <w:rPr>
          <w:b/>
          <w:bCs/>
          <w:sz w:val="32"/>
          <w:szCs w:val="32"/>
        </w:rPr>
        <w:t xml:space="preserve">6. Modeling-architecture inventory</w:t>
      </w:r>
    </w:p>
    <w:p>
      <w:pPr>
        <w:spacing w:after="60" w:before="60"/>
        <w:jc w:val="left"/>
      </w:pPr>
      <w:r>
        <w:rPr>
          <w:b w:val="false"/>
          <w:bCs w:val="false"/>
          <w:i w:val="false"/>
          <w:iCs w:val="false"/>
          <w:sz w:val="22"/>
          <w:szCs w:val="22"/>
        </w:rPr>
        <w:t xml:space="preserve">The following model families are admissible during sandbox exploration. Inclusion of any family in the eventual Paper 2 pre-registration is a separate commitment made at conversion (§8).</w:t>
      </w:r>
    </w:p>
    <w:p>
      <w:pPr>
        <w:pStyle w:val="ListParagraph"/>
        <w:numPr>
          <w:ilvl w:val="0"/>
          <w:numId w:val="2"/>
        </w:numPr>
        <w:spacing w:after="40" w:before="40"/>
      </w:pPr>
      <w:r>
        <w:rPr>
          <w:sz w:val="22"/>
          <w:szCs w:val="22"/>
        </w:rPr>
        <w:t xml:space="preserve">Logistic regression — with and without coverage-aware sample weighting; with and without hierarchical / mixed-effects structure over the natural OMNI panel hierarchy.</w:t>
      </w:r>
    </w:p>
    <w:p>
      <w:pPr>
        <w:pStyle w:val="ListParagraph"/>
        <w:numPr>
          <w:ilvl w:val="0"/>
          <w:numId w:val="2"/>
        </w:numPr>
        <w:spacing w:after="40" w:before="40"/>
      </w:pPr>
      <w:r>
        <w:rPr>
          <w:sz w:val="22"/>
          <w:szCs w:val="22"/>
        </w:rPr>
        <w:t xml:space="preserve">Gradient-boosted decision trees — XGBoost, LightGBM, CatBoost. Treated as the default flat-tabular benchmark.</w:t>
      </w:r>
    </w:p>
    <w:p>
      <w:pPr>
        <w:pStyle w:val="ListParagraph"/>
        <w:numPr>
          <w:ilvl w:val="0"/>
          <w:numId w:val="2"/>
        </w:numPr>
        <w:spacing w:after="40" w:before="40"/>
      </w:pPr>
      <w:r>
        <w:rPr>
          <w:sz w:val="22"/>
          <w:szCs w:val="22"/>
        </w:rPr>
        <w:t xml:space="preserve">Random forests and conditional inference trees.</w:t>
      </w:r>
    </w:p>
    <w:p>
      <w:pPr>
        <w:pStyle w:val="ListParagraph"/>
        <w:numPr>
          <w:ilvl w:val="0"/>
          <w:numId w:val="2"/>
        </w:numPr>
        <w:spacing w:after="40" w:before="40"/>
      </w:pPr>
      <w:r>
        <w:rPr>
          <w:sz w:val="22"/>
          <w:szCs w:val="22"/>
        </w:rPr>
        <w:t xml:space="preserve">Hierarchical Bayesian and partially-pooled mixed-effects logistic models — first-class consideration, not afterthought (see Modeling Philosophy below). The RS / PS stratification is admissible as an additional grouping factor.</w:t>
      </w:r>
    </w:p>
    <w:p>
      <w:pPr>
        <w:pStyle w:val="ListParagraph"/>
        <w:numPr>
          <w:ilvl w:val="0"/>
          <w:numId w:val="2"/>
        </w:numPr>
        <w:spacing w:after="40" w:before="40"/>
      </w:pPr>
      <w:r>
        <w:rPr>
          <w:sz w:val="22"/>
          <w:szCs w:val="22"/>
        </w:rPr>
        <w:t xml:space="preserve">Angular-equivariant architectures operating on per-feature smoothed_360 input vectors — Tier 3 speculative R&amp;D per §4.1; not a core sandbox priority.</w:t>
      </w:r>
    </w:p>
    <w:p>
      <w:pPr>
        <w:spacing w:after="120" w:before="120"/>
      </w:pPr>
      <w:r>
        <w:t xml:space="preserve"/>
      </w:r>
    </w:p>
    <w:p>
      <w:pPr>
        <w:pStyle w:val="Heading2"/>
        <w:spacing w:after="120" w:before="220"/>
      </w:pPr>
      <w:r>
        <w:rPr>
          <w:b/>
          <w:bCs/>
          <w:sz w:val="26"/>
          <w:szCs w:val="26"/>
        </w:rPr>
        <w:t xml:space="preserve">6.1. Modeling philosophy</w:t>
      </w:r>
    </w:p>
    <w:p>
      <w:pPr>
        <w:spacing w:after="60" w:before="60"/>
        <w:jc w:val="left"/>
      </w:pPr>
      <w:r>
        <w:rPr>
          <w:b/>
          <w:bCs/>
          <w:sz w:val="22"/>
          <w:szCs w:val="22"/>
        </w:rPr>
        <w:t xml:space="preserve">Calibration before discrimination. </w:t>
      </w:r>
      <w:r>
        <w:rPr>
          <w:sz w:val="22"/>
          <w:szCs w:val="22"/>
        </w:rPr>
        <w:t xml:space="preserve">Well-calibrated probabilistic estimation is treated as more scientifically valuable than maximal discrimination alone. Rare-event prediction is governed by the quality of the predicted probability surface, not by the ability to separate classes at a single threshold. Log-loss, Brier score, and reliability-diagram inspection are primary metrics; ROC-AUC and PR-AUC are secondary and may not be reported in isolation. Discrimination-only headlines are inadmissible as exploratory conclusions.</w:t>
      </w:r>
    </w:p>
    <w:p>
      <w:pPr>
        <w:spacing w:after="60" w:before="60"/>
        <w:jc w:val="left"/>
      </w:pPr>
      <w:r>
        <w:rPr>
          <w:b/>
          <w:bCs/>
          <w:sz w:val="22"/>
          <w:szCs w:val="22"/>
        </w:rPr>
        <w:t xml:space="preserve">Hierarchy before flat aggregation. </w:t>
      </w:r>
      <w:r>
        <w:rPr>
          <w:sz w:val="22"/>
          <w:szCs w:val="22"/>
        </w:rPr>
        <w:t xml:space="preserve">The OMNI panel is intrinsically hierarchical: origin → frame → construction class → body class → coverage regime → persistence class, with the RS / PS stratum nested or crossed depending on the modeling question. Flat models that ignore this hierarchy waste information and inflate apparent uncertainty on sparse cells. Hierarchical Bayesian and mixed-effects logistic structures are prioritized over flat alternatives wherever the hierarchy is informative, particularly for sparse-body stabilization, coverage correction, PS-stratum sample-size stabilization, and uncertainty estimation. This is anticipated to be one of the more academically interesting methodological contributions of Paper 2.</w:t>
      </w:r>
    </w:p>
    <w:p>
      <w:pPr>
        <w:spacing w:after="60" w:before="60"/>
        <w:jc w:val="left"/>
      </w:pPr>
      <w:r>
        <w:rPr>
          <w:b/>
          <w:bCs/>
          <w:sz w:val="22"/>
          <w:szCs w:val="22"/>
        </w:rPr>
        <w:t xml:space="preserve">Speculative architectures last. </w:t>
      </w:r>
      <w:r>
        <w:rPr>
          <w:sz w:val="22"/>
          <w:szCs w:val="22"/>
        </w:rPr>
        <w:t xml:space="preserve">Angular-equivariant and other neural-geometric architectures are Tier 3. Premature investment in equivariant models risks over-engineering against an underspecified target. Such architectures are admissible only after target architecture, feature representation, latent topology, and calibration behavior of standard families have been characterized on the exploratory partition.</w:t>
      </w:r>
    </w:p>
    <w:p>
      <w:pPr>
        <w:pStyle w:val="Heading1"/>
        <w:spacing w:after="140" w:before="280"/>
      </w:pPr>
      <w:r>
        <w:rPr>
          <w:b/>
          <w:bCs/>
          <w:sz w:val="32"/>
          <w:szCs w:val="32"/>
        </w:rPr>
        <w:t xml:space="preserve">7. Exploration log</w:t>
      </w:r>
    </w:p>
    <w:p>
      <w:pPr>
        <w:spacing w:after="60" w:before="60"/>
        <w:jc w:val="left"/>
      </w:pPr>
      <w:r>
        <w:rPr>
          <w:b w:val="false"/>
          <w:bCs w:val="false"/>
          <w:i w:val="false"/>
          <w:iCs w:val="false"/>
          <w:sz w:val="22"/>
          <w:szCs w:val="22"/>
        </w:rPr>
        <w:t xml:space="preserve">A single append-only markdown file: paper2_sandbox/exploration_log.md.</w:t>
      </w:r>
    </w:p>
    <w:p>
      <w:pPr>
        <w:spacing w:after="60" w:before="60"/>
        <w:jc w:val="left"/>
      </w:pPr>
      <w:r>
        <w:rPr>
          <w:b w:val="false"/>
          <w:bCs w:val="false"/>
          <w:i w:val="false"/>
          <w:iCs w:val="false"/>
          <w:sz w:val="22"/>
          <w:szCs w:val="22"/>
        </w:rPr>
        <w:t xml:space="preserve">Each entry contains: ISO 8601 timestamp; entity considered (hypothesis, feature, model, outcome class, stratum, partition diagnostic); motivation; outcome; decision ∈ {continue, shelve, convert-to-registration-candidate}.</w:t>
      </w:r>
    </w:p>
    <w:p>
      <w:pPr>
        <w:spacing w:after="60" w:before="60"/>
        <w:jc w:val="left"/>
      </w:pPr>
      <w:r>
        <w:rPr>
          <w:b w:val="false"/>
          <w:bCs w:val="false"/>
          <w:i w:val="false"/>
          <w:iCs w:val="false"/>
          <w:sz w:val="22"/>
          <w:szCs w:val="22"/>
        </w:rPr>
        <w:t xml:space="preserve">The log is reviewed weekly by the PI and is the substrate for ChatG hostile review at the conversion threshold (§8). The log makes the Paper 2 pre-registration honest: the registration declares what is committed for confirmatory testing because the log shows what was considered, tried, and shelved. The log is also the project's audit trail for the researcher-degrees-of-freedom disclosure required under §3.1.</w:t>
      </w:r>
    </w:p>
    <w:p>
      <w:pPr>
        <w:pStyle w:val="Heading1"/>
        <w:spacing w:after="140" w:before="280"/>
      </w:pPr>
      <w:r>
        <w:rPr>
          <w:b/>
          <w:bCs/>
          <w:sz w:val="32"/>
          <w:szCs w:val="32"/>
        </w:rPr>
        <w:t xml:space="preserve">8. Conversion threshold</w:t>
      </w:r>
    </w:p>
    <w:p>
      <w:pPr>
        <w:spacing w:after="60" w:before="60"/>
        <w:jc w:val="left"/>
      </w:pPr>
      <w:r>
        <w:rPr>
          <w:b w:val="false"/>
          <w:bCs w:val="false"/>
          <w:i w:val="false"/>
          <w:iCs w:val="false"/>
          <w:sz w:val="22"/>
          <w:szCs w:val="22"/>
        </w:rPr>
        <w:t xml:space="preserve">The exploratory phase converts to a Paper 2 pre-registration draft when any of the following is met:</w:t>
      </w:r>
    </w:p>
    <w:p>
      <w:pPr>
        <w:pStyle w:val="ListParagraph"/>
        <w:numPr>
          <w:ilvl w:val="0"/>
          <w:numId w:val="3"/>
        </w:numPr>
        <w:spacing w:after="40" w:before="40"/>
      </w:pPr>
      <w:r>
        <w:rPr>
          <w:sz w:val="22"/>
          <w:szCs w:val="22"/>
        </w:rPr>
        <w:t xml:space="preserve">A research-question / hypothesis pair has been stably specified for ≥ 14 calendar days and survives a ChatG hostile review pass.</w:t>
      </w:r>
    </w:p>
    <w:p>
      <w:pPr>
        <w:pStyle w:val="ListParagraph"/>
        <w:numPr>
          <w:ilvl w:val="0"/>
          <w:numId w:val="3"/>
        </w:numPr>
        <w:spacing w:after="40" w:before="40"/>
      </w:pPr>
      <w:r>
        <w:rPr>
          <w:sz w:val="22"/>
          <w:szCs w:val="22"/>
        </w:rPr>
        <w:t xml:space="preserve">A modeling architecture (feature set + algorithm family + outcome class + stratum + evaluation metric) has been stably specified for ≥ 14 calendar days.</w:t>
      </w:r>
    </w:p>
    <w:p>
      <w:pPr>
        <w:pStyle w:val="ListParagraph"/>
        <w:numPr>
          <w:ilvl w:val="0"/>
          <w:numId w:val="3"/>
        </w:numPr>
        <w:spacing w:after="40" w:before="40"/>
      </w:pPr>
      <w:r>
        <w:rPr>
          <w:sz w:val="22"/>
          <w:szCs w:val="22"/>
        </w:rPr>
        <w:t xml:space="preserve">The PI judges that further exploration is yielding diminishing marginal information, with rationale committed to the exploration log.</w:t>
      </w:r>
    </w:p>
    <w:p>
      <w:pPr>
        <w:spacing w:after="120" w:before="120"/>
      </w:pPr>
      <w:r>
        <w:t xml:space="preserve"/>
      </w:r>
    </w:p>
    <w:p>
      <w:pPr>
        <w:spacing w:after="60" w:before="60"/>
        <w:jc w:val="left"/>
      </w:pPr>
      <w:r>
        <w:rPr>
          <w:b w:val="false"/>
          <w:bCs w:val="false"/>
          <w:i w:val="false"/>
          <w:iCs w:val="false"/>
          <w:sz w:val="22"/>
          <w:szCs w:val="22"/>
        </w:rPr>
        <w:t xml:space="preserve">At threshold: the Paper 2 pre-registration draft is written against the exploratory findings, hostile-reviewed by ChatG over ≥ 2 rounds, and submitted to OSF as a Paper 1 sibling registration. Only after OSF lock does the sandbox_seal_v1_0.lock sentinel admit access to the confirmatory hold-out, and confirmatory analysis on the hold-out begins.</w:t>
      </w:r>
    </w:p>
    <w:p>
      <w:pPr>
        <w:pStyle w:val="Heading1"/>
        <w:spacing w:after="140" w:before="280"/>
      </w:pPr>
      <w:r>
        <w:rPr>
          <w:b/>
          <w:bCs/>
          <w:sz w:val="32"/>
          <w:szCs w:val="32"/>
        </w:rPr>
        <w:t xml:space="preserve">9. Governance — locked vs free</w:t>
      </w:r>
    </w:p>
    <w:p>
      <w:pPr>
        <w:spacing w:after="60" w:before="60"/>
        <w:jc w:val="left"/>
      </w:pPr>
      <w:r>
        <w:rPr>
          <w:b/>
          <w:bCs/>
          <w:sz w:val="22"/>
          <w:szCs w:val="22"/>
        </w:rPr>
        <w:t xml:space="preserve">Locked. </w:t>
      </w:r>
      <w:r>
        <w:rPr>
          <w:sz w:val="22"/>
          <w:szCs w:val="22"/>
        </w:rPr>
        <w:t xml:space="preserve">Paper 1 outputs (registry, smoothed_360 files, per-event Drive artifacts); the partition seed and manifest hash; the hold-out sealing protocol; the conversion-threshold criteria; the five-vector landscape labels; the §4.2 Vector D framing constraints; the §4.3 Vector E framing constraints and the four named confounds; the §5.1 outcome-class family partition; the §5.2 RS / PS stratification axis and its operational definition; the §6.1 modeling-philosophy commitments.</w:t>
      </w:r>
    </w:p>
    <w:p>
      <w:pPr>
        <w:spacing w:after="60" w:before="60"/>
        <w:jc w:val="left"/>
      </w:pPr>
      <w:r>
        <w:rPr>
          <w:b/>
          <w:bCs/>
          <w:sz w:val="22"/>
          <w:szCs w:val="22"/>
        </w:rPr>
        <w:t xml:space="preserve">Free. </w:t>
      </w:r>
      <w:r>
        <w:rPr>
          <w:sz w:val="22"/>
          <w:szCs w:val="22"/>
        </w:rPr>
        <w:t xml:space="preserve">Feature engineering, model fitting, intermediate visualization, outcome-class threshold refinement within §5.1 family definitions, notebook organization, ChatG dialogue, internal naming conventions, tier-internal sequencing, choice of effect-size estimators and bootstrap procedures for Vector E.</w:t>
      </w:r>
    </w:p>
    <w:p>
      <w:pPr>
        <w:spacing w:after="60" w:before="60"/>
        <w:jc w:val="left"/>
      </w:pPr>
      <w:r>
        <w:rPr>
          <w:b w:val="false"/>
          <w:bCs w:val="false"/>
          <w:i w:val="false"/>
          <w:iCs w:val="false"/>
          <w:sz w:val="22"/>
          <w:szCs w:val="22"/>
        </w:rPr>
        <w:t xml:space="preserve">The OMNI engine cell_v2_batch_v2_0_2 is not modified during sandbox work. Engine modifications for Vector A constitute a separate workstream with its own version control and review gate.</w:t>
      </w:r>
    </w:p>
    <w:p>
      <w:pPr>
        <w:pStyle w:val="Heading1"/>
        <w:spacing w:after="140" w:before="280"/>
      </w:pPr>
      <w:r>
        <w:rPr>
          <w:b/>
          <w:bCs/>
          <w:sz w:val="32"/>
          <w:szCs w:val="32"/>
        </w:rPr>
        <w:t xml:space="preserve">10. Amendments</w:t>
      </w:r>
    </w:p>
    <w:p>
      <w:pPr>
        <w:spacing w:after="60" w:before="60"/>
        <w:jc w:val="left"/>
      </w:pPr>
      <w:r>
        <w:rPr>
          <w:b w:val="false"/>
          <w:bCs w:val="false"/>
          <w:i w:val="false"/>
          <w:iCs w:val="false"/>
          <w:sz w:val="22"/>
          <w:szCs w:val="22"/>
        </w:rPr>
        <w:t xml:space="preserve">This Charter is amendable by PI sign-off on a written amendment, committed to the GitHub paper2_sandbox/ directory and dated. Amendments to §3 (hold-out partition specification) are not permitted after the partition manifest is generated. Amendments to §5 are permitted within the conceptual family and stratum frames stated; conceptual additions (new outcome families, new stratification axes) require a v0.x → v0.(x+1) charter revision and ChatG hostile review.</w:t>
      </w:r>
    </w:p>
    <w:p>
      <w:pPr>
        <w:pStyle w:val="Heading1"/>
        <w:spacing w:after="140" w:before="280"/>
      </w:pPr>
      <w:r>
        <w:rPr>
          <w:b/>
          <w:bCs/>
          <w:sz w:val="32"/>
          <w:szCs w:val="32"/>
        </w:rPr>
        <w:t xml:space="preserve">11. Deliverables on sandbox closure</w:t>
      </w:r>
    </w:p>
    <w:p>
      <w:pPr>
        <w:pStyle w:val="ListParagraph"/>
        <w:numPr>
          <w:ilvl w:val="0"/>
          <w:numId w:val="3"/>
        </w:numPr>
        <w:spacing w:after="40" w:before="40"/>
      </w:pPr>
      <w:r>
        <w:rPr>
          <w:sz w:val="22"/>
          <w:szCs w:val="22"/>
        </w:rPr>
        <w:t xml:space="preserve">Sandbox Closure Summary (1–2 pages): what was explored, what was shelved, what converted to Paper 2 confirmatory commitments, and the researcher-degrees-of-freedom disclosure required under §3.1.</w:t>
      </w:r>
    </w:p>
    <w:p>
      <w:pPr>
        <w:pStyle w:val="ListParagraph"/>
        <w:numPr>
          <w:ilvl w:val="0"/>
          <w:numId w:val="3"/>
        </w:numPr>
        <w:spacing w:after="40" w:before="40"/>
      </w:pPr>
      <w:r>
        <w:rPr>
          <w:sz w:val="22"/>
          <w:szCs w:val="22"/>
        </w:rPr>
        <w:t xml:space="preserve">Paper 2 Pre-Registration v1 draft (drafted against exploratory findings; ChatG hostile review; OSF submission).</w:t>
      </w:r>
    </w:p>
    <w:p>
      <w:pPr>
        <w:pStyle w:val="ListParagraph"/>
        <w:numPr>
          <w:ilvl w:val="0"/>
          <w:numId w:val="3"/>
        </w:numPr>
        <w:spacing w:after="40" w:before="40"/>
      </w:pPr>
      <w:r>
        <w:rPr>
          <w:sz w:val="22"/>
          <w:szCs w:val="22"/>
        </w:rPr>
        <w:t xml:space="preserve">Frozen exploration_log.md, hashed and committed.</w:t>
      </w:r>
    </w:p>
    <w:p>
      <w:pPr>
        <w:pStyle w:val="Heading1"/>
        <w:spacing w:after="140" w:before="280"/>
      </w:pPr>
      <w:r>
        <w:rPr>
          <w:b/>
          <w:bCs/>
          <w:sz w:val="32"/>
          <w:szCs w:val="32"/>
        </w:rPr>
        <w:t xml:space="preserve">12. Document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Document</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OMNI Paper 2 Exploratory Sandbox Charter</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Version</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v0.3 (working draft, post ChatG third-pass review)</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Date</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25 May 2026</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PI</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Courtney</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Author</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Claude (drafting)</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Hostile review</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ChatG — v0, v0.1, v0.2 passes complete; v0.3 fourth pass scheduled at lock</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Status</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Working draft v0.3 awaiting PI sign-off and fourth ChatG pass; lock-candidate</w:t>
            </w:r>
          </w:p>
        </w:tc>
      </w:tr>
      <w:tr>
        <w:tc>
          <w:tcPr>
            <w:tcW w:type="dxa" w:w="2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Successor artifacts</w:t>
            </w:r>
          </w:p>
        </w:tc>
        <w:tc>
          <w:tcPr>
            <w:tcW w:type="dxa" w:w="6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holdout_manifest_v1_0.csv; event_stratum_manifest_v1_0.csv; exploration_log.md; Paper 2 Pre-Registration v1 (TBD)</w:t>
            </w:r>
          </w:p>
        </w:tc>
      </w:tr>
    </w:tbl>
    <w:p>
      <w:pPr>
        <w:pStyle w:val="Heading1"/>
        <w:spacing w:after="140" w:before="280"/>
      </w:pPr>
      <w:r>
        <w:rPr>
          <w:b/>
          <w:bCs/>
          <w:sz w:val="32"/>
          <w:szCs w:val="32"/>
        </w:rPr>
        <w:t xml:space="preserve">13. Changelog</w:t>
      </w:r>
    </w:p>
    <w:p>
      <w:pPr>
        <w:pStyle w:val="Heading2"/>
        <w:spacing w:after="120" w:before="220"/>
      </w:pPr>
      <w:r>
        <w:rPr>
          <w:b/>
          <w:bCs/>
          <w:sz w:val="26"/>
          <w:szCs w:val="26"/>
        </w:rPr>
        <w:t xml:space="preserve">v0.2 → v0.3 (25 May 2026)</w:t>
      </w:r>
    </w:p>
    <w:p>
      <w:pPr>
        <w:spacing w:after="60" w:before="60"/>
        <w:jc w:val="left"/>
      </w:pPr>
      <w:r>
        <w:rPr>
          <w:b w:val="false"/>
          <w:bCs w:val="false"/>
          <w:i w:val="false"/>
          <w:iCs w:val="false"/>
          <w:sz w:val="22"/>
          <w:szCs w:val="22"/>
        </w:rPr>
        <w:t xml:space="preserve">Revision in response to ChatG third-pass hostile review on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center"/>
            </w:pPr>
            <w:r>
              <w:rPr>
                <w:b/>
                <w:bCs/>
                <w:sz w:val="20"/>
                <w:szCs w:val="20"/>
              </w:rPr>
              <w:t xml:space="preserve">Source</w:t>
            </w:r>
          </w:p>
        </w:tc>
        <w:tc>
          <w:tcPr>
            <w:tcW w:type="dxa" w:w="240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Point</w:t>
            </w:r>
          </w:p>
        </w:tc>
        <w:tc>
          <w:tcPr>
            <w:tcW w:type="dxa" w:w="5460"/>
            <w:tcBorders>
              <w:top w:val="single" w:color="999999" w:sz="4"/>
              <w:left w:val="single" w:color="999999" w:sz="4"/>
              <w:bottom w:val="single" w:color="999999" w:sz="4"/>
              <w:right w:val="single" w:color="999999" w:sz="4"/>
            </w:tcBorders>
            <w:shd w:fill="DCE6F1" w:color="auto" w:val="clear"/>
            <w:tcMar>
              <w:top w:type="dxa" w:w="80"/>
              <w:left w:type="dxa" w:w="120"/>
              <w:bottom w:type="dxa" w:w="80"/>
              <w:right w:type="dxa" w:w="120"/>
            </w:tcMar>
          </w:tcPr>
          <w:p>
            <w:pPr>
              <w:jc w:val="left"/>
            </w:pPr>
            <w:r>
              <w:rPr>
                <w:b/>
                <w:bCs/>
                <w:sz w:val="20"/>
                <w:szCs w:val="20"/>
              </w:rPr>
              <w:t xml:space="preserve">v0.3 revision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ChatG third pass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Operational-scheduling confound (broadcast / start-time / travel structure)</w:t>
            </w:r>
          </w:p>
        </w:tc>
        <w:tc>
          <w:tcPr>
            <w:tcW w:type="dxa" w:w="5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sz w:val="20"/>
                <w:szCs w:val="20"/>
              </w:rPr>
              <w:t xml:space="preserve">§4.3 expanded with a fourth named confound covering broadcast-driven start-time clustering, weather, travel patterns, and host-city geographic concentration. The confound is documented as the mechanism that couples the operational-scheduling and calendar-window confounds through the apparent-azimuth distribution, making the G-AZ frame mechanistically the most sensitive and most artifact-prone for Vector E. Two diagnostics added: matched-time-of-day RS subsetting and per-frame coverage-tier audits paralleling the Paper 1 coverage-clean vs coverage-conditional protocol. §9 Locked list updated to reflect four named confounds.</w:t>
            </w:r>
          </w:p>
        </w:tc>
      </w:tr>
    </w:tbl>
    <w:p>
      <w:pPr>
        <w:spacing w:after="120" w:before="120"/>
      </w:pPr>
      <w:r>
        <w:t xml:space="preserve"/>
      </w:r>
    </w:p>
    <w:p>
      <w:pPr>
        <w:pStyle w:val="Heading2"/>
        <w:spacing w:after="120" w:before="220"/>
      </w:pPr>
      <w:r>
        <w:rPr>
          <w:b/>
          <w:bCs/>
          <w:sz w:val="26"/>
          <w:szCs w:val="26"/>
        </w:rPr>
        <w:t xml:space="preserve">Prior revisions (summary)</w:t>
      </w:r>
    </w:p>
    <w:p>
      <w:pPr>
        <w:spacing w:after="60" w:before="60"/>
        <w:jc w:val="left"/>
      </w:pPr>
      <w:r>
        <w:rPr>
          <w:b w:val="false"/>
          <w:bCs w:val="false"/>
          <w:i w:val="false"/>
          <w:iCs w:val="false"/>
          <w:sz w:val="22"/>
          <w:szCs w:val="22"/>
        </w:rPr>
        <w:t xml:space="preserve">v0 → v0.1: integration of seven ChatG first-pass issues (adaptive overfit, exploratory-vs-inferential firewall, Vector D framing, Vector C elevation to margin-polarity, angular-equivariant demotion, calibration-before-discrimination, hierarchical-before-flat) plus three-tier priority ordering.</w:t>
      </w:r>
    </w:p>
    <w:p>
      <w:pPr>
        <w:spacing w:after="60" w:before="60"/>
        <w:jc w:val="left"/>
      </w:pPr>
      <w:r>
        <w:rPr>
          <w:b w:val="false"/>
          <w:bCs w:val="false"/>
          <w:i w:val="false"/>
          <w:iCs w:val="false"/>
          <w:sz w:val="22"/>
          <w:szCs w:val="22"/>
        </w:rPr>
        <w:t xml:space="preserve">v0.1 → v0.2: integration of ChatG second-pass Final Issues 1 (macro-temporal dependence acknowledgment in §3.1) and 2 (tier ordering as epistemic, not merely operational), plus PI Vector E addition (competitive-stakes-regime stratification with three named confounds and dedicated §4.3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2026-05-25T16:27:39.345Z</dcterms:created>
  <dcterms:modified xsi:type="dcterms:W3CDTF">2026-05-25T16:27:39.362Z</dcterms:modified>
</cp:coreProperties>
</file>

<file path=docProps/custom.xml><?xml version="1.0" encoding="utf-8"?>
<Properties xmlns="http://schemas.openxmlformats.org/officeDocument/2006/custom-properties" xmlns:vt="http://schemas.openxmlformats.org/officeDocument/2006/docPropsVTypes"/>
</file>