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sz w:val="36"/>
          <w:szCs w:val="36"/>
        </w:rPr>
        <w:t xml:space="preserve">PHASE 1.5 PRE-REGISTRATION v1.1-final</w:t>
      </w:r>
    </w:p>
    <w:p>
      <w:pPr>
        <w:spacing w:after="60"/>
        <w:jc w:val="center"/>
      </w:pPr>
      <w:r>
        <w:rPr>
          <w:sz w:val="24"/>
          <w:szCs w:val="24"/>
        </w:rPr>
        <w:t xml:space="preserve">OMNI Geometry MLB — Paper 1</w:t>
      </w:r>
    </w:p>
    <w:p>
      <w:pPr>
        <w:spacing w:after="240"/>
        <w:jc w:val="center"/>
      </w:pPr>
      <w:r>
        <w:rPr>
          <w:i/>
          <w:iCs/>
        </w:rPr>
        <w:t xml:space="preserve">Spectral, Coherence, and Frame-Invariance Analysis on Locked Smoothed-360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PI</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Courtney Roberts Conrad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Copyright</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 2026 Courtney Roberts Conrad. All rights reserved.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OSF</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https://osf.io/yhxt4/overview</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GitHub</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omni-geometry-mlb (private)</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Engine (Phase 1)</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cell_v2_batch_v2_0_2 (schema 2.0.2; locked)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Workflow</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OMNI_Workflow_v1 §7 + Phase 1.5 amendment (this document)</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Predecessors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Six Phase 1 Batch Summaries (Asc, MC, VX, EA, MO, ME — all locked)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Document version</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Phase 1.5 Pre-Registration v1.1-final — ChatG sign-off received; lock-ready for OSF registration</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Status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Lock-ready for OSF registration; PI approval pending</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Registration policy</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All decisions in this document are LOCKED before any spectral analysis is performed. Any deviation is treated as exploratory secondary analysis and reported as such.</w:t>
            </w:r>
          </w:p>
        </w:tc>
      </w:tr>
    </w:tbl>
    <w:p>
      <w:r>
        <w:t xml:space="preserve"/>
      </w:r>
    </w:p>
    <w:p>
      <w:pPr>
        <w:pStyle w:val="Heading1"/>
        <w:spacing w:after="180" w:before="360"/>
      </w:pPr>
      <w:r>
        <w:t xml:space="preserve">§1. Purpose and Scope</w:t>
      </w:r>
    </w:p>
    <w:p>
      <w:pPr>
        <w:spacing w:after="80" w:before="80"/>
      </w:pPr>
      <w:r>
        <w:t xml:space="preserve">This document pre-registers the methodology, statistical procedures, null models, success criteria, and reporting framework for Phase 1.5 of the OMNI Geometry MLB study, prior to any spectral, harmonic, coherence, or frame-invariance analysis being performed on the locked Phase 1 outputs. It is intended to function as a high-rigor protocol-style pre-registration: every methodological choice is specified in advance with sufficient precision that an independent analyst could reproduce the analysis from this document plus the locked engine and locked data, and any analytical decision not specified herein is by definition exploratory and will be reported as such.</w:t>
      </w:r>
    </w:p>
    <w:p>
      <w:pPr>
        <w:spacing w:after="80" w:before="80"/>
      </w:pPr>
      <w:r>
        <w:t xml:space="preserve">Phase 1 of the OMNI Geometry MLB study established, across six origin batches and 1,482 confirmatory evaluations, that angular-separation features computed between identified astronomical points and target bodies produce statistically supported associations with game-event outcome variables (high-scoring versus low-scoring game classifications) under systematically varying astronomical geometric configurations across the 25-year MLB sample window. Phase 1's confirmatory machinery operated on a single statistic per feature — the peak smoothed lift at the locked-window peak degree — together with a count-floor and lift-floor support criterion (lift &gt; 1.15; smoothed count ≥ 30; successful Phase A lock). The Phase 1 results have been documented across six locked Batch Summaries and consolidated in Section 3 (Results) of Paper 1.</w:t>
      </w:r>
    </w:p>
    <w:p>
      <w:pPr>
        <w:spacing w:after="80" w:before="80"/>
      </w:pPr>
      <w:r>
        <w:t xml:space="preserve">Phase 1.5 extends the analysis from a single statistic per feature to the complete 360°-resolved waveform represented by each feature's locked smoothed_360 CSV. The analytical question shifts from 'does this feature exhibit a peak that satisfies the H1 support criterion' to 'does the angular structure of this feature, considered as a function on the circle, exhibit organization that is statistically inconsistent with exchangeable-noise circular processes under multiple constrained null models'. The latter question is strictly more demanding than the former: a feature can satisfy H1 support purely on the basis of a single localized peak, but waveform-level structural inconsistency with the null requires angular organization across many degrees, coherent across coordinate frames, persistent across temporal partitions, and reproducible across structurally related features. Phase 1.5 is therefore not a re-test of Phase 1's conclusions but a formally distinct analysis with its own success and failure criteria, applied to the same locked data.</w:t>
      </w:r>
    </w:p>
    <w:p>
      <w:pPr>
        <w:spacing w:after="80" w:before="80"/>
      </w:pPr>
      <w:r>
        <w:t xml:space="preserve">Phase 1.5 pre-registers a three-stage gated procedure (1.5A calibration on a locked 10-feature set, 1.5B cross-origin comparison on locked predictions, 1.5C full-panel inference on all 1,482 features), five locked test statistics with two distinct null families and explicit surrogate procedures, comprehensive confounder pre-registration with quantitative artifact bounds, multiple-comparison architecture under FDR control, and binary advancement criteria with three named outcome states (primary inferential escalation, secondary exploratory escalation, no confirmatory escalation). Every numerical threshold and procedural choice is locked here. Wavelet, multiscale, manifold-learning, and topological methods are explicitly deferred and are not part of this pre-registration; if such methods are deployed at a later stage, they will be the subject of a separate Phase 1.5D pre-registration.</w:t>
      </w:r>
    </w:p>
    <w:p>
      <w:pPr>
        <w:pStyle w:val="Heading1"/>
        <w:spacing w:after="180" w:before="360"/>
      </w:pPr>
      <w:r>
        <w:t xml:space="preserve">§2. Data Provenance and Sample Structure</w:t>
      </w:r>
    </w:p>
    <w:p>
      <w:pPr>
        <w:pStyle w:val="Heading2"/>
        <w:spacing w:after="120" w:before="240"/>
      </w:pPr>
      <w:r>
        <w:t xml:space="preserve">§2.1 Sample window</w:t>
      </w:r>
    </w:p>
    <w:p>
      <w:pPr>
        <w:spacing w:after="80" w:before="80"/>
      </w:pPr>
      <w:r>
        <w:t xml:space="preserve">The MLB sample window covers the seasons 2000 through 2024 inclusive — twenty-five MLB seasons. The dataset contains 57,635 game-event observations across this window. The Phase 1 confirmatory engine operated on this dataset without modification across all six batches. Phase 1.5 operates on the same dataset and the same locked Phase 1 outputs.</w:t>
      </w:r>
    </w:p>
    <w:p>
      <w:pPr>
        <w:pStyle w:val="Heading2"/>
        <w:spacing w:after="120" w:before="240"/>
      </w:pPr>
      <w:r>
        <w:t xml:space="preserve">§2.2 The 2002 sample asymmetry (pre-registered)</w:t>
      </w:r>
    </w:p>
    <w:p>
      <w:pPr>
        <w:spacing w:after="80" w:before="80"/>
      </w:pPr>
      <w:r>
        <w:t xml:space="preserve">A known asymmetry exists in the 2002 MLB season subset: Regular Season game start times were not available at the time of dataset construction and 2002 Regular Season games are therefore excluded from the dataset. However, 2002 Post-Season games are included because their start times were available. This asymmetry is documented here and is treated as a pre-registered known limitation of the data. Two consequences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Consequence</w:t>
            </w:r>
          </w:p>
        </w:tc>
        <w:tc>
          <w:tcPr>
            <w:tcW w:type="dxa" w:w="6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Mitigation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2002 season contributes fewer events than other seasons in the window, producing a small year-level inhomogeneity in event counts.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All Phase 1.5 inferences are performed both with and without 2002. The full-sample analysis is the primary; the 2002-excluded analysis is reported as a pre-registered sensitivity check.</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2002 events that are present (postseason only) are non-random with respect to team strength (only postseason teams contribute).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team-population sensitivity analysis (Section 5.5) explicitly tests for early-window vs late-window structural shifts and will detect any 2002-specific contamination.</w:t>
            </w:r>
          </w:p>
        </w:tc>
      </w:tr>
    </w:tbl>
    <w:p>
      <w:r>
        <w:t xml:space="preserve"/>
      </w:r>
    </w:p>
    <w:p>
      <w:pPr>
        <w:spacing w:after="80" w:before="80"/>
      </w:pPr>
      <w:r>
        <w:t xml:space="preserve">Pre-registered decision rule: if any primary spectral finding inverts when 2002 is dropped, the primary finding is downgraded from confirmatory to exploratory, regardless of its nominal p-value in the full-sample analysis.</w:t>
      </w:r>
    </w:p>
    <w:p>
      <w:pPr>
        <w:pStyle w:val="Heading2"/>
        <w:spacing w:after="120" w:before="240"/>
      </w:pPr>
      <w:r>
        <w:t xml:space="preserve">§2.3 Phase 1 locked outputs available to Phase 1.5</w:t>
      </w:r>
    </w:p>
    <w:p>
      <w:pPr>
        <w:spacing w:after="80" w:before="80"/>
      </w:pPr>
      <w:r>
        <w:t xml:space="preserve">Phase 1.5 has access to the following locked Phase 1 outputs and only these outputs. No new data acquisition or feature engineering is permitted within Phase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Phase 1 output</w:t>
            </w:r>
          </w:p>
        </w:tc>
        <w:tc>
          <w:tcPr>
            <w:tcW w:type="dxa" w:w="69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Description and Phase 1.5 usage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smoothed_360 CSVs (one per feature × per chunk)</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Per-feature angular-resolved data over 360° degrees: columns Degree, Rate, Count, Lift, Smoothed_Lift, Smoothed_Count. Phase 1.5 PRIMARY INPUT.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omni_feature_registry.csv</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Per-feature peak summary: 1,482 rows, each with peak_degree, peak_smoothed_lift, peak_smoothed_count, lock_succeeded, baseline_rate. Phase 1.5 uses for stratification only.</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temporal_persistence.csv</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Per-feature 3-block, 5-block, 7-block classifications. Phase 1.5 uses for the temporal-block harmonic persistence statistic.</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lift_vs_N CSVs</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N-scan diagnostic curves used during Phase 1 lock. Phase 1.5 does not use these as primary inputs.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Aspect feature CSVs (raw)</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Per-event raw aspect data. Phase 1.5 uses only for two specific procedures: (a) circular degree-label permutation null requires recomputing the smoothed_360 vector from a permuted event-degree assignment, (b) temporal-block partitioning for the harmonic persistence statistic. Both procedures are specified below.</w:t>
            </w:r>
          </w:p>
        </w:tc>
      </w:tr>
    </w:tbl>
    <w:p>
      <w:r>
        <w:t xml:space="preserve"/>
      </w:r>
    </w:p>
    <w:p>
      <w:pPr>
        <w:pStyle w:val="Heading2"/>
        <w:spacing w:after="120" w:before="240"/>
      </w:pPr>
      <w:r>
        <w:t xml:space="preserve">§2.4 Notation and symbols</w:t>
      </w:r>
    </w:p>
    <w:p>
      <w:pPr>
        <w:spacing w:after="80" w:before="80"/>
      </w:pPr>
      <w:r>
        <w:t xml:space="preserve">The following symbols are used consistently throughout §3 through §7. This table is provided to forestall notation drift and to allow rapid reference during execution and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Symbol</w:t>
            </w:r>
          </w:p>
        </w:tc>
        <w:tc>
          <w:tcPr>
            <w:tcW w:type="dxa" w:w="78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Definition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x[d]</w:t>
            </w:r>
          </w:p>
        </w:tc>
        <w:tc>
          <w:tcPr>
            <w:tcW w:type="dxa" w:w="7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Locked smoothed_360 vector (Smoothed_Lift) for a given feature, indexed by integer Degree d ∈ {0, 1, ..., 359}</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F_k</w:t>
            </w:r>
          </w:p>
        </w:tc>
        <w:tc>
          <w:tcPr>
            <w:tcW w:type="dxa" w:w="7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Discrete Fourier transform coefficient at harmonic index k, computed on the centered x[d]</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|F_k|</w:t>
            </w:r>
          </w:p>
        </w:tc>
        <w:tc>
          <w:tcPr>
            <w:tcW w:type="dxa" w:w="7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Amplitude of harmonic k (modulus of complex coefficient)</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φ_k</w:t>
            </w:r>
          </w:p>
        </w:tc>
        <w:tc>
          <w:tcPr>
            <w:tcW w:type="dxa" w:w="7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Phase of harmonic k, defined as arg(F_k) ∈ [−π, π]</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P_k</w:t>
            </w:r>
          </w:p>
        </w:tc>
        <w:tc>
          <w:tcPr>
            <w:tcW w:type="dxa" w:w="7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Power at harmonic k, defined as |F_k|²</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p_k</w:t>
            </w:r>
          </w:p>
        </w:tc>
        <w:tc>
          <w:tcPr>
            <w:tcW w:type="dxa" w:w="7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Normalized power at harmonic k, defined within the inferential band (k=1..20) as |F_k|² / Σ_{j=1..20} |F_j|²</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H</w:t>
            </w:r>
          </w:p>
        </w:tc>
        <w:tc>
          <w:tcPr>
            <w:tcW w:type="dxa" w:w="7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Spectral entropy: H = − Σ_{k=1..20} p_k · log₂(p_k); range [0, log₂(20)]</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w:t>
            </w:r>
          </w:p>
        </w:tc>
        <w:tc>
          <w:tcPr>
            <w:tcW w:type="dxa" w:w="7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Low-k concentration ratio: R = (Σ_{k=1..5} |F_k|²) / (Σ_{k=1..20} |F_k|²); range [0, 1]</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PLV_k</w:t>
            </w:r>
          </w:p>
        </w:tc>
        <w:tc>
          <w:tcPr>
            <w:tcW w:type="dxa" w:w="7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Cross-feature phase-locking value at harmonic k: PLV_k = | (1/N) Σ_{s} F_k^{(s)}/|F_k^{(s)}| |; range [0, 1]</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v_k</w:t>
            </w:r>
          </w:p>
        </w:tc>
        <w:tc>
          <w:tcPr>
            <w:tcW w:type="dxa" w:w="7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Frame-pair phase-shift coherence vector: v_k = (1/N) Σ_{s} exp(i · Δφ_k^{(s)}) where Δφ_k = φ_k^{forward} − φ_k^{inverse}</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ρ_persist</w:t>
            </w:r>
          </w:p>
        </w:tc>
        <w:tc>
          <w:tcPr>
            <w:tcW w:type="dxa" w:w="7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Temporal-block harmonic persistence: mean Spearman rank correlation across block-pair harmonic-power profiles</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w:t>
            </w:r>
          </w:p>
        </w:tc>
        <w:tc>
          <w:tcPr>
            <w:tcW w:type="dxa" w:w="7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Number of temporal blocks (B ∈ {3, 5, 7}; primary B = 7)</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w:t>
            </w:r>
          </w:p>
        </w:tc>
        <w:tc>
          <w:tcPr>
            <w:tcW w:type="dxa" w:w="7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Number of features in a coherent feature set for a given test</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k</w:t>
            </w:r>
          </w:p>
        </w:tc>
        <w:tc>
          <w:tcPr>
            <w:tcW w:type="dxa" w:w="7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Harmonic index; primary inferential range k = 1..20</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w:t>
            </w:r>
          </w:p>
        </w:tc>
        <w:tc>
          <w:tcPr>
            <w:tcW w:type="dxa" w:w="7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Degree index ∈ {0, 1, ..., 359}</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q</w:t>
            </w:r>
          </w:p>
        </w:tc>
        <w:tc>
          <w:tcPr>
            <w:tcW w:type="dxa" w:w="7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FDR threshold (Benjamini-Hochberg false discovery rate)</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α</w:t>
            </w:r>
          </w:p>
        </w:tc>
        <w:tc>
          <w:tcPr>
            <w:tcW w:type="dxa" w:w="7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Type-I error rate (used in family-wise error / Bonferroni reporting)</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w:t>
            </w:r>
          </w:p>
        </w:tc>
        <w:tc>
          <w:tcPr>
            <w:tcW w:type="dxa" w:w="7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Feature index within a coherent feature set</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w:t>
            </w:r>
          </w:p>
        </w:tc>
        <w:tc>
          <w:tcPr>
            <w:tcW w:type="dxa" w:w="7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Temporal block index b ∈ {1, ..., B}</w:t>
            </w:r>
          </w:p>
        </w:tc>
      </w:tr>
    </w:tbl>
    <w:p>
      <w:r>
        <w:t xml:space="preserve"/>
      </w:r>
    </w:p>
    <w:p>
      <w:pPr>
        <w:pStyle w:val="Heading1"/>
        <w:spacing w:after="180" w:before="360"/>
      </w:pPr>
      <w:r>
        <w:t xml:space="preserve">§3. Smoothing Specifications (Locked from Phase 1 Engine)</w:t>
      </w:r>
    </w:p>
    <w:p>
      <w:pPr>
        <w:spacing w:after="80" w:before="80"/>
      </w:pPr>
      <w:r>
        <w:t xml:space="preserve">Because Phase 1.5 operates on the locked smoothed_360 vectors produced by the Phase 1 engine, the smoothing parameters used during Phase 1 are inherited and locked here. The pre-registration of these parameters in this section is intended to make explicit the assumptions under which all Phase 1.5 spectra are computed, and to forestall any later claim that spectral structure is a smoothing artifact.</w:t>
      </w:r>
    </w:p>
    <w:p>
      <w:pPr>
        <w:pStyle w:val="Heading2"/>
        <w:spacing w:after="120" w:before="240"/>
      </w:pPr>
      <w:r>
        <w:t xml:space="preserve">§3.1 Smoothing kernel</w:t>
      </w:r>
    </w:p>
    <w:p>
      <w:pPr>
        <w:spacing w:after="80" w:before="80"/>
      </w:pPr>
      <w:r>
        <w:t xml:space="preserve">The Phase 1 engine (cell_v2_batch_v2_0_2, schema 2.0.2) applies circular smoothing to the per-degree count and lift vectors using a uniform (rectangular / boxcar) kernel of width equal to the locked window. The kernel operates on the 360-element circular vector with circular wrap-around at the 0°/360° boundary; no edge truncation occurs. The smoothing operation is: for each degree d in 0..359, the smoothed value at d is the unweighted mean of the raw values within the locked window centered on d.</w:t>
      </w:r>
    </w:p>
    <w:p>
      <w:pPr>
        <w:pStyle w:val="Heading2"/>
        <w:spacing w:after="120" w:before="240"/>
      </w:pPr>
      <w:r>
        <w:t xml:space="preserve">§3.2 Locked window per feature</w:t>
      </w:r>
    </w:p>
    <w:p>
      <w:pPr>
        <w:spacing w:after="80" w:before="80"/>
      </w:pPr>
      <w:r>
        <w:t xml:space="preserve">The locked window width is per-feature and is recorded in the omni_feature_registry.csv column 'window_locked'. The window-locking procedure is specified in OMNI_Workflow_v1 §6 and was applied uniformly to all 1,482 features across Phase 1. Phase 1.5 does NOT re-lock or modify any window. All spectra are computed on the smoothed_360 vectors as they were produced by the Phase 1 engine.</w:t>
      </w:r>
    </w:p>
    <w:p>
      <w:pPr>
        <w:pStyle w:val="Heading2"/>
        <w:spacing w:after="120" w:before="240"/>
      </w:pPr>
      <w:r>
        <w:t xml:space="preserve">§3.3 Spectral input vector specification</w:t>
      </w:r>
    </w:p>
    <w:p>
      <w:pPr>
        <w:spacing w:after="80" w:before="80"/>
      </w:pPr>
      <w:r>
        <w:t xml:space="preserve">For each feature, the input to spectral analysis is the Smoothed_Lift column of the feature's smoothed_360 CSV — a 360-element vector indexed by Degree from 0° to 359°. This vector is treated as a periodic function on the circle. No further smoothing, detrending, or windowing is applied prior to spectral analysis.</w:t>
      </w:r>
    </w:p>
    <w:p>
      <w:pPr>
        <w:pStyle w:val="Heading2"/>
        <w:spacing w:after="120" w:before="240"/>
      </w:pPr>
      <w:r>
        <w:t xml:space="preserve">§3.4 Centering and normalization</w:t>
      </w:r>
    </w:p>
    <w:p>
      <w:pPr>
        <w:spacing w:after="80" w:before="80"/>
      </w:pPr>
      <w:r>
        <w:t xml:space="preserve">Prior to discrete Fourier transform (DFT), the Smoothed_Lift vector is centered by subtraction of its circular mean, producing a zero-mean vector x[d] = Smoothed_Lift[d] − mean(Smoothed_Lift). This is standard practice for circular spectral analysis and removes the k=0 (DC) component, which would otherwise dominate the power spectrum and is uninformative about angular structure. No z-scoring or amplitude normalization is applied. The DFT is computed on the centered (but not scaled) vector. Spectral statistics that require normalization (e.g., low-k concentration ratio) perform their own normalization internally and are specified in §6.</w:t>
      </w:r>
    </w:p>
    <w:p>
      <w:pPr>
        <w:pStyle w:val="Heading2"/>
        <w:spacing w:after="120" w:before="240"/>
      </w:pPr>
      <w:r>
        <w:t xml:space="preserve">§3.5 DFT specification</w:t>
      </w:r>
    </w:p>
    <w:p>
      <w:pPr>
        <w:spacing w:after="80" w:before="80"/>
      </w:pPr>
      <w:r>
        <w:t xml:space="preserve">The DFT is computed using the standard length-360 unitary discrete Fourier transform: F_k = Σ x[d] exp(−2πi·k·d/360) for k = 0, 1, ..., 359. By the symmetry of the DFT for real input, F_k and F_{360−k} are complex conjugates; the unique harmonic content is contained in k = 0 (DC, removed by centering), k = 1..179 (positive-frequency harmonics), and k = 180 (Nyquist). The primary frequency range for inferential analysis is k = 1..20 (locked, see §3.6 for justification). Higher-k content (k = 21..179) is reported descriptively only.</w:t>
      </w:r>
    </w:p>
    <w:p>
      <w:pPr>
        <w:pStyle w:val="Heading2"/>
        <w:spacing w:after="120" w:before="240"/>
      </w:pPr>
      <w:r>
        <w:t xml:space="preserve">§3.6 Justification of the k = 1..20 inferential band</w:t>
      </w:r>
    </w:p>
    <w:p>
      <w:pPr>
        <w:spacing w:after="80" w:before="80"/>
      </w:pPr>
      <w:r>
        <w:t xml:space="preserve">The choice of k = 1..20 as the locked inferential range is principled rather than arbitrary, and is justified on three grounds. First, the conceptual content of the framework concerns large-scale circular organization — dipole (k=1), quadrupole (k=2), hexapole (k=3), and so on — through harmonics whose angular wavelengths exceed approximately 18° (360°/20). Below this scale, harmonic content describes local fine-grained variation rather than global circular structure, and is not the target of the framework's predictions about geometric organization. Second, the locked smoothing kernel from Phase 1 (boxcar of feature-specific window width, typically 15–45 degrees) attenuates harmonic content for k values whose angular period is below the smoothing window: harmonics with period less than the window width are mathematically reduced in amplitude by the smoothing, making them unreliable substrates for inference because they reflect smoothing-residual artifacts more than substantive structure. The k = 1..20 band corresponds to angular wavelengths of 18° and longer, generally exceeding typical smoothing windows and therefore retaining inferentially meaningful amplitude. Third, the multiple-comparison burden scales with the number of tested harmonics: locking the inferential band at 20 controls test count without sacrificing the conceptual range of interest. Higher harmonics (k = 21..179) are computed and archived in supplementary outputs but are reported only descriptively without inferential claims.</w:t>
      </w:r>
    </w:p>
    <w:p>
      <w:pPr>
        <w:pStyle w:val="Heading1"/>
        <w:spacing w:after="180" w:before="360"/>
      </w:pPr>
      <w:r>
        <w:t xml:space="preserve">§4. Staged Inferential Architecture</w:t>
      </w:r>
    </w:p>
    <w:p>
      <w:pPr>
        <w:spacing w:after="80" w:before="80"/>
      </w:pPr>
      <w:r>
        <w:t xml:space="preserve">Phase 1.5 is structured as three sequential stages, each with locked features, locked statistics, locked surrogate procedures, locked decision criteria, and locked outcome categories. The advancement language follows ChatG's pre-registration tone correction: outcomes are described as 'supports primary inferential escalation,' 'supports secondary exploratory escalation,' or 'does not support confirmatory escalation,' rather than as binary pass/fail.</w:t>
      </w:r>
    </w:p>
    <w:p>
      <w:pPr>
        <w:pStyle w:val="Heading2"/>
        <w:spacing w:after="120" w:before="240"/>
      </w:pPr>
      <w:r>
        <w:t xml:space="preserve">§4.1 Stage 1.5A — Calibration on MO-1 Tier A (LOCKED FEATURE SET)</w:t>
      </w:r>
    </w:p>
    <w:p>
      <w:pPr>
        <w:spacing w:after="80" w:before="80"/>
      </w:pPr>
      <w:r>
        <w:t xml:space="preserve">Stage 1.5A applies the full five-statistic test suite to a locked set of 10 features representing the cleanest possible stratum in the entire dataset: Mercury-excluded Tier A bodies under MO origin in the same-coordinate G-LON construction, both High and Low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Feature</w:t>
            </w:r>
          </w:p>
        </w:tc>
        <w:tc>
          <w:tcPr>
            <w:tcW w:type="dxa" w:w="58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Source</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 x MA G-LON (High)</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MO-1 chunk, registry row pair</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 x MA G-LON (Low)</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MO-1 chunk, registry row pair</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 x VS G-LON (High)</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MO-1 chunk, registry row pair</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 x VS G-LON (Low)</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MO-1 chunk, registry row pair</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 x PA G-LON (High)</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MO-1 chunk, registry row pair</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 x PA G-LON (Low)</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MO-1 chunk, registry row pair</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 x JN G-LON (High)</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MO-1 chunk, registry row pair</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 x JN G-LON (Low)</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MO-1 chunk, registry row pair</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 x CE G-LON (High)</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MO-1 chunk, registry row pair</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 x CE G-LON (Low)</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MO-1 chunk, registry row pair</w:t>
            </w:r>
          </w:p>
        </w:tc>
      </w:tr>
    </w:tbl>
    <w:p>
      <w:r>
        <w:t xml:space="preserve"/>
      </w:r>
    </w:p>
    <w:p>
      <w:pPr>
        <w:spacing w:after="80" w:before="80"/>
      </w:pPr>
      <w:r>
        <w:t xml:space="preserve">Rationale for this set: MO origin produces uniform 360° coverage (Statement MO-2) eliminating coverage-driven structure as a confound; Tier A bodies are the well-sampled coverage-clean class with 100% Phase 1 support across all six origin batches; G-LON same-coord is the simplest construction with no projection asymmetry between origin and target; chunk MO-1 is the first chunk of the cleanest origin batch. These ten features are the strongest a priori candidates for exhibiting structured circular organization if such organization exists anywhere in the dataset. The locked set excludes Sun, Mercury, and Venus (constrained-elongation), Jupiter and North Node (Tier B), Saturn (Tier C), and the outer planets (sparse-coverage).</w:t>
      </w:r>
    </w:p>
    <w:p>
      <w:pPr>
        <w:pStyle w:val="Heading3"/>
        <w:spacing w:after="100" w:before="200"/>
      </w:pPr>
      <w:r>
        <w:rPr>
          <w:b/>
          <w:bCs/>
        </w:rPr>
        <w:t xml:space="preserve">Stage 1.5A outcome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c>
          <w:tcPr>
            <w:tcW w:type="dxa" w:w="3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Outcome</w:t>
            </w:r>
          </w:p>
        </w:tc>
        <w:tc>
          <w:tcPr>
            <w:tcW w:type="dxa" w:w="19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Threshold</w:t>
            </w:r>
          </w:p>
        </w:tc>
        <w:tc>
          <w:tcPr>
            <w:tcW w:type="dxa" w:w="44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Interpretation and consequences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Supports primary inferential escalation</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 of 10 features reject the null at FDR q=0.01 on the Stage 1.5A omnibus statistic</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1.5B and 1.5C proceed under primary confirmatory framing. Findings are presented as 'evidence for structured angular organization inconsistent with exchangeable-noise circular processes under multiple constrained null models.'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Supports secondary exploratory escalation</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5 or 6 of 10 features reject the null at FDR q=0.01</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1.5B and 1.5C proceed under degraded framing. Findings are presented as 'consistent with Phase 1 structural results, with spectral evidence on the cleanest stratum weaker than the framework's central prediction; reported as supporting but not confirmatory.'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Does not support confirmatory escalation</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&lt;5 of 10 features reject the null at FDR q=0.01</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1.5B and 1.5C proceed as descriptive secondary analyses, not primary inference. The Stage 1.5A negative result is reported as the primary 1.5 finding. Phase 1 structural results stand unchanged. The spectral framework is reported as exploratory, with proposed follow-ups (e.g., wavelet-based methods) reserved for future work and explicitly NOT performed within the current registration.</w:t>
            </w:r>
          </w:p>
        </w:tc>
      </w:tr>
    </w:tbl>
    <w:p>
      <w:r>
        <w:t xml:space="preserve"/>
      </w:r>
    </w:p>
    <w:p>
      <w:pPr>
        <w:spacing w:after="80" w:before="80"/>
      </w:pPr>
      <w:r>
        <w:t xml:space="preserve">The Stage 1.5A omnibus statistic per feature is computed as the ensemble of three p-value combination methods, all reported and none privileged as the sole bottleneck: (a) harmonic mean p-value (HMP), which is robust to dependence between component tests but is statistically debated for pure inference; (b) Fisher's combined probability test (Fisher's method), the classical p-value combination assuming independence between tests; (c) Stouffer's Z-score combination, which weights component tests equally on the standard-normal scale. Per-feature classification as 'rejecting the null' requires significance under at least two of the three combination methods at FDR q=0.01. This three-method requirement protects against any single combination procedure driving the inferential decision and forestalls reviewer criticism of omnibus-shopping. The five component statistics share underlying spectral information and are therefore expected to be correlated; HMP is robust to such correlation but the redundant Fisher and Stouffer reports allow reviewers to evaluate the inferential conclusion under the assumption set they prefer.</w:t>
      </w:r>
    </w:p>
    <w:p>
      <w:pPr>
        <w:pStyle w:val="Heading2"/>
        <w:spacing w:after="120" w:before="240"/>
      </w:pPr>
      <w:r>
        <w:t xml:space="preserve">§4.2 Stage 1.5B — Cross-origin spectral comparison</w:t>
      </w:r>
    </w:p>
    <w:p>
      <w:pPr>
        <w:spacing w:after="80" w:before="80"/>
      </w:pPr>
      <w:r>
        <w:t xml:space="preserve">Stage 1.5B applies the five-statistic suite to all six origin batches under their respective same-coord G-LON chunks (Asc-1, MC-1, VX-1, EA-1, MO-1, ME-1) and computes cross-origin comparison statistics. Stage 1.5B locks the following four directional predictions before any spectra are inspected: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w:t>
            </w:r>
          </w:p>
        </w:tc>
        <w:tc>
          <w:tcPr>
            <w:tcW w:type="dxa" w:w="85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Locked directional prediction</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P1</w:t>
            </w:r>
          </w:p>
        </w:tc>
        <w:tc>
          <w:tcPr>
            <w:tcW w:type="dxa" w:w="8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 produces the strongest cross-feature phase-locking value (PLV) on Tier A targets at the dominant low-k harmonic, exceeding all four angle origins by a margin that is itself significant under FDR q=0.05 in pairwise comparison.</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P2</w:t>
            </w:r>
          </w:p>
        </w:tc>
        <w:tc>
          <w:tcPr>
            <w:tcW w:type="dxa" w:w="8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ME elongation-bound features (ME × VE, ME × SU) exhibit spectral signatures with elevated low-k power asymmetry consistent with the 'projection-sensitive occupancy distortion' characterization in Statement ME-3, distinguishable from coverage-clean MO Tier A spectra at FDR q=0.05.</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P3</w:t>
            </w:r>
          </w:p>
        </w:tc>
        <w:tc>
          <w:tcPr>
            <w:tcW w:type="dxa" w:w="8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ME sparse-outer features (ME × UR, ME × NE, ME × PL) exhibit degraded cross-feature coherence consistent with the 'time-domain occupancy deficit' characterization in Statement ME-3, with PLV values significantly lower than ME elongation-bound features at FDR q=0.05.</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P4</w:t>
            </w:r>
          </w:p>
        </w:tc>
        <w:tc>
          <w:tcPr>
            <w:tcW w:type="dxa" w:w="8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Angle origins (Asc, MC, VX, EA) on Tier A targets produce cross-feature PLV values intermediate between MO and ME-elongation-bound, with measurable construction-regime effects (concentration vs global) detectable at FDR q=0.05.</w:t>
            </w:r>
          </w:p>
        </w:tc>
      </w:tr>
    </w:tbl>
    <w:p>
      <w:r>
        <w:t xml:space="preserve"/>
      </w:r>
    </w:p>
    <w:p>
      <w:pPr>
        <w:pStyle w:val="Heading3"/>
        <w:spacing w:after="100" w:before="200"/>
      </w:pPr>
      <w:r>
        <w:rPr>
          <w:b/>
          <w:bCs/>
        </w:rPr>
        <w:t xml:space="preserve">Stage 1.5B outcome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c>
          <w:tcPr>
            <w:tcW w:type="dxa" w:w="3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Outcome</w:t>
            </w:r>
          </w:p>
        </w:tc>
        <w:tc>
          <w:tcPr>
            <w:tcW w:type="dxa" w:w="19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Threshold</w:t>
            </w:r>
          </w:p>
        </w:tc>
        <w:tc>
          <w:tcPr>
            <w:tcW w:type="dxa" w:w="44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Interpretation and consequences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Supports primary inferential escalation</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 of 4 directional predictions confirmed at FDR q=0.05</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Cross-origin spectral framework is treated as confirmed; advance to 1.5C with primary inferential framing.</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Supports secondary exploratory escalation</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 of 4 directional predictions confirmed</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Cross-origin spectral framework is partially supported; advance to 1.5C under secondary framing.</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Does not support confirmatory escalation</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 of 4 directional predictions confirmed</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Stage 1.5B is reported as a negative cross-origin spectral result. 1.5C proceeds descriptively only.</w:t>
            </w:r>
          </w:p>
        </w:tc>
      </w:tr>
    </w:tbl>
    <w:p>
      <w:r>
        <w:t xml:space="preserve"/>
      </w:r>
    </w:p>
    <w:p>
      <w:pPr>
        <w:pStyle w:val="Heading2"/>
        <w:spacing w:after="120" w:before="240"/>
      </w:pPr>
      <w:r>
        <w:t xml:space="preserve">§4.3 Stage 1.5C — Full-panel inference (all 1,482 features)</w:t>
      </w:r>
    </w:p>
    <w:p>
      <w:pPr>
        <w:spacing w:after="80" w:before="80"/>
      </w:pPr>
      <w:r>
        <w:t xml:space="preserve">Stage 1.5C applies the five-statistic suite to all 1,482 Phase 1 features, stratified by coverage class (Tier A, Tier B, Tier C, PoF where applicable, elongation-bound, sparse-outer, plus the constrained-inner / coverage-clean distinction within each origin's body set). Frame-invariance is tested on all 27 forward/inverse cross-coordinate pairs across the six origins. Cross-origin coherence is tested at the panel level.</w:t>
      </w:r>
    </w:p>
    <w:p>
      <w:pPr>
        <w:pStyle w:val="Heading3"/>
        <w:spacing w:after="100" w:before="200"/>
      </w:pPr>
      <w:r>
        <w:rPr>
          <w:b/>
          <w:bCs/>
        </w:rPr>
        <w:t xml:space="preserve">Stage 1.5C outcome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c>
          <w:tcPr>
            <w:tcW w:type="dxa" w:w="3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Outcome</w:t>
            </w:r>
          </w:p>
        </w:tc>
        <w:tc>
          <w:tcPr>
            <w:tcW w:type="dxa" w:w="19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Threshold</w:t>
            </w:r>
          </w:p>
        </w:tc>
        <w:tc>
          <w:tcPr>
            <w:tcW w:type="dxa" w:w="44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Interpretation and consequences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Supports primary inferential escalation</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Full-panel FDR-adjusted p-values reject the null on ≥2 of the 5 statistics, AND ≥1 of those 2 includes the frame-invariance or cross-feature coherence tests (i.e., not amplitude-only)</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Phase 1.5 is reported as confirmatory. Statement language: 'Evidence for structured angular organization across the full feature panel inconsistent with exchangeable-noise circular processes under multiple independent constrained null models.'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Supports secondary exploratory escalation</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Full-panel rejection on exactly 1 statistic, OR rejection on 2 statistics that are both amplitude-only</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Reported as suggestive secondary evidence.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Does not support confirmatory escalation</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 statistic rejects the null at full-panel FDR q=0.01</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Phase 1.5 is reported as a comprehensive negative spectral result. Phase 1 structural results stand.</w:t>
            </w:r>
          </w:p>
        </w:tc>
      </w:tr>
    </w:tbl>
    <w:p>
      <w:r>
        <w:t xml:space="preserve"/>
      </w:r>
    </w:p>
    <w:p>
      <w:pPr>
        <w:pStyle w:val="Heading1"/>
        <w:spacing w:after="180" w:before="360"/>
      </w:pPr>
      <w:r>
        <w:t xml:space="preserve">§5. Confounder Pre-Registration</w:t>
      </w:r>
    </w:p>
    <w:p>
      <w:pPr>
        <w:spacing w:after="80" w:before="80"/>
      </w:pPr>
      <w:r>
        <w:t xml:space="preserve">This section enumerates expected sources of non-astrological angular structure in the smoothed_360 vectors, specifies the harmonic ranges within which each is expected to manifest, and pre-registers handling procedures. The principle is: evidence for H1 requires structure exceeding the structure expected from these confounders under the constrained null ensemble. Confounder expectations are stated as locked predictions before any spectra are inspected.</w:t>
      </w:r>
    </w:p>
    <w:p>
      <w:pPr>
        <w:pStyle w:val="Heading2"/>
        <w:spacing w:after="120" w:before="240"/>
      </w:pPr>
      <w:r>
        <w:t xml:space="preserve">§5.1 Annual seasonal asymmetry</w:t>
      </w:r>
    </w:p>
    <w:p>
      <w:pPr>
        <w:spacing w:after="80" w:before="80"/>
      </w:pPr>
      <w:r>
        <w:t xml:space="preserve">MLB games occur during a window that excludes most of the December–February period. Astronomical positions during this off-season window are systematically under-represented in the data. For features whose underlying geometry has a 1-year periodicity (e.g., Sun longitude, Earth longitude), this produces an expected non-uniform marginal degree distribution and consequent low-k structure. Expected harmonic location: predominantly k=1 (one-cycle-per-360° structure). Pre-registered handling: report k=1 results in all stages, but flag any feature for confounder review if k=1 power exceeds the 95th percentile of amplitude-disruption surrogates by ≥2× more than k=2 does on the same feature. Flagged features are reported in a separate table and excluded from the primary k=1 inference (but retained for k≥2 inference).</w:t>
      </w:r>
    </w:p>
    <w:p>
      <w:pPr>
        <w:pStyle w:val="Heading2"/>
        <w:spacing w:after="120" w:before="240"/>
      </w:pPr>
      <w:r>
        <w:t xml:space="preserve">§5.2 Lunar synodic / sidereal contamination on MO features</w:t>
      </w:r>
    </w:p>
    <w:p>
      <w:pPr>
        <w:spacing w:after="80" w:before="80"/>
      </w:pPr>
      <w:r>
        <w:t xml:space="preserve">MO origin features contain Moon position information. The Moon's synodic period (29.5 days, conjunction-to-conjunction with Sun) and sidereal period (27.3 days, fixed-frame return) produce known periodic structure. For MO-origin features specifically, this manifests as harmonic content at frequencies related to the synodic-sidereal beat. Expected harmonic location: not at low integer k for the smoothed_360 angular vector (the smoothed_360 vector is over angular separation, not over time), but with possible low-amplitude contamination if seasonal sampling interacts with synodic phase. Pre-registered handling: report MO-feature spectra with explicit lunar-frequency markers in the descriptive output; do NOT exclude lunar-related harmonics by default; document any anomalous concentration at synodic-related frequencies as a discussion-section observation.</w:t>
      </w:r>
    </w:p>
    <w:p>
      <w:pPr>
        <w:pStyle w:val="Heading2"/>
        <w:spacing w:after="120" w:before="240"/>
      </w:pPr>
      <w:r>
        <w:t xml:space="preserve">§5.3 Smoothing-induced low-k inflation</w:t>
      </w:r>
    </w:p>
    <w:p>
      <w:pPr>
        <w:spacing w:after="80" w:before="80"/>
      </w:pPr>
      <w:r>
        <w:t xml:space="preserve">The boxcar smoothing applied during Phase 1 introduces autocorrelation at lag scales up to the smoothing window width. This necessarily concentrates spectral power toward lower k values relative to a white-noise process, producing an expected colored-noise background even under the strict null. Expected harmonic location: distributed across low-k with a smoothing-window-dependent decay profile. Pre-registered handling: the amplitude-disruption null (circular degree-label permutation, §6) is applied to the SAME smoothed vectors as the test statistics, so smoothing-induced low-k inflation is present in surrogates and tests alike and is automatically calibrated. Additionally, the block-bootstrap surrogate (§6.4) is reported as a sensitivity check explicitly designed to control for colored-noise backgrounds.</w:t>
      </w:r>
    </w:p>
    <w:p>
      <w:pPr>
        <w:pStyle w:val="Heading2"/>
        <w:spacing w:after="120" w:before="240"/>
      </w:pPr>
      <w:r>
        <w:t xml:space="preserve">§5.4 Schedule density and stadium / local-time clustering</w:t>
      </w:r>
    </w:p>
    <w:p>
      <w:pPr>
        <w:spacing w:after="80" w:before="80"/>
      </w:pPr>
      <w:r>
        <w:t xml:space="preserve">MLB game start times cluster around ~7:00 PM local time with secondary day-game clusters. Local sidereal time at game start therefore varies systematically by date and stadium longitude. This produces angular structure in any frame whose computation involves local time (G-AZ in particular). Expected harmonic location: low-k structure with a 1-year period from seasonal local-time-vs-sidereal-time relationship. Pre-registered handling: sensitivity analysis reports G-AZ-involving features with and without inclusion in the panel-level inference; G-LON and G-RA features (independent of local time) provide a control comparison. If primary panel results inflate when G-AZ features are included relative to G-LON/G-RA-only, the G-LON/G-RA-only result is reported as the primary inference.</w:t>
      </w:r>
    </w:p>
    <w:p>
      <w:pPr>
        <w:pStyle w:val="Heading2"/>
        <w:spacing w:after="120" w:before="240"/>
      </w:pPr>
      <w:r>
        <w:t xml:space="preserve">§5.5 MLB team-population shifts</w:t>
      </w:r>
    </w:p>
    <w:p>
      <w:pPr>
        <w:spacing w:after="80" w:before="80"/>
      </w:pPr>
      <w:r>
        <w:t xml:space="preserve">The 1998 expansion (Diamondbacks, Devil Rays / Rays) precedes the sample window, so no within-window expansion confound exists. However, team-population shifts from trades, retirements, and roster turnover produce non-stationary contributions across the 25-year window. Pre-registered handling: split-half analysis (2000–2011 vs 2012–2024 — see §2.1; the 2002 RS exclusion places 2002 in the early block, and the 2002-excluded sensitivity is a separate check) is performed for all panel-level statistics. If the early-half and late-half spectra differ at FDR q=0.05 on the dominant harmonics, the panel inference is reported with explicit early/late stratification.</w:t>
      </w:r>
    </w:p>
    <w:p>
      <w:pPr>
        <w:pStyle w:val="Heading2"/>
        <w:spacing w:after="120" w:before="240"/>
      </w:pPr>
      <w:r>
        <w:t xml:space="preserve">§5.6 Sample-size variation across degrees</w:t>
      </w:r>
    </w:p>
    <w:p>
      <w:pPr>
        <w:spacing w:after="80" w:before="80"/>
      </w:pPr>
      <w:r>
        <w:t xml:space="preserve">The smoothed_360 vector's underlying raw count distribution is non-uniform across degrees by construction: dense at degrees near orbital coincidences, sparse at degrees far from them. Smoothing partially homogenizes this, but residual count heterogeneity can produce angular structure in the lift vector independent of any astrological effect. Pre-registered handling: this is the dominant null-correlation structure in the data, and is the principal reason the amplitude-disruption null procedure (§6.3) is the appropriate null for entropy and concentration-ratio tests. Phase-randomization preserves this structure (since amplitude is preserved); circular degree-label permutation destroys it (since the permutation rearranges which degree gets which lift value). The two surrogate families together calibrate against this confounder by construction.</w:t>
      </w:r>
    </w:p>
    <w:p>
      <w:pPr>
        <w:pStyle w:val="Heading1"/>
        <w:spacing w:after="180" w:before="360"/>
      </w:pPr>
      <w:r>
        <w:t xml:space="preserve">§6. Test Statistics and Null Families</w:t>
      </w:r>
    </w:p>
    <w:p>
      <w:pPr>
        <w:spacing w:after="80" w:before="80"/>
      </w:pPr>
      <w:r>
        <w:t xml:space="preserve">Five test statistics are pre-registered, each with a specified null family and specified surrogate procedure. The two null families are described first, then the five statistics.</w:t>
      </w:r>
    </w:p>
    <w:p>
      <w:pPr>
        <w:pStyle w:val="Heading2"/>
        <w:spacing w:after="120" w:before="240"/>
      </w:pPr>
      <w:r>
        <w:t xml:space="preserve">§6.1 Null Family A — Amplitude-disruption</w:t>
      </w:r>
    </w:p>
    <w:p>
      <w:pPr>
        <w:spacing w:after="80" w:before="80"/>
      </w:pPr>
      <w:r>
        <w:t xml:space="preserve">Family A is the appropriate null for any test statistic that depends on the amplitude spectrum (|F_k| as a function of k). Tests of spectral entropy and low-k concentration ratio fall into this family because they depend on the distribution of power across harmonic indices. The Family A null procedure must destroy amplitude-spectrum structure while preserving the marginal value distribution of the input vector (so that the surrogate has the same range, mean, and distribution shape as the data, but no angular organization).</w:t>
      </w:r>
    </w:p>
    <w:p>
      <w:pPr>
        <w:pStyle w:val="Heading3"/>
        <w:spacing w:after="100" w:before="200"/>
      </w:pPr>
      <w:r>
        <w:rPr>
          <w:b/>
          <w:bCs/>
        </w:rPr>
        <w:t xml:space="preserve">§6.1.1 Family A primary surrogate — circular moving-block bootstrap</w:t>
      </w:r>
    </w:p>
    <w:p>
      <w:pPr>
        <w:spacing w:after="80" w:before="80"/>
      </w:pPr>
      <w:r>
        <w:t xml:space="preserve">Procedure: take the locked smoothed_360 vector x[d]. Resample contiguous degree blocks of width w with replacement to construct a 360-element circular surrogate, with circular wrap-around at the 0°/360° boundary. The block-resampling procedure preserves short-range autocorrelation up to the block width while destroying global angular pattern. Block width w is locked at 15° as primary, with widths of 5°, 10°, and 30° reported as additional sensitivity checks. The choice of 15° as primary is principled: it approximates the typical Phase 1 smoothing window width across features, so the resulting null preserves smoothing-induced local autocorrelation structure while randomizing global angular organization. 10,000 surrogates per feature per block width.</w:t>
      </w:r>
    </w:p>
    <w:p>
      <w:pPr>
        <w:spacing w:after="80" w:before="80"/>
      </w:pPr>
      <w:r>
        <w:t xml:space="preserve">This procedure is the primary null for entropy and concentration-ratio tests. It is selected as primary rather than full random permutation because the locked smoothed_360 vectors carry intrinsic local autocorrelation by construction (smoothing introduces dependence at lag scales up to the smoothing window), and a null that preserves this local structure produces a more honest comparison than a null that destroys it entirely. Full random permutation would inflate detected significance by comparing structured smoothed data against unstructured (white-noise-like) surrogates; the moving-block bootstrap is the standard remedy.</w:t>
      </w:r>
    </w:p>
    <w:p>
      <w:pPr>
        <w:pStyle w:val="Heading3"/>
        <w:spacing w:after="100" w:before="200"/>
      </w:pPr>
      <w:r>
        <w:rPr>
          <w:b/>
          <w:bCs/>
        </w:rPr>
        <w:t xml:space="preserve">§6.1.2 Family A secondary surrogate — circular degree-label permutation (sensitivity)</w:t>
      </w:r>
    </w:p>
    <w:p>
      <w:pPr>
        <w:spacing w:after="80" w:before="80"/>
      </w:pPr>
      <w:r>
        <w:t xml:space="preserve">Procedure: take the locked smoothed_360 vector x[d] for d = 0..359. Apply a uniformly random permutation π of the indices 0..359. Construct surrogate vector x_surr[d] = x[π(d)]. The surrogate has the same marginal value distribution as x but no angular organization at any harmonic and no autocorrelation structure. Compute the spectral statistic on x_surr using the same procedure as on x. Repeat 10,000 times to build the secondary null distribution. Empirical p-value = (1 + number of surrogates with statistic at least as extreme as observed) / (1 + 10,000).</w:t>
      </w:r>
    </w:p>
    <w:p>
      <w:pPr>
        <w:spacing w:after="80" w:before="80"/>
      </w:pPr>
      <w:r>
        <w:t xml:space="preserve">This is the secondary null. It is reported as a sensitivity comparison and provides the strictest possible null comparison — features that reject the null under both the moving-block bootstrap and full random permutation are reported as carrying the strongest evidence for non-random angular organization. Pre-registered decision rule: a feature is classified as primary-significant if and only if it rejects under the moving-block bootstrap at FDR q=0.01; rejection under full random permutation is reported as additional evidence but is not required for primary classification.</w:t>
      </w:r>
    </w:p>
    <w:p>
      <w:pPr>
        <w:pStyle w:val="Heading2"/>
        <w:spacing w:after="120" w:before="240"/>
      </w:pPr>
      <w:r>
        <w:t xml:space="preserve">§6.2 Null Family B — Phase-disruption</w:t>
      </w:r>
    </w:p>
    <w:p>
      <w:pPr>
        <w:spacing w:after="80" w:before="80"/>
      </w:pPr>
      <w:r>
        <w:t xml:space="preserve">Family B is the appropriate null for any test statistic that depends on phase relationships within or across features. Tests of cross-feature PLV, frame-invariance phase-shift coherence, and (composite) temporal-block harmonic persistence fall into this family because they depend on phase angles φ_k = arg(F_k) as functions of k or as functions of feature index, frame, or temporal block.</w:t>
      </w:r>
    </w:p>
    <w:p>
      <w:pPr>
        <w:pStyle w:val="Heading3"/>
        <w:spacing w:after="100" w:before="200"/>
      </w:pPr>
      <w:r>
        <w:rPr>
          <w:b/>
          <w:bCs/>
        </w:rPr>
        <w:t xml:space="preserve">§6.2.1 Family B primary surrogate — phase randomization</w:t>
      </w:r>
    </w:p>
    <w:p>
      <w:pPr>
        <w:spacing w:after="80" w:before="80"/>
      </w:pPr>
      <w:r>
        <w:t xml:space="preserve">Procedure: compute the DFT of the locked smoothed_360 vector x[d], obtaining complex coefficients F_k for k = 0..359. For each k = 1..179 (positive frequencies), generate a uniformly random phase φ_k ~ U(0, 2π); replace F_k by |F_k| · exp(i·φ_k); set F_{360-k} = conjugate(F_k) to preserve the real-valued time-domain output; F_0 and F_180 are left unchanged. Compute inverse DFT to obtain surrogate vector x_surr[d]. The surrogate has the same amplitude spectrum |F_k| as x but randomized phase relationships. 10,000 surrogates per feature.</w:t>
      </w:r>
    </w:p>
    <w:p>
      <w:pPr>
        <w:spacing w:after="80" w:before="80"/>
      </w:pPr>
      <w:r>
        <w:t xml:space="preserve">This procedure is the strict null for any phase-based test. It preserves the amplitude spectrum exactly (so amplitude-based statistics are uninformative against this null — which is why Family A is required for amplitude tests) while destroying all phase information.</w:t>
      </w:r>
    </w:p>
    <w:p>
      <w:pPr>
        <w:pStyle w:val="Heading2"/>
        <w:spacing w:after="120" w:before="240"/>
      </w:pPr>
      <w:r>
        <w:t xml:space="preserve">§6.3 The five test statistics</w:t>
      </w:r>
    </w:p>
    <w:p>
      <w:pPr>
        <w:pStyle w:val="Heading3"/>
        <w:spacing w:after="100" w:before="200"/>
      </w:pPr>
      <w:r>
        <w:rPr>
          <w:b/>
          <w:bCs/>
        </w:rPr>
        <w:t xml:space="preserve">§6.3.1 Statistic 1 — Spectral entropy (Family A)</w:t>
      </w:r>
    </w:p>
    <w:p>
      <w:pPr>
        <w:spacing w:after="80" w:before="80"/>
      </w:pPr>
      <w:r>
        <w:t xml:space="preserve">Definition: for the locked smoothed_360 vector x with DFT coefficients F_k, define normalized power p_k = |F_k|² / Σ_{j=1..20} |F_j|² for k = 1..20. Spectral entropy H = − Σ_{k=1..20} p_k · log₂(p_k). Maximum entropy is log₂(20) ≈ 4.32, achieved when power is uniformly distributed across k=1..20 (white spectrum within the inferential band). Lower entropy indicates concentration of power at fewer harmonics.</w:t>
      </w:r>
    </w:p>
    <w:p>
      <w:pPr>
        <w:spacing w:after="80" w:before="80"/>
      </w:pPr>
      <w:r>
        <w:t xml:space="preserve">Test: under H0, the entropy of x should not be significantly lower than the entropy of moving-block-bootstrap surrogates of x (block width 15° primary). Empirical p-value: P(H_surr ≤ H_obs) computed across 10,000 surrogates. Per-feature one-sided test. Sensitivity comparison against full circular degree-label permutation reported alongside primary.</w:t>
      </w:r>
    </w:p>
    <w:p>
      <w:pPr>
        <w:pStyle w:val="Heading3"/>
        <w:spacing w:after="100" w:before="200"/>
      </w:pPr>
      <w:r>
        <w:rPr>
          <w:b/>
          <w:bCs/>
        </w:rPr>
        <w:t xml:space="preserve">§6.3.2 Statistic 2 — Low-k concentration ratio (Family A)</w:t>
      </w:r>
    </w:p>
    <w:p>
      <w:pPr>
        <w:spacing w:after="80" w:before="80"/>
      </w:pPr>
      <w:r>
        <w:t xml:space="preserve">Definition: R = (Σ_{k=1..5} |F_k|²) / (Σ_{k=1..20} |F_k|²). R ∈ [0, 1]. Higher R indicates concentration in the lowest-frequency band (k=1..5) relative to the broader inferential band. Under a uniform-spectrum null restricted to k=1..20, expected R ≈ 5/20 = 0.25. Higher R indicates dipole / quadrupole / hexapole / octapole / pentapole structure dominating over higher harmonics.</w:t>
      </w:r>
    </w:p>
    <w:p>
      <w:pPr>
        <w:spacing w:after="80" w:before="80"/>
      </w:pPr>
      <w:r>
        <w:t xml:space="preserve">Test: under H0, the R of x should not be significantly higher than the R of moving-block-bootstrap surrogates of x (block width 15° primary). Empirical p-value: P(R_surr ≥ R_obs) computed across 10,000 surrogates. Per-feature one-sided test. Sensitivity comparison against full circular degree-label permutation reported alongside primary.</w:t>
      </w:r>
    </w:p>
    <w:p>
      <w:pPr>
        <w:pStyle w:val="Heading3"/>
        <w:spacing w:after="100" w:before="200"/>
      </w:pPr>
      <w:r>
        <w:rPr>
          <w:b/>
          <w:bCs/>
        </w:rPr>
        <w:t xml:space="preserve">§6.3.3 Statistic 3 — Cross-feature phase-locking value (Family B)</w:t>
      </w:r>
    </w:p>
    <w:p>
      <w:pPr>
        <w:spacing w:after="80" w:before="80"/>
      </w:pPr>
      <w:r>
        <w:t xml:space="preserve">Definition: for a coherent feature set S of N features (e.g., MO Tier A High targets, |S|=5), and for each harmonic k = 1..20, compute the unit-magnitude complex vector u_k^{(s)} = F_k^{(s)} / |F_k^{(s)}| for each feature s in S. Phase-locking value PLV_k = | (1/N) Σ_{s in S} u_k^{(s)} | ∈ [0, 1]. PLV_k = 1 means all features have identical phase at harmonic k; PLV_k ≈ 1/√N under uniformly random phases.</w:t>
      </w:r>
    </w:p>
    <w:p>
      <w:pPr>
        <w:spacing w:after="80" w:before="80"/>
      </w:pPr>
      <w:r>
        <w:t xml:space="preserve">Test: under H0, PLV_k computed on the locked feature set should not be significantly higher than PLV_k computed on phase-randomized surrogates. For each k, generate 10,000 phase-randomized surrogates of each feature in S independently; compute the surrogate PLV_k from the surrogate set; build the null distribution of PLV_k; compute empirical p-value. Per-feature-set one-sided test, repeated for k = 1..20.</w:t>
      </w:r>
    </w:p>
    <w:p>
      <w:pPr>
        <w:spacing w:after="80" w:before="80"/>
      </w:pPr>
      <w:r>
        <w:t xml:space="preserve">The Rayleigh-z statistic, z_k = N · PLV_k², is reported alongside the empirical p-value as the analytical reference; under H0, z_k follows approximately a chi-squared distribution with 2 degrees of freedom for large N. The empirical p-value from surrogates is the primary inference; the Rayleigh-z value is descriptive.</w:t>
      </w:r>
    </w:p>
    <w:p>
      <w:pPr>
        <w:pStyle w:val="Heading3"/>
        <w:spacing w:after="100" w:before="200"/>
      </w:pPr>
      <w:r>
        <w:rPr>
          <w:b/>
          <w:bCs/>
        </w:rPr>
        <w:t xml:space="preserve">§6.3.4 Statistic 4 — Temporal-block harmonic persistence (composite)</w:t>
      </w:r>
    </w:p>
    <w:p>
      <w:pPr>
        <w:spacing w:after="80" w:before="80"/>
      </w:pPr>
      <w:r>
        <w:t xml:space="preserve">Definition: partition the underlying event data into B temporal blocks (B = 3, 5, 7 — primary B = 7, matching the strictest Phase B persistence scheme). For each block, recompute the smoothed_360 vector for the feature using only events from that block. Compute the DFT and harmonic-power vector P^{(b)}_k = |F_k^{(b)}|² for k = 1..20 in each block b = 1..B. Define the harmonic persistence statistic as the Spearman rank correlation across blocks of the harmonic-power profiles, averaged over all (B choose 2) block pairs: ρ_persist = mean over pairs (b1, b2) of Spearman(P^{(b1)}_{1..20}, P^{(b2)}_{1..20}).</w:t>
      </w:r>
    </w:p>
    <w:p>
      <w:pPr>
        <w:spacing w:after="80" w:before="80"/>
      </w:pPr>
      <w:r>
        <w:t xml:space="preserve">Test: under H0, ρ_persist computed on temporally partitioned data should not be significantly higher than ρ_persist computed on null-surrogate-partitioned data. Two null procedures are required and reported jointly: (a) Family A null — for each block, apply moving-block bootstrap (block width 15°) independently, compute block spectra, compute ρ_persist; repeat 10,000 times. (b) Family B null — for each block, apply phase randomization independently, compute block spectra, compute ρ_persist; repeat 10,000 times. Pre-registered decision rule: significance must hold under BOTH null procedures for a feature to be classified as harmonically persistent. Per-feature one-sided test.</w:t>
      </w:r>
    </w:p>
    <w:p>
      <w:pPr>
        <w:spacing w:after="80" w:before="80"/>
      </w:pPr>
      <w:r>
        <w:t xml:space="preserve">This statistic is composite because temporal block-stability of harmonic structure could in principle reflect either amplitude-spectrum stability (if the same harmonics dominate in each block, but with arbitrary phases) or phase-coherence stability (if both amplitudes and phases persist). Requiring significance under both null families ensures that any rejection reflects genuine block-stable structure.</w:t>
      </w:r>
    </w:p>
    <w:p>
      <w:pPr>
        <w:pStyle w:val="Heading3"/>
        <w:spacing w:after="100" w:before="200"/>
      </w:pPr>
      <w:r>
        <w:rPr>
          <w:b/>
          <w:bCs/>
        </w:rPr>
        <w:t xml:space="preserve">§6.3.5 Statistic 5 — Frame-invariance / phase-shift coherence (Family B)</w:t>
      </w:r>
    </w:p>
    <w:p>
      <w:pPr>
        <w:spacing w:after="80" w:before="80"/>
      </w:pPr>
      <w:r>
        <w:t xml:space="preserve">Motivation. The frame-invariance / phase-shift coherence test is the spectral analog of the locked detection-vs-localization principle established across all six Phase 1 batches (Statement Asc-2, MC-2, VX-2, EA-2, MO-3, ME-2). The principle states that signal presence is invariant across coordinate-frame transformations while peak location is frame-dependent. The spectral version of this principle has a precise mathematical content: under a coordinate transformation (e.g., from G-LON to G-RA, or from G-LON to G-AZ), the angular structure of a feature is rotated as a whole. A coherent rotation of the angular signal implies that harmonic amplitudes |F_k| are preserved across frames (because amplitude is rotation-invariant) while harmonic phases φ_k shift coherently across the entire feature set (because all features share the same coordinate-frame rotation). A null waveform with no coherent angular structure has no reason to satisfy either property. Therefore, evidence of frame-paired amplitude preservation together with cross-feature coherence of phase shifts is structurally distinct from any artifact-driven explanation: random structure does not maintain amplitude under rotation, and uncorrelated noise does not shift phases coherently across multiple features. Statistic 5 operationalizes this geometric prediction directly. It is the methodological bridge between Phase 1's structural framework and Phase 1.5's spectral framework, and is the most theoretically distinctive component of the present pre-registration.</w:t>
      </w:r>
    </w:p>
    <w:p>
      <w:pPr>
        <w:spacing w:after="80" w:before="80"/>
      </w:pPr>
      <w:r>
        <w:t xml:space="preserve">Definition: this statistic operationalizes the spectral analog of the cross-frame support invariance documented in Phase 1. For each forward/inverse cross-coord pair across origins (e.g., MO-4: G-LON × G-RA and MO-5: G-RA × G-LON, where the same body pair appears under inverted coordinate ordering), and for each harmonic k = 1..20:</w:t>
      </w:r>
    </w:p>
    <w:p>
      <w:pPr>
        <w:spacing w:after="80" w:before="80"/>
      </w:pPr>
      <w:r>
        <w:t xml:space="preserve">(a) Amplitude invariance test: compute |F_k| for both frames; the test statistic is the absolute log-ratio |log(|F_k^{forward}| / |F_k^{inverse}|)|; under H1, this ratio is expected to be near zero (amplitudes preserved); under H0, the ratio is not constrained. Compute empirical p-value via paired comparison against the joint phase-randomized surrogate distribution.</w:t>
      </w:r>
    </w:p>
    <w:p>
      <w:pPr>
        <w:spacing w:after="80" w:before="80"/>
      </w:pPr>
      <w:r>
        <w:t xml:space="preserve">(b) Phase coherence test: compute Δφ_k = φ_k^{forward} − φ_k^{inverse} for the forward/inverse pair; the test statistic is the cross-feature consistency of Δφ_k across the feature set within the pair. Specifically, for the N features in the pair-feature-set, compute v_k = (1/N) Σ exp(i · Δφ_k^{(s)}). The phase-shift coherence is |v_k| ∈ [0, 1]; under H1, the phase shift between frames should be a coherent rotation, producing |v_k| close to 1; under H0, the phase shifts are uniformly distributed and |v_k| ≈ 1/√N. Compute empirical p-value via 10,000 phase-randomized surrogates per frame.</w:t>
      </w:r>
    </w:p>
    <w:p>
      <w:pPr>
        <w:spacing w:after="80" w:before="80"/>
      </w:pPr>
      <w:r>
        <w:t xml:space="preserve">Per-pair, per-k two-tailed test on amplitude invariance; per-pair, per-k one-sided test on phase coherence. Pre-registered decision rule: for a frame pair to support frame-invariance, BOTH amplitude invariance (non-rejection of |log-ratio| = 0 at FDR q=0.05) AND phase coherence (rejection of |v_k| = 1/√N at FDR q=0.01) must hold at the dominant harmonic identified by the spectral entropy / low-k concentration tests.</w:t>
      </w:r>
    </w:p>
    <w:p>
      <w:pPr>
        <w:pStyle w:val="Heading2"/>
        <w:spacing w:after="120" w:before="240"/>
      </w:pPr>
      <w:r>
        <w:t xml:space="preserve">§6.4 Joint null-family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Statistic</w:t>
            </w:r>
          </w:p>
        </w:tc>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Primary null</w:t>
            </w:r>
          </w:p>
        </w:tc>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Sensitivity null</w:t>
            </w:r>
          </w:p>
        </w:tc>
        <w:tc>
          <w:tcPr>
            <w:tcW w:type="dxa" w:w="21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Required for full significance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 Spectral entropy</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Family A moving-block bootstrap (15°)</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Family A full permutation</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Significance under primary</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 Low-k concentration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Family A moving-block bootstrap (15°)</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Family A full permutation</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Significance under primary</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 Cross-feature PLV</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Family B phase randomization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Significance under primary</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4. Temporal-block persistence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Family A moving-block bootstrap + Family B phase randomization (BOTH)</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Block bootstrap on each block</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Significance under BOTH</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5. Frame-invariance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Family B phase randomization (per frame)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Amplitude AND phase tests both significant</w:t>
            </w:r>
          </w:p>
        </w:tc>
      </w:tr>
    </w:tbl>
    <w:p>
      <w:r>
        <w:t xml:space="preserve"/>
      </w:r>
    </w:p>
    <w:p>
      <w:pPr>
        <w:pStyle w:val="Heading1"/>
        <w:spacing w:after="180" w:before="360"/>
      </w:pPr>
      <w:r>
        <w:t xml:space="preserve">§7. Multiple-Comparison Architecture</w:t>
      </w:r>
    </w:p>
    <w:p>
      <w:pPr>
        <w:pStyle w:val="Heading2"/>
        <w:spacing w:after="120" w:before="240"/>
      </w:pPr>
      <w:r>
        <w:t xml:space="preserve">§7.1 Primary inference: FDR Benjamini-Hochberg</w:t>
      </w:r>
    </w:p>
    <w:p>
      <w:pPr>
        <w:spacing w:after="80" w:before="80"/>
      </w:pPr>
      <w:r>
        <w:t xml:space="preserve">All per-feature p-values from each test statistic are corrected for false discovery rate using the Benjamini-Hochberg procedure at q = 0.01 (locked, primary). The correction is applied within each statistic separately at each stage (1.5A: 10 features × 5 statistics; 1.5B: 6 origins × N features × 5 statistics; 1.5C: 1,482 features × 5 statistics). The combined-omnibus per-feature p-value is computed as specified in §4.1 — three combination methods (HMP, Fisher, Stouffer) reported in parallel — and FDR is applied separately to each combination method's per-feature p-value vector. A feature classified as 'rejecting the null at FDR q=0.01' requires q-value ≤ 0.01 under at least two of the three combination methods.</w:t>
      </w:r>
    </w:p>
    <w:p>
      <w:pPr>
        <w:pStyle w:val="Heading2"/>
        <w:spacing w:after="120" w:before="240"/>
      </w:pPr>
      <w:r>
        <w:t xml:space="preserve">§7.2 Secondary inference: stratified FDR</w:t>
      </w:r>
    </w:p>
    <w:p>
      <w:pPr>
        <w:spacing w:after="80" w:before="80"/>
      </w:pPr>
      <w:r>
        <w:t xml:space="preserve">Within each coverage class (Tier A, Tier B, Tier C, PoF, elongation-bound, sparse-outer), FDR Benjamini-Hochberg is applied at q = 0.05 (locked, secondary). Stratified results are reported in addition to the primary panel-wide results. Discrepancies between primary and stratified inference are reported and discussed.</w:t>
      </w:r>
    </w:p>
    <w:p>
      <w:pPr>
        <w:pStyle w:val="Heading2"/>
        <w:spacing w:after="120" w:before="240"/>
      </w:pPr>
      <w:r>
        <w:t xml:space="preserve">§7.3 Family-wise error control: Bonferroni (most conservative)</w:t>
      </w:r>
    </w:p>
    <w:p>
      <w:pPr>
        <w:spacing w:after="80" w:before="80"/>
      </w:pPr>
      <w:r>
        <w:t xml:space="preserve">Bonferroni-corrected p-values are reported in supplementary tables for the most aggressive review standard. For Stage 1.5C, the total individual-test count is approximately 1,482 features × 5 statistics × 20 harmonics = 148,200 tests; the Bonferroni threshold is α / 148,200 ≈ 3.4 × 10⁻⁷ for any single test to survive at α = 0.05. Surviving Bonferroni in Stage 1.5C is not required for primary inference (which uses FDR) but is reported as a strength check.</w:t>
      </w:r>
    </w:p>
    <w:p>
      <w:pPr>
        <w:pStyle w:val="Heading2"/>
        <w:spacing w:after="120" w:before="240"/>
      </w:pPr>
      <w:r>
        <w:t xml:space="preserve">§7.4 Pre-registered decision: combining stages</w:t>
      </w:r>
    </w:p>
    <w:p>
      <w:pPr>
        <w:spacing w:after="80" w:before="80"/>
      </w:pPr>
      <w:r>
        <w:t xml:space="preserve">If Stage 1.5A supports primary escalation but Stage 1.5B does not (a contradiction), the resolution is: Stage 1.5C is performed and reported, but the overall Phase 1.5 conclusion is downgraded to secondary exploratory escalation. If Stage 1.5A and 1.5B both support primary escalation but Stage 1.5C does not, the overall conclusion is also downgraded to secondary exploratory escalation. Primary confirmatory escalation requires primary support at ALL THREE stages. This conservative decision rule is intentional and is locked here.</w:t>
      </w:r>
    </w:p>
    <w:p>
      <w:pPr>
        <w:pStyle w:val="Heading1"/>
        <w:spacing w:after="180" w:before="360"/>
      </w:pPr>
      <w:r>
        <w:t xml:space="preserve">§8. Reporting and Publication Policy</w:t>
      </w:r>
    </w:p>
    <w:p>
      <w:pPr>
        <w:spacing w:after="80" w:before="80"/>
      </w:pPr>
      <w:r>
        <w:t xml:space="preserve">All Phase 1.5 results are reported regardless of outcome, in accordance with pre-registration best practice and Anthropic-style reporting standards. The reporting policy is locked here:</w:t>
      </w:r>
    </w:p>
    <w:p>
      <w:pPr>
        <w:pStyle w:val="Heading2"/>
        <w:spacing w:after="120" w:before="240"/>
      </w:pPr>
      <w:r>
        <w:t xml:space="preserve">§8.1 If Phase 1.5 supports primary inferential escalation</w:t>
      </w:r>
    </w:p>
    <w:p>
      <w:pPr>
        <w:spacing w:after="80" w:before="80"/>
      </w:pPr>
      <w:r>
        <w:t xml:space="preserve">Paper 1 incorporates Phase 1.5 spectral and coherence results as a major analytical section (Section 4 — Waveform Structure), with the locked Statement language: 'Evidence for structured angular organization across the full feature panel is statistically inconsistent with exchangeable-noise circular processes under multiple independent constrained null models, with effect sizes and significance levels documented in Tables 4.1 through 4.X.' Wavelet, multiscale, and topology analyses are explicitly NOT included; they are reserved for a Phase 1.5D pre-registration and are mentioned only as planned future work.</w:t>
      </w:r>
    </w:p>
    <w:p>
      <w:pPr>
        <w:pStyle w:val="Heading2"/>
        <w:spacing w:after="120" w:before="240"/>
      </w:pPr>
      <w:r>
        <w:t xml:space="preserve">§8.2 If Phase 1.5 supports secondary exploratory escalation only</w:t>
      </w:r>
    </w:p>
    <w:p>
      <w:pPr>
        <w:spacing w:after="80" w:before="80"/>
      </w:pPr>
      <w:r>
        <w:t xml:space="preserve">Paper 1 reports Phase 1.5 results in a section explicitly framed as 'Exploratory Spectral Analysis,' with Statement language: 'Spectral structure consistent with the structural-geometry framework of Phase 1 is observed in [specific stratum / classes], although evidence does not reach the threshold for confirmatory inference under the pre-registered null ensemble. These results are reported as suggestive secondary evidence and motivation for follow-up methodology in subsequent work.'</w:t>
      </w:r>
    </w:p>
    <w:p>
      <w:pPr>
        <w:pStyle w:val="Heading2"/>
        <w:spacing w:after="120" w:before="240"/>
      </w:pPr>
      <w:r>
        <w:t xml:space="preserve">§8.3 If Phase 1.5 does not support confirmatory escalation</w:t>
      </w:r>
    </w:p>
    <w:p>
      <w:pPr>
        <w:spacing w:after="80" w:before="80"/>
      </w:pPr>
      <w:r>
        <w:t xml:space="preserve">Paper 1 reports Phase 1.5 as a comprehensive negative spectral result, with Statement language: 'Phase 1.5 spectral and coherence analysis under the pre-registered null ensemble does not provide statistical support for waveform-level angular organization beyond the localized peak structure documented in Phase 1. The structural-geometry framework documented in Phase 1 is reaffirmed; spectral evidence at the waveform level is reserved as a target for future methodological development. The negative spectral result is reported in full transparency, including all per-feature spectra, all test statistics, all surrogate distributions, and the pre-registered analysis code.'</w:t>
      </w:r>
    </w:p>
    <w:p>
      <w:pPr>
        <w:pStyle w:val="Heading2"/>
        <w:spacing w:after="120" w:before="240"/>
      </w:pPr>
      <w:r>
        <w:t xml:space="preserve">§8.4 Public archival</w:t>
      </w:r>
    </w:p>
    <w:p>
      <w:pPr>
        <w:spacing w:after="80" w:before="80"/>
      </w:pPr>
      <w:r>
        <w:t xml:space="preserve">Upon completion of Phase 1.5, regardless of outcome: (a) all per-feature spectra are archived to OSF; (b) all surrogate distributions are archived as compressed CSVs; (c) all analysis code is archived to the GitHub repository under tag phase_1_5_locked; (d) this Pre-Registration Document is locked as v1.x-final and timestamped on OSF at registration; (e) the deviation log (any departure from this pre-registration) is archived alongside the results; (f) the harmonic-mean omnibus p-values, FDR-adjusted q-values, and Bonferroni-adjusted p-values are reported per feature in supplementary tables.</w:t>
      </w:r>
    </w:p>
    <w:p>
      <w:pPr>
        <w:pStyle w:val="Heading2"/>
        <w:spacing w:after="120" w:before="240"/>
      </w:pPr>
      <w:r>
        <w:t xml:space="preserve">§8.5 Note on rhetoric in the published paper</w:t>
      </w:r>
    </w:p>
    <w:p>
      <w:pPr>
        <w:spacing w:after="80" w:before="80"/>
      </w:pPr>
      <w:r>
        <w:t xml:space="preserve">The three-state advancement language used internally in this pre-registration ("supports primary inferential escalation," "supports secondary exploratory escalation," "does not support confirmatory escalation") is operationally precise but may read as overarchitected to external reviewers. In the published paper, this taxonomy is to be simplified rhetorically while preserving its operational content: the underlying decision rules remain binding, but the language used in the manuscript text is to be aligned with conventional statistical-reporting style (e.g., "primary results," "secondary results," "null results") rather than the internal escalation taxonomy. The internal taxonomy remains in the supplementary methods and the deviation log.</w:t>
      </w:r>
    </w:p>
    <w:p>
      <w:pPr>
        <w:pStyle w:val="Heading1"/>
        <w:spacing w:after="180" w:before="360"/>
      </w:pPr>
      <w:r>
        <w:t xml:space="preserve">§9. Deviation Log Policy</w:t>
      </w:r>
    </w:p>
    <w:p>
      <w:pPr>
        <w:spacing w:after="80" w:before="80"/>
      </w:pPr>
      <w:r>
        <w:t xml:space="preserve">Any analytical decision made during Phase 1.5 execution that is not specified in this Pre-Registration Document is, by definition, exploratory. Such decisions are recorded in a Deviation Log (a single file appended to during execution) with the following fields per entry: (a) date, (b) decision, (c) reason, (d) effect on primary inference (none / qualitative / quantitative), (e) explicit reclassification of any affected results from primary to secondary inference. The Deviation Log is published with the results regardless of outcome. This policy is intended to make any post-hoc analytical flexibility transparent to reviewers.</w:t>
      </w:r>
    </w:p>
    <w:p>
      <w:pPr>
        <w:spacing w:after="80" w:before="80"/>
      </w:pPr>
      <w:r>
        <w:t xml:space="preserve">Examples of common potential deviations and their pre-registered handling: choice of plotting style (no Deviation Log entry needed; cosmetic only); discovery during execution that a feature's smoothed_360 vector contains NaN values not detected during Phase 1 lock (Deviation Log entry: investigate cause, exclude feature from analysis if cause is data-corruption, preserve in analysis if cause is structural-zero with documentation); discovery that a particular surrogate procedure is computationally infeasible at 10,000 iterations within available compute time (Deviation Log entry: reduce surrogate count to feasible value with explicit power calculation showing remaining inferential validity, or extend analysis time).</w:t>
      </w:r>
    </w:p>
    <w:p>
      <w:pPr>
        <w:pStyle w:val="Heading1"/>
        <w:spacing w:after="180" w:before="360"/>
      </w:pPr>
      <w:r>
        <w:t xml:space="preserve">§10. Implementation Sequence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00"/>
        <w:gridCol w:w="2060"/>
      </w:tblGrid>
      <w:tr>
        <w:tc>
          <w:tcPr>
            <w:tcW w:type="dxa" w:w="8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Step</w:t>
            </w:r>
          </w:p>
        </w:tc>
        <w:tc>
          <w:tcPr>
            <w:tcW w:type="dxa" w:w="6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Action</w:t>
            </w:r>
          </w:p>
        </w:tc>
        <w:tc>
          <w:tcPr>
            <w:tcW w:type="dxa" w:w="20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Output</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w:t>
            </w:r>
          </w:p>
        </w:tc>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PI approval of this Pre-Registration Document v1; ChatG hostile review</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v1.1 with edits if needed</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w:t>
            </w:r>
          </w:p>
        </w:tc>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Lock as v1.1-final; OSF amendment registers the document with timestamp</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OSF-registered timestamp</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w:t>
            </w:r>
          </w:p>
        </w:tc>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Build Stage 1.5A analysis cell on the 10 locked MO-1 Tier A features per the specifications in §6 and §7. The cell loads the locked smoothed_360 CSVs from /content/drive/MyDrive/OMNI_PROJECT/workspace, performs the five-statistic suite under the specified null procedures, computes per-feature omnibus p-values via harmonic mean, applies FDR q=0.01, classifies the outcome under §4.1.</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Stage 1.5A results</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4</w:t>
            </w:r>
          </w:p>
        </w:tc>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Stage 1.5A outcome review with PI and ChatG against locked criteria (§4.1)</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Outcome classification</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5</w:t>
            </w:r>
          </w:p>
        </w:tc>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If 1.5A supports primary or secondary escalation, build Stage 1.5B analysis cell per §4.2 and §6</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Stage 1.5B results</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6</w:t>
            </w:r>
          </w:p>
        </w:tc>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Stage 1.5B outcome review against locked criteria (§4.2)</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Outcome classification</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w:t>
            </w:r>
          </w:p>
        </w:tc>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Build Stage 1.5C full-panel cell per §4.3 and §6, scaled to 1,482 features</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Stage 1.5C results</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8</w:t>
            </w:r>
          </w:p>
        </w:tc>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Stage 1.5C outcome review against locked criteria (§4.3)</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Outcome classification</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9</w:t>
            </w:r>
          </w:p>
        </w:tc>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Compile Phase 1.5 Results document under §8 reporting policy; archive code and surrogate distributions; finalize Deviation Log</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Phase 1.5 Results lock</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w:t>
            </w:r>
          </w:p>
        </w:tc>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Incorporate Phase 1.5 Results into Paper 1 Section 4 (or equivalent) per §8 reporting policy</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Paper 1 update</w:t>
            </w:r>
          </w:p>
        </w:tc>
      </w:tr>
    </w:tbl>
    <w:p>
      <w:r>
        <w:t xml:space="preserve"/>
      </w:r>
    </w:p>
    <w:p>
      <w:pPr>
        <w:spacing w:after="80" w:before="80"/>
      </w:pPr>
      <w:r>
        <w:t xml:space="preserve">Step 11 (out of scope for this pre-registration): if Phase 1.5 supports primary or secondary escalation and motivates wavelet-based or topological follow-up, a separate Phase 1.5D Pre-Registration Document will be drafted and registered on OSF prior to any wavelet analysis. This is not part of the present pre-registration.</w:t>
      </w:r>
    </w:p>
    <w:p>
      <w:pPr>
        <w:pStyle w:val="Heading1"/>
        <w:spacing w:after="180" w:before="360"/>
      </w:pPr>
      <w:r>
        <w:t xml:space="preserve">§11. Document Status and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Document</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Phase 1.5 Pre-Registration v1.1-final</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Status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Lock-ready for OSF registration; PI approval pending</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Modeled on</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Protocol-style pre-registration standards (high-rigor format inspired by clinical and multi-site research protocol structure)</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Engine (Phase 1)</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cell_v2_batch_v2_0_2 (schema 2.0.2; locked)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Workflow</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OMNI_Workflow_v1 §7 + Phase 1.5 amendment (this document)</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Controlled vocabulary</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paper_language.md (Sampling-Geometry Principle; Two-Regime Signal Architecture; Concentration-Regime Caveat; Detection-vs-Localization; Statements MO-1 through MO-7, ME-1 through ME-7)</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Predecessor handoffs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Six locked Phase 1 Batch Summaries (Asc, MC, VX, EA, MO, ME)</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Reviewer</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ChatG hostile-review pass complete with sign-off received; architecture iterated through ChatG ↔ Claude ↔ PI dialogue. Reviewer assessment: statistically serious, methodologically coherent, appropriately conservative, publication-defensible if executed faithfully.</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Authority</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Pre-registration is binding for primary inferential framing; deviation handling is specified in §9</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v1 → v1.1 changes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 §1 corrected: 'player birth-time data' replaced with 'game-event outcome variables' (critical scope correction); (2) §2.4 added: notation table with all symbols defined; (3) tone softened from 'clinical-trial-grade' to 'protocol-style high-rigor' throughout; (4) §3.6 added: justification of k=1..20 inferential band on three principled grounds; (5) §6.1 null hierarchy flipped: moving-block bootstrap now PRIMARY, full random permutation now SECONDARY (autocorrelation-preserving null is the more honest comparison given smoothed input); (6) §4.1 omnibus statistic strengthened: three combination methods (HMP, Fisher, Stouffer) reported in parallel, classification requires significance under at least two; (7) §6.3.5 motivation paragraph added to frame-invariance test explaining its geometric significance as the spectral bridge between Phase 1 and Phase 1.5; (8) §8.5 added on simplifying escalation rhetoric in eventual paper text</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OSF amendment</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Registered prior to any Phase 1.5 analysis being performed</w:t>
            </w:r>
          </w:p>
        </w:tc>
      </w:tr>
    </w:tbl>
    <w:p>
      <w:r>
        <w:t xml:space="preserve"/>
      </w:r>
    </w:p>
    <w:p>
      <w:pPr>
        <w:spacing w:before="360"/>
        <w:jc w:val="center"/>
      </w:pPr>
      <w:r>
        <w:rPr>
          <w:i/>
          <w:iCs/>
        </w:rPr>
        <w:t xml:space="preserve">End of Phase 1.5 Pre-Registration Document v1.1-final.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4"/>
      <w:szCs w:val="24"/>
    </w:rPr>
  </w:style>
  <w:style w:type="paragraph" w:styleId="Heading3">
    <w:name w:val="Heading 3"/>
    <w:basedOn w:val="Normal"/>
    <w:next w:val="Normal"/>
    <w:qFormat/>
    <w:pPr>
      <w:spacing w:after="100" w:before="200"/>
      <w:outlineLvl w:val="2"/>
    </w:pPr>
    <w:rPr>
      <w:rFonts w:ascii="Calibri" w:cs="Calibri" w:eastAsia="Calibri" w:hAnsi="Calibri"/>
      <w:b/>
      <w:bCs/>
      <w:color w:val="5B9BD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1.5 Pre-Registration v1.1-final</dc:title>
  <dc:creator>OMNI Geometry MLB / Claude</dc:creator>
  <cp:lastModifiedBy>Un-named</cp:lastModifiedBy>
  <cp:revision>1</cp:revision>
  <dcterms:created xsi:type="dcterms:W3CDTF">2026-05-10T04:16:45.385Z</dcterms:created>
  <dcterms:modified xsi:type="dcterms:W3CDTF">2026-05-10T04:16:45.386Z</dcterms:modified>
</cp:coreProperties>
</file>

<file path=docProps/custom.xml><?xml version="1.0" encoding="utf-8"?>
<Properties xmlns="http://schemas.openxmlformats.org/officeDocument/2006/custom-properties" xmlns:vt="http://schemas.openxmlformats.org/officeDocument/2006/docPropsVTypes"/>
</file>