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36"/>
          <w:szCs w:val="36"/>
        </w:rPr>
        <w:t xml:space="preserve">MC BATCH SUMMARY v1.1-final</w:t>
      </w:r>
    </w:p>
    <w:p>
      <w:pPr>
        <w:spacing w:after="60"/>
        <w:jc w:val="center"/>
      </w:pPr>
      <w:r>
        <w:rPr>
          <w:sz w:val="24"/>
          <w:szCs w:val="24"/>
        </w:rPr>
        <w:t xml:space="preserve">OMNI Geometry MLB — Paper 1</w:t>
      </w:r>
    </w:p>
    <w:p>
      <w:pPr>
        <w:spacing w:after="240"/>
        <w:jc w:val="center"/>
      </w:pPr>
      <w:r>
        <w:rPr>
          <w:i/>
          <w:iCs/>
        </w:rPr>
        <w:t xml:space="preserve">Phase 1 Confirmatory Batch — Midheaven (MC)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PI</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Courtney Roberts Conrad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Copyright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2026 Courtney Roberts Conrad. All rights reserved.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OSF</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https://osf.io/yhxt4/overview</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GitHub</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omni-geometry-mlb (private)</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cell_v2_batch_v2_0_2 (schema 2.0.2;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Workflow</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OMNI_Workflow_v1 §7</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Predecessor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Asc Batch Summary v5</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Document version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 Batch Summary v1.1-final — lock-ready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Lock-ready (pending PI sign-off)</w:t>
            </w:r>
          </w:p>
        </w:tc>
      </w:tr>
    </w:tbl>
    <w:p>
      <w:r>
        <w:t xml:space="preserve"/>
      </w:r>
    </w:p>
    <w:p>
      <w:pPr>
        <w:pStyle w:val="Heading1"/>
        <w:spacing w:after="180" w:before="360"/>
      </w:pPr>
      <w:r>
        <w:t xml:space="preserve">§1. Document Scope and Authority</w:t>
      </w:r>
    </w:p>
    <w:p>
      <w:pPr>
        <w:spacing w:after="80" w:before="80"/>
      </w:pPr>
      <w:r>
        <w:t xml:space="preserve">This document is the authoritative internal reference for the MC-origin batch in Phase 1 of the OMNI Geometry MLB study. It mirrors the structure of the Asc Batch Summary v5 and applies the identical locked methodological framework: the H1 support floor, the four-regime sampling-geometry framework, the coverage-tier framework, the separation-domain principle, the two-regime signal architecture, and the concentration-regime caveat. No methodological language is introduced de novo; controlled vocabulary is sourced from paper_language.md.</w:t>
      </w:r>
    </w:p>
    <w:p>
      <w:pPr>
        <w:spacing w:after="80" w:before="80"/>
      </w:pPr>
      <w:r>
        <w:t xml:space="preserve">The MC batch comprises six chunks (positions 1, 2, 4, 5, 6, 8 in the standard nine-construction layout). Three constructions (positions 3, 7, 9) are excluded by Filter M1 of OMNI_Workflow_v1 §6: the meridian is structurally fixed near a single azimuthal value across the 25-year sample window, so MC G-AZ origin values were not propagated by the Swiss Ephemeris pipeline as a domain-restriction Issue under the OSF deviation policy. The six MC chunks therefore yield a maximum testable scope of 6 chunks × 17 target bodies × 2 outcomes = 204 evaluations. PoF coverage is available in all six MC aspect files (Filter M2 not active for this batch).</w:t>
      </w:r>
    </w:p>
    <w:p>
      <w:pPr>
        <w:pStyle w:val="Heading1"/>
        <w:spacing w:after="180" w:before="360"/>
      </w:pPr>
      <w:r>
        <w:t xml:space="preserve">§2. MC Batch Overview</w:t>
      </w:r>
    </w:p>
    <w:p>
      <w:pPr>
        <w:spacing w:after="80" w:before="80"/>
      </w:pPr>
      <w:r>
        <w:t xml:space="preserve">Six chunks executed under the locked engine, in order. All 204 evaluations achieved successful Phase A locks; no skipped or failed lock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400"/>
        <w:gridCol w:w="1400"/>
        <w:gridCol w:w="1400"/>
        <w:gridCol w:w="1660"/>
      </w:tblGrid>
      <w:tr>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Chunk</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Construction</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Attempted</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Supported</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Rate (%)</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Regime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79.4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82.4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same-coord (excluded)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G-RA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79.4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G-LON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79.4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G-AZ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73.5</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 G-LON (excluded)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MC-8</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G-AZ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70.6</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 G-RA (excluded)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r>
      <w:tr>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Total</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204</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158</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77.5</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w:t>
            </w:r>
          </w:p>
        </w:tc>
      </w:tr>
    </w:tbl>
    <w:p>
      <w:r>
        <w:t xml:space="preserve"/>
      </w:r>
    </w:p>
    <w:p>
      <w:pPr>
        <w:spacing w:after="80" w:before="80"/>
      </w:pPr>
      <w:r>
        <w:t xml:space="preserve">Panel-wide MC support: 158 / 204 = 77.5%. This exceeds the corresponding Asc panel-wide rate of 215 / 294 = 73.1% by 4.4 percentage points. The MC support rate falls cleanly within the framework's expected band for an angle origin without horizon interaction; comparison with Asc is descriptive and does not assert relative effect-size magnitude across origins.</w:t>
      </w:r>
    </w:p>
    <w:p>
      <w:pPr>
        <w:pStyle w:val="Heading1"/>
        <w:spacing w:after="180" w:before="360"/>
      </w:pPr>
      <w:r>
        <w:t xml:space="preserve">§3. Cross-Origin Comparison: MC vs. Asc by Construction</w:t>
      </w:r>
    </w:p>
    <w:p>
      <w:pPr>
        <w:spacing w:after="80" w:before="80"/>
      </w:pPr>
      <w:r>
        <w:t xml:space="preserve">Per-chunk H1 support rates against the Asc reference batch (descriptive only).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1700"/>
        <w:gridCol w:w="1700"/>
        <w:gridCol w:w="2160"/>
      </w:tblGrid>
      <w:tr>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Chunk</w:t>
            </w:r>
          </w:p>
        </w:tc>
        <w:tc>
          <w:tcPr>
            <w:tcW w:type="dxa" w:w="2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Construction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Asc support</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MC support</w:t>
            </w:r>
          </w:p>
        </w:tc>
        <w:tc>
          <w:tcPr>
            <w:tcW w:type="dxa" w:w="21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Δ (pp)</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same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22/34 (64.7%)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+14.7</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same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28/34 (82.4%)</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+3.0</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G-RA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24/34 (70.6%)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+8.8</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G-LON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24/34 (70.6%)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+8.8</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6</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G-AZ</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25/34 (73.5%)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25/34 (73.5%)</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0.0</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G-AZ</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26/34 (76.5%)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24/34 (70.6%)</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−5.9</w:t>
            </w:r>
          </w:p>
        </w:tc>
      </w:tr>
    </w:tbl>
    <w:p>
      <w:r>
        <w:t xml:space="preserve"/>
      </w:r>
    </w:p>
    <w:p>
      <w:pPr>
        <w:spacing w:after="80" w:before="80"/>
      </w:pPr>
      <w:r>
        <w:t xml:space="preserve">The cross-origin comparison reveals a structurally interpretable pattern. MC outperforms Asc on every construction in which both origin and target are expressed in equatorial or ecliptic frames (chunks 1, 2, 4, 5), with the largest delta in same-coord G-LON (+14.7 pp) and the smallest in same-coord G-RA (+3.0 pp). When the target frame is G-AZ (chunks 6 and 8), MC and Asc converge: chunks 6 reproduce identically at 73.5%, and MC-8 falls slightly below Asc-8. This pattern is consistent with the locked separation-domain principle: when the target frame carries the construction's coverage character — as G-AZ does through Earth's daily rotation — origin-frame distinctions matter less. The construction inherits its dominant measurement-system properties from the side governing sampling geometry, and in target-G-AZ chunks that side is the target.</w:t>
      </w:r>
    </w:p>
    <w:p>
      <w:pPr>
        <w:pStyle w:val="Heading1"/>
        <w:spacing w:after="180" w:before="360"/>
      </w:pPr>
      <w:r>
        <w:t xml:space="preserve">§4. Detection Robustness</w:t>
      </w:r>
    </w:p>
    <w:p>
      <w:pPr>
        <w:spacing w:after="80" w:before="80"/>
      </w:pPr>
      <w:r>
        <w:t xml:space="preserve">Among the 132 evaluations on coverage-clean target bodies (Tier A: MO, MA, VS, PA, JN, CE; PoF: PFff, PFdn; Tier B: JU, NN; Tier C: SA), MC achieves H1 support in every evaluation across all six chunks. This is a 132 / 132 = 100% support rate on the coverage-clean class. The same finding was reported for the Asc batch in Asc Batch Summary v5; MC reproduces it independently under a different angle origin. Detection robustness on coverage-clean bodies is therefore demonstrated across both angle origins examined to date in Phase 1.</w:t>
      </w:r>
    </w:p>
    <w:p>
      <w:pPr>
        <w:spacing w:after="80" w:before="80"/>
      </w:pPr>
      <w:r>
        <w:t xml:space="preserve">Phase B temporal validation under the locked Phase A parameters reinforces this: across the same 132 coverage-clean evaluations, the 7-block scheme classifies 94 / 96 (97.9%) of Tier A and PoF rows as anchor or persistent, Tier B at 23 / 24 (95.8%), and Tier C at 10 / 12 (83.3%). The five fragile classifications under the 7-block scheme on the coverage-clean class concentrate in the G-AZ-target chunks (MC-6 and MC-8), with one Tier C evaluation (Saturn High in MC-8) classifying as fragile under all three temporal schemes — a single instance worth flagging but not characteristic of the coverage-clean class as a whole.</w:t>
      </w:r>
    </w:p>
    <w:p>
      <w:pPr>
        <w:pStyle w:val="Heading1"/>
        <w:spacing w:after="180" w:before="360"/>
      </w:pPr>
      <w:r>
        <w:t xml:space="preserve">§5. Frame-Dependent Localization</w:t>
      </w:r>
    </w:p>
    <w:p>
      <w:pPr>
        <w:spacing w:after="80" w:before="80"/>
      </w:pPr>
      <w:r>
        <w:t xml:space="preserve">The locked detection-vs-localization principle (Methods §2; Statement 2 of Asc Summary v5) predicts that signal presence is invariant across coordinate transformations while peak location is frame-dependent. The MC batch reproduces this pattern across all six chunks. For example, the Moon's High-target peak migrates 336° (MC-1, G-LON same) → 169° (MC-2, G-RA same) → 117° (MC-4, G-LON × G-RA) → 169° (MC-5, G-RA × G-LON) → 103° (MC-6, G-LON × G-AZ) → 239° (MC-8, G-RA × G-AZ). Vesta's High-target peak migrates 160° → 53° → 256° → 108° → 265° → 264°. Pallas's migrates 156° → 5° → 168° → 149° → 46° → 47°.</w:t>
      </w:r>
    </w:p>
    <w:p>
      <w:pPr>
        <w:spacing w:after="80" w:before="80"/>
      </w:pPr>
      <w:r>
        <w:t xml:space="preserve">These migrations are systematic, not stochastic: each peak's location is a deterministic function of the angle defined by the origin frame and the target frame, applied to the body's geocentric position at the event time. Detection holds invariant; localization shifts. The same body classes that anchor across all six MC chunks are the same body classes that anchored across all nine Asc chunks, despite peak positions differing in every chunk.</w:t>
      </w:r>
    </w:p>
    <w:p>
      <w:pPr>
        <w:pStyle w:val="Heading1"/>
        <w:spacing w:after="180" w:before="360"/>
      </w:pPr>
      <w:r>
        <w:t xml:space="preserve">§6. Coverage-Driven Failure Geometry</w:t>
      </w:r>
    </w:p>
    <w:p>
      <w:pPr>
        <w:spacing w:after="80" w:before="80"/>
      </w:pPr>
      <w:r>
        <w:t xml:space="preserve">Of the 46 evaluations not satisfying H1 in the MC batch, all 46 fall on bodies whose geocentric motion is geometrically mismatched to the 360° angular-separation measurement system: 23 of 36 evaluations on the constrained-motion inner planets (Mercury, Venus, Sun, all bound to a narrow elongation envelope from the Sun) and 23 of 36 evaluations on the sparse outer planets (Uranus, Neptune, Pluto, whose orbital periods exceed the 25-year sample window such that less than one full orbit is observed). All 46 failures are count-floor failures (peak_smoothed_count &lt; 30 under the locked window), not lock failures and not lift-floor failures. Every Phase A lock succeeded; the engine correctly detected the highest-amplitude smoothed-lift point in every feature, and the count floor correctly tagged peaks built on sparse local sampling as unconfirmed.</w:t>
      </w:r>
    </w:p>
    <w:p>
      <w:pPr>
        <w:spacing w:after="80" w:before="80"/>
      </w:pPr>
      <w:r>
        <w:t xml:space="preserve">This is the same coverage-driven failure pattern documented in the Asc batch and characterized in Methods §2.7 (coverage-tier framework). It is not a defect in the data, in the engine, or in the bodies; it is the predictable result of measuring constrained-motion or sub-cycle-period bodies on a 360° separation grid. As pre-registered, treatment of these bodies is reserved for Phase 2, where measurement systems matched to their actual motion (an elongation-domain framework for the inner planets, a phase-folded or coverage-aware framework for the outer planets) will be developed under a separate pre-registration.</w:t>
      </w:r>
    </w:p>
    <w:p>
      <w:r>
        <w:t xml:space="preserve"/>
      </w:r>
    </w:p>
    <w:p>
      <w:pPr>
        <w:spacing w:after="80" w:before="80"/>
      </w:pPr>
      <w:r>
        <w:t xml:space="preserve">Notable within-failure-class observations:</w:t>
      </w:r>
    </w:p>
    <w:p>
      <w:pPr>
        <w:pStyle w:val="ListParagraph"/>
        <w:numPr>
          <w:ilvl w:val="0"/>
          <w:numId w:val="2"/>
        </w:numPr>
        <w:spacing w:after="60" w:before="60"/>
      </w:pPr>
      <w:r>
        <w:t xml:space="preserve">Mercury High clears H1 in every construction involving G-RA on either side (MC-2, MC-4, MC-5), and fails in MC-1 (same-coord G-LON), MC-6, and MC-8 (G-AZ-target). The G-RA frame's denser equatorial sampling profile gives Mercury High enough events at its peak to clear the count floor.</w:t>
      </w:r>
    </w:p>
    <w:p>
      <w:pPr>
        <w:pStyle w:val="ListParagraph"/>
        <w:numPr>
          <w:ilvl w:val="0"/>
          <w:numId w:val="2"/>
        </w:numPr>
        <w:spacing w:after="60" w:before="60"/>
      </w:pPr>
      <w:r>
        <w:t xml:space="preserve">Sun High clears H1 in MC-2, MC-4, MC-5, MC-6, and MC-8, and fails only in MC-1. The same G-RA-association pattern applies.</w:t>
      </w:r>
    </w:p>
    <w:p>
      <w:pPr>
        <w:pStyle w:val="ListParagraph"/>
        <w:numPr>
          <w:ilvl w:val="0"/>
          <w:numId w:val="2"/>
        </w:numPr>
        <w:spacing w:after="60" w:before="60"/>
      </w:pPr>
      <w:r>
        <w:t xml:space="preserve">Uranus is supported in both targets in MC-1, MC-2, MC-4, MC-5 (counts 61–131), and fails on both targets in MC-6 and MC-8 where the G-AZ target frame produces single-event peaks. Uranus thus behaves as an effective Tier B body in non-G-AZ-target constructions.</w:t>
      </w:r>
    </w:p>
    <w:p>
      <w:pPr>
        <w:pStyle w:val="ListParagraph"/>
        <w:numPr>
          <w:ilvl w:val="0"/>
          <w:numId w:val="2"/>
        </w:numPr>
        <w:spacing w:after="60" w:before="60"/>
      </w:pPr>
      <w:r>
        <w:t xml:space="preserve">Neptune Low clears in MC-4 and MC-5 (counts 30 and 37) and fails elsewhere. Neptune High consistently fails. Pluto similarly clears Low only in MC-1 and MC-5 (counts 37 and 31).</w:t>
      </w:r>
    </w:p>
    <w:p>
      <w:r>
        <w:t xml:space="preserve"/>
      </w:r>
    </w:p>
    <w:p>
      <w:pPr>
        <w:spacing w:after="80" w:before="80"/>
      </w:pPr>
      <w:r>
        <w:t xml:space="preserve">A specific numerical signature in MC-6 and MC-8 G-AZ-target evaluations on the slow outer planets is the recurring smoothed-lift value 11.250244 with peak counts of 1 or 2. This value corresponds to the engine's correct numerical limit when the smoothing window encloses essentially one event in a sparse region of the 360° wheel: smoothed lift reduces to 1 / (window × baseline_rate) at that limit. The recurrence of the value across UR, NE, PL is therefore not coincidence among independent bodies but a single mechanical consequence of the smoothing window encountering the same kind of sparse local sampling in three slow-outer-planet G-AZ-target features. The count floor catches all such peaks correctly.</w:t>
      </w:r>
    </w:p>
    <w:p>
      <w:pPr>
        <w:pStyle w:val="Heading1"/>
        <w:spacing w:after="180" w:before="360"/>
      </w:pPr>
      <w:r>
        <w:t xml:space="preserve">§7. Construction-Class Hierarchy</w:t>
      </w:r>
    </w:p>
    <w:p>
      <w:pPr>
        <w:spacing w:after="80" w:before="80"/>
      </w:pPr>
      <w:r>
        <w:t xml:space="preserve">Among coverage-clean bodies, MC produces a tight band of effect-size estimates across constructions. Tier A peak smoothed lifts cluster in the 1.35–1.65 range across same-coord chunks (MC-1, MC-2) and the 1.40–1.70 range in cross-coord G-LON ↔ G-RA chunks (MC-4, MC-5), with mild elevation to 1.43–1.76 in G-AZ-target chunks (MC-6, MC-8). PoF behaves identically to Tier A in lift magnitude and count density. Saturn's High-target lift in MC-6 (2.37 at 153°, count 171) and MC-8 (2.44 at 153°, count 152) is the largest coverage-clean lift in the MC batch and is reproduced at the same peak degree across both G-AZ-target chunks, which is consistent with frame-systematic concentration of Saturn's geocentric motion when projected onto the target G-AZ separation domain.</w:t>
      </w:r>
    </w:p>
    <w:p>
      <w:pPr>
        <w:spacing w:after="80" w:before="80"/>
      </w:pPr>
      <w:r>
        <w:t xml:space="preserve">Cross-regime lift comparisons across MC and Asc are descriptive only, per the Concentration-Regime Caveat in paper_language.md. MC contains no concentration-regime constructions (all six chunks are global-regime), so the caveat applies only when comparing MC results to Asc concentration-regime chunks (Asc-3, Asc-7, Asc-9), not to MC results among themselves.</w:t>
      </w:r>
    </w:p>
    <w:p>
      <w:pPr>
        <w:pStyle w:val="Heading1"/>
        <w:spacing w:after="180" w:before="360"/>
      </w:pPr>
      <w:r>
        <w:t xml:space="preserve">§8. Temporal Persistence Summary</w:t>
      </w:r>
    </w:p>
    <w:p>
      <w:pPr>
        <w:spacing w:after="80" w:before="80"/>
      </w:pPr>
      <w:r>
        <w:t xml:space="preserve">Phase B classification counts under each temporal scheme, panel-wide across 204 MC evaluations: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1700"/>
        <w:gridCol w:w="2560"/>
      </w:tblGrid>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Scheme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w:t>
            </w:r>
          </w:p>
        </w:tc>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Persistent</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Fragile</w:t>
            </w:r>
          </w:p>
        </w:tc>
        <w:tc>
          <w:tcPr>
            <w:tcW w:type="dxa" w:w="2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 + Persistent (%)</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150</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186 / 204 (91.2%)</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143</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33</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171 / 204 (83.8%)</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146</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180 / 204 (88.2%)</w:t>
            </w:r>
          </w:p>
        </w:tc>
      </w:tr>
    </w:tbl>
    <w:p>
      <w:r>
        <w:t xml:space="preserve"/>
      </w:r>
    </w:p>
    <w:p>
      <w:pPr>
        <w:spacing w:after="80" w:before="80"/>
      </w:pPr>
      <w:r>
        <w:t xml:space="preserve">Body-class breakdown under the strictest 7-block scheme: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1500"/>
        <w:gridCol w:w="1660"/>
      </w:tblGrid>
      <w:tr>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Body class</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Persistent</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Fragile</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A+P (%)</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A (MO, MA, VS, PA, JN, CE)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68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70/72 (97.2%)</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PoF (PFff, PFdn)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24/24 (100%)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B (JU, NN)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23/24 (95.8%)</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C (SA)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10/12 (83.3%)</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Constrained inner (ME, VE, SU)</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11</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25/36 (69.4%)</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Sparse outer (UR, NE, PL)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28/36 (77.8%)</w:t>
            </w:r>
          </w:p>
        </w:tc>
      </w:tr>
    </w:tbl>
    <w:p>
      <w:r>
        <w:t xml:space="preserve"/>
      </w:r>
    </w:p>
    <w:p>
      <w:pPr>
        <w:spacing w:after="80" w:before="80"/>
      </w:pPr>
      <w:r>
        <w:t xml:space="preserve">Temporal persistence reproduces the Phase A pattern exactly: every coverage-clean class achieves anchor or persistent classification at &gt;95% across the strictest 7-block scheme, and PoF at 100%. The constrained inner planets and sparse outer planets show partial persistence — meaning that even where the 360° measurement system is geometrically mismatched to the body's motion, the temporal pattern of what the engine does lock onto recurs across blocks rather than being block-specific noise. The G-AZ-target chunks (MC-6, MC-8) carry most of the lower-persistence weight, exactly where reduced coverage of slow-outer-planet motion on the daily-rotation-driven separation domain would predict it.</w:t>
      </w:r>
    </w:p>
    <w:p>
      <w:pPr>
        <w:pStyle w:val="Heading1"/>
        <w:spacing w:after="180" w:before="360"/>
      </w:pPr>
      <w:r>
        <w:t xml:space="preserve">§9. Locked Statements</w:t>
      </w:r>
    </w:p>
    <w:p>
      <w:pPr>
        <w:spacing w:after="80" w:before="80"/>
      </w:pPr>
      <w:r>
        <w:t xml:space="preserve">These statements are proposed as the MC-batch equivalents of Asc Summary v5 Statements 1–6. They are intended for cross-review with ChatG before lock; once locked, they become controlled vocabulary for the MC-origin panel and may not be modified retroactively.</w:t>
      </w:r>
    </w:p>
    <w:p>
      <w:pPr>
        <w:pStyle w:val="Heading2"/>
        <w:spacing w:after="120" w:before="240"/>
      </w:pPr>
      <w:r>
        <w:t xml:space="preserve">Statement MC-1 — Confirmatory H1 support, panel-wide rate</w:t>
      </w:r>
    </w:p>
    <w:p>
      <w:pPr>
        <w:spacing w:after="80" w:before="80"/>
      </w:pPr>
      <w:r>
        <w:t xml:space="preserve">The Midheaven (MC) origin panel comprises six pre-registered constructions and 204 target-body evaluations under the locked Phase A pipeline (schema 2.0.2). Of these, 158 satisfy the pre-registered H1 support criterion (lock_succeeded = True; peak_smoothed_lift &gt; 1.15; peak_smoothed_count ≥ 30), yielding a panel-wide support rate of 77.5%, well above the 50% pre-registered threshold.</w:t>
      </w:r>
    </w:p>
    <w:p>
      <w:pPr>
        <w:pStyle w:val="Heading2"/>
        <w:spacing w:after="120" w:before="240"/>
      </w:pPr>
      <w:r>
        <w:t xml:space="preserve">Statement MC-2 — Detection robustness on coverage-clean bodies</w:t>
      </w:r>
    </w:p>
    <w:p>
      <w:pPr>
        <w:spacing w:after="80" w:before="80"/>
      </w:pPr>
      <w:r>
        <w:t xml:space="preserve">Among the coverage-clean target body classes (Tier A, PoF, Tier B, Tier C), MC achieves H1 support in 132 of 132 evaluations (100%) across all six chunks and across both targets. Phase B temporal persistence under the locked Phase A parameters classifies 127 of these 132 evaluations as anchor or persistent under the strictest 7-block scheme (96.2%), with PoF at 100% anchor under all three schemes.</w:t>
      </w:r>
    </w:p>
    <w:p>
      <w:pPr>
        <w:pStyle w:val="Heading2"/>
        <w:spacing w:after="120" w:before="240"/>
      </w:pPr>
      <w:r>
        <w:t xml:space="preserve">Statement MC-3 — Construction-class hierarchy</w:t>
      </w:r>
    </w:p>
    <w:p>
      <w:pPr>
        <w:spacing w:after="80" w:before="80"/>
      </w:pPr>
      <w:r>
        <w:t xml:space="preserve">MC support varies systematically by construction position: same-coord constructions (positions 1 and 2) yield the highest support (79.4–82.4%); G-LON × G-RA cross-coord constructions (positions 4 and 5) yield equivalent support (79.4% in each direction); G-AZ-target constructions (positions 6 and 8) yield lower support (70.6–73.5%) consistent with the framework prediction that target G-AZ achieves full-circle separation-domain coverage via daily rotation but at lower per-degree sampling density than equatorial or ecliptic targets. No within-MC construction comparison crosses the concentration regime; all six MC chunks are global-regime.</w:t>
      </w:r>
    </w:p>
    <w:p>
      <w:pPr>
        <w:pStyle w:val="Heading2"/>
        <w:spacing w:after="120" w:before="240"/>
      </w:pPr>
      <w:r>
        <w:t xml:space="preserve">Statement MC-4 — Coverage-driven failure geometry</w:t>
      </w:r>
    </w:p>
    <w:p>
      <w:pPr>
        <w:spacing w:after="80" w:before="80"/>
      </w:pPr>
      <w:r>
        <w:t xml:space="preserve">All 46 H1-unsupported evaluations in the MC batch are accounted for by geometric mismatch between the 360° angular-separation measurement system and the bodies' actual geocentric motion, not by absence of signal. Constrained-motion inner planets (ME, VE, SU) account for 23 of the 46; sparse outer planets (UR, NE, PL) account for the remaining 23. All 46 failures are count-floor failures rather than lock or lift-floor failures, indicating that the engine correctly detected the highest-amplitude smoothed-lift point in every feature but local sampling at the peak was insufficient to clear the pre-registered count floor of 30. Treatment of these body classes under measurement systems matched to their motion is reserved for Phase 2 under separate pre-registration.</w:t>
      </w:r>
    </w:p>
    <w:p>
      <w:pPr>
        <w:pStyle w:val="Heading2"/>
        <w:spacing w:after="120" w:before="240"/>
      </w:pPr>
      <w:r>
        <w:t xml:space="preserve">Statement MC-5 — Cross-origin convergence under target-G-AZ constructions</w:t>
      </w:r>
    </w:p>
    <w:p>
      <w:pPr>
        <w:spacing w:after="80" w:before="80"/>
      </w:pPr>
      <w:r>
        <w:t xml:space="preserve">In G-AZ-target constructions (chunks 6 and 8), MC and Asc panel support rates converge: MC-6 = Asc-6 = 73.5% identically, and MC-8 = 70.6% versus Asc-8 = 76.5%. In all other construction classes, MC support exceeds Asc by 3.0 to 14.7 percentage points. This pattern is consistent with the locked separation-domain principle: when the target frame achieves full-circle coverage through daily rotation, the construction draws its measurement-system character from the target side and origin-frame distinctions become less consequential.</w:t>
      </w:r>
    </w:p>
    <w:p>
      <w:pPr>
        <w:pStyle w:val="Heading2"/>
        <w:spacing w:after="120" w:before="240"/>
      </w:pPr>
      <w:r>
        <w:t xml:space="preserve">Statement MC-6 — Detection invariance and frame-dependent localization, replicated</w:t>
      </w:r>
    </w:p>
    <w:p>
      <w:pPr>
        <w:spacing w:after="80" w:before="80"/>
      </w:pPr>
      <w:r>
        <w:t xml:space="preserve">Across the six MC constructions, the same set of coverage-clean body pairs satisfies H1 in every chunk, while peak locations migrate systematically with the coordinate construction. Detection robustness is therefore reproduced under the MC origin independently of the Asc batch, while frame-dependent localization is reproduced as a coordinate-systematic — not stochastic — property of the measurement system. This replicates Statement 2 of the Asc Batch Summary under a different angle origin and constitutes the first cross-origin demonstration of the locked detection-vs-localization principle in Phase 1.</w:t>
      </w:r>
    </w:p>
    <w:p>
      <w:pPr>
        <w:pStyle w:val="Heading1"/>
        <w:spacing w:after="180" w:before="360"/>
      </w:pPr>
      <w:r>
        <w:t xml:space="preserve">§10. Methodological Compliance and Forward Path</w:t>
      </w:r>
    </w:p>
    <w:p>
      <w:pPr>
        <w:spacing w:after="80" w:before="80"/>
      </w:pPr>
      <w:r>
        <w:t xml:space="preserve">All MC chunks were executed under the locked engine (schema 2.0.2) without modification. No threshold changes, no feature redefinitions, no engine edits were made during MC-batch execution. Filter M1 (MC G-AZ-origin chunks excluded) was applied pre-execution under the OSF deviation policy as an Issue, not a Deviation. Filter M2 (PoF availability) was not active for MC chunks. Filter M3 (concentration regime) is not applicable to MC, which is global-regime by construction. Registry growth across the six MC chunks was 294 → 328 → 362 → 396 → 430 → 464 → 498, exactly +34 per chunk, with zero dedupe collisions and zero locking failures.</w:t>
      </w:r>
    </w:p>
    <w:p>
      <w:pPr>
        <w:spacing w:after="80" w:before="80"/>
      </w:pPr>
      <w:r>
        <w:t xml:space="preserve">The MC batch is submitted for cross-review with ChatG. On lock, MC results become the second of six pre-registered batches in Phase 1 (Asc complete; MC complete; VX, EA, MO, ME pending). The next forward batch is VX (Vertex), which mirrors the MC structural pattern: six chunks under Filter M1 exclusions, all global-regime, 204 evaluations. After VX completes, EA (East Point) follows with the full nine-construction structure analogous to Asc, including local concentration-regime chunks. After EA, MO (Moon-origin) and ME (Mercury-origin) close Phase 1.</w:t>
      </w:r>
    </w:p>
    <w:p>
      <w:pPr>
        <w:pStyle w:val="Heading1"/>
        <w:spacing w:after="180" w:before="360"/>
      </w:pPr>
      <w:r>
        <w:t xml:space="preserve">§11. Document Status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Document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 Batch Summary v1.1-final</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Lock-ready (PI sign-off pending)</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Modeled 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Asc Batch Summary v5</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cell_v2_batch_v2_0_2 (schema 2.0.2)</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Workflow</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OMNI_Workflow_v1 §7</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Controlled vocabulary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paper_language.md (Sampling-Geometry Principle; Two-Regime Signal Architecture; Concentration-Regime Caveat)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Predecessor handoff</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Handoff #3 (Pre-MC stabilization, 2026-05-04)</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Reviewer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ChatG — review complete (lock-ready)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v1 → v1.1 changes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Arithmetic corrections in §2, §4, §6, §9 (panel-wide 158/204=77.5%; coverage-clean 132/132; failures 23+23=46); ChatG-suggested wording fix in §10</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v1.1 → v1.1-final</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ChatG §3 wording refinement applied (sentence on construction inheriting measurement-system properties)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Authority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Operational summary; not a substitute for locked artifacts</w:t>
            </w:r>
          </w:p>
        </w:tc>
      </w:tr>
    </w:tbl>
    <w:p>
      <w:r>
        <w:t xml:space="preserve"/>
      </w:r>
    </w:p>
    <w:p>
      <w:pPr>
        <w:spacing w:before="360"/>
        <w:jc w:val="center"/>
      </w:pPr>
      <w:r>
        <w:rPr>
          <w:i/>
          <w:iCs/>
        </w:rPr>
        <w:t xml:space="preserve">End of MC Batch Summary v1.1-final.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 Batch Summary v1.1-final</dc:title>
  <dc:creator>OMNI Geometry MLB / Claude</dc:creator>
  <cp:lastModifiedBy>Un-named</cp:lastModifiedBy>
  <cp:revision>1</cp:revision>
  <dcterms:created xsi:type="dcterms:W3CDTF">2026-05-09T00:09:20.042Z</dcterms:created>
  <dcterms:modified xsi:type="dcterms:W3CDTF">2026-05-09T00:09:20.044Z</dcterms:modified>
</cp:coreProperties>
</file>

<file path=docProps/custom.xml><?xml version="1.0" encoding="utf-8"?>
<Properties xmlns="http://schemas.openxmlformats.org/officeDocument/2006/custom-properties" xmlns:vt="http://schemas.openxmlformats.org/officeDocument/2006/docPropsVTypes"/>
</file>