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 xml:space="preserve"># 青海省发电侧容量补偿机制深度研究报告</w:t>
      </w:r>
    </w:p>
    <w:p>
      <w:pPr>
        <w:spacing w:after="400" w:line="400" w:lineRule="atLeast"/>
      </w:pPr>
      <w:r>
        <w:rPr>
          <w:b/>
          <w:sz w:val="33"/>
        </w:rPr>
        <w:t>——基于20...</w:t>
      </w:r>
    </w:p>
    <w:p>
      <w:pPr>
        <w:pStyle w:val="Heading2"/>
        <w:spacing w:after="400" w:line="400" w:lineRule="atLeast"/>
      </w:pPr>
      <w:r>
        <w:t>回答</w:t>
      </w:r>
    </w:p>
    <w:p>
      <w:pPr>
        <w:spacing w:after="400" w:line="400" w:lineRule="atLeast"/>
        <w:jc w:val="center"/>
      </w:pPr>
      <w:r>
        <w:rPr>
          <w:b/>
          <w:sz w:val="39"/>
        </w:rPr>
        <w:t>青海省发电侧容量补偿机制深度研究报告</w:t>
      </w:r>
    </w:p>
    <w:p>
      <w:pPr>
        <w:spacing w:after="400" w:line="400" w:lineRule="atLeast"/>
      </w:pPr>
      <w:r>
        <w:rPr>
          <w:b/>
          <w:sz w:val="33"/>
        </w:rPr>
        <w:t>——基于200MW/800MWh储能项目的政策解析、财务测算与风险评估</w:t>
      </w:r>
    </w:p>
    <w:p>
      <w:pPr>
        <w:spacing w:after="400" w:line="400" w:lineRule="atLeast"/>
      </w:pPr>
      <w:r>
        <w:rPr>
          <w:b/>
          <w:sz w:val="33"/>
        </w:rPr>
        <w:t>执行摘要</w:t>
      </w:r>
    </w:p>
    <w:p>
      <w:pPr>
        <w:spacing w:after="400" w:line="400" w:lineRule="atLeast"/>
      </w:pPr>
      <w:r>
        <w:t>本报告旨在为金融机构提供关于青海省2026年拟推行的"发电侧可靠容量补偿机制"的深度分析。该政策是青海省电力市场化改革的关键举措，标志着区域电力系统从单纯电量价值向"电量+容量"双重价值体系的深刻转型。</w:t>
      </w:r>
    </w:p>
    <w:p>
      <w:pPr>
        <w:spacing w:after="400" w:line="400" w:lineRule="atLeast"/>
      </w:pPr>
      <w:r>
        <w:rPr>
          <w:b w:val="true"/>
        </w:rPr>
        <w:t>核心发现</w:t>
      </w:r>
      <w:r>
        <w:t>：根据青海省发展和改革委员会于2026年2月25日及4月21日先后发布的《关于建立青海省发电侧容量电价机制的通知（征求意见稿）》及《青海省发电侧可靠容量补偿机制（征求意见稿）》，本次政策调整对储能行业影响深远。特别是关于"系统净负荷高峰持续时长"的参数设定，在不同版本征求意见稿中存在从4小时到8小时的调整，根本性地改变了不同时长储能项目的经济模型。对于200MW/800MWh（4小时）储能项目而言，若按8小时持续时长要求计算，其可靠容量系数将大幅下降，直接影响年度容量电费收入。这一政策导向明确传递了监管部门对长时储能的偏好，金融机构在项目融资决策时需审慎评估技术路线选择与政策支持的匹配度。</w:t>
      </w:r>
    </w:p>
    <w:p>
      <w:pPr>
        <w:spacing w:after="400" w:line="400" w:lineRule="atLeast"/>
      </w:pPr>
      <w:r>
        <w:rPr>
          <w:b w:val="true"/>
        </w:rPr>
        <w:t>政策状态提示</w:t>
      </w:r>
      <w:r>
        <w:t>：截至本报告撰写之日，相关政策仍处于征求意见阶段，最终版本尚未正式发布。根据搜索结果，青海省发展和改革委员会于2026年4月21日至5月7日再次公开征求意见，表明政策仍在完善过程中。建议金融机构密切关注正式文件的发布。</w:t>
      </w:r>
    </w:p>
    <w:p>
      <w:pPr>
        <w:spacing w:after="400" w:line="400" w:lineRule="atLeast"/>
      </w:pPr>
      <w:r>
        <w:rPr>
          <w:b/>
          <w:sz w:val="33"/>
        </w:rPr>
        <w:t xml:space="preserve">第一章 政策背景与核心目标解析</w:t>
      </w:r>
    </w:p>
    <w:p>
      <w:pPr>
        <w:spacing w:after="400" w:line="400" w:lineRule="atLeast"/>
      </w:pPr>
      <w:r>
        <w:rPr>
          <w:b/>
          <w:sz w:val="30"/>
        </w:rPr>
        <w:t xml:space="preserve">1.1 政策出台的时代背景</w:t>
      </w:r>
    </w:p>
    <w:p>
      <w:pPr>
        <w:spacing w:after="400" w:line="400" w:lineRule="atLeast"/>
      </w:pPr>
      <w:r>
        <w:t>青海省作为中国清洁能源示范省，其电力系统正在经历深刻的结构性变革。截至2025年底，青海省新能源装机占比已超过总装机容量的60%，风光发电的间歇性、波动性特征对电网安全稳定运行带来了前所未有的挑战。传统电力系统中，煤电、燃气等可调节电源承担着基荷供应和调峰备用的双重功能，其固定成本通过"两部制电价"中的容量电费回收，同时通过电量电费回收变动成本。然而，随着新能源占比持续提升，煤电利用小时数持续下降，传统煤电企业的生存空间受到严重挤压，其提供的系统可靠性价值未能得到合理补偿。</w:t>
      </w:r>
    </w:p>
    <w:p>
      <w:pPr>
        <w:spacing w:after="400" w:line="400" w:lineRule="atLeast"/>
      </w:pPr>
      <w:r>
        <w:t>在此背景下，青海省发展和改革委员会于2026年2月25日发布《关于建立青海省发电侧容量电价机制的通知（征求意见稿）》，并于2026年4月21日再次发布《青海省发电侧可靠容量补偿机制（征求意见稿）》公开征求意见，标志着区域电力市场从"单一电量市场"向"电能量+容量市场"复合型市场体系的重大跨越。该文件计划于2026年正式执行，旨在通过经济补偿机制，引导和激励各类电源在电力系统高峰时段提供可靠的发电能力。</w:t>
      </w:r>
    </w:p>
    <w:p>
      <w:pPr>
        <w:spacing w:after="400" w:line="400" w:lineRule="atLeast"/>
      </w:pPr>
      <w:r>
        <w:rPr>
          <w:b/>
          <w:sz w:val="30"/>
        </w:rPr>
        <w:t xml:space="preserve">1.2 政策演进与版本差异分析</w:t>
      </w:r>
    </w:p>
    <w:p>
      <w:pPr>
        <w:spacing w:after="400" w:line="400" w:lineRule="atLeast"/>
      </w:pPr>
      <w:r>
        <w:t>根据搜索结果显示，青海省发电侧容量补偿机制在2026年经历了多轮征求意见，不同版本在关键参数上存在显著差异：</w:t>
      </w:r>
    </w:p>
    <w:p>
      <w:pPr>
        <w:spacing w:after="400" w:line="400" w:lineRule="atLeast"/>
      </w:pPr>
      <w:r>
        <w:rPr>
          <w:b w:val="true"/>
        </w:rPr>
        <w:t>2026年2月25日版本（第一轮征求意见稿）</w:t>
      </w:r>
      <w:r>
        <w:t>：</w:t>
      </w:r>
    </w:p>
    <w:p>
      <w:pPr>
        <w:numPr>
          <w:ilvl w:val="-1"/>
          <w:numId w:val="27"/>
        </w:numPr>
        <w:spacing w:after="400" w:line="400" w:lineRule="atLeast"/>
      </w:pPr>
      <w:r>
        <w:t>容量补偿标准：165元/（千瓦·年）</w:t>
      </w:r>
    </w:p>
    <w:p>
      <w:pPr>
        <w:numPr>
          <w:ilvl w:val="-1"/>
          <w:numId w:val="27"/>
        </w:numPr>
        <w:spacing w:after="400" w:line="400" w:lineRule="atLeast"/>
      </w:pPr>
      <w:r>
        <w:t>容量供需系数：1.04</w:t>
      </w:r>
    </w:p>
    <w:p>
      <w:pPr>
        <w:numPr>
          <w:ilvl w:val="-1"/>
          <w:numId w:val="27"/>
        </w:numPr>
        <w:spacing w:after="400" w:line="400" w:lineRule="atLeast"/>
      </w:pPr>
      <w:r>
        <w:t>系统净负荷高峰持续时长：按近3年净负荷高峰前0.2%时段最大持续小时数4小时计算</w:t>
      </w:r>
    </w:p>
    <w:p>
      <w:pPr>
        <w:spacing w:after="400" w:line="400" w:lineRule="atLeast"/>
      </w:pPr>
      <w:r>
        <w:rPr>
          <w:b w:val="true"/>
        </w:rPr>
        <w:t>2026年4月21日版本（第二轮征求意见稿）</w:t>
      </w:r>
      <w:r>
        <w:t>：</w:t>
      </w:r>
    </w:p>
    <w:p>
      <w:pPr>
        <w:numPr>
          <w:ilvl w:val="-1"/>
          <w:numId w:val="16"/>
        </w:numPr>
        <w:spacing w:after="400" w:line="400" w:lineRule="atLeast"/>
      </w:pPr>
      <w:r>
        <w:t>容量补偿标准：185元/（千瓦·年）（部分来源显示）</w:t>
      </w:r>
    </w:p>
    <w:p>
      <w:pPr>
        <w:numPr>
          <w:ilvl w:val="-1"/>
          <w:numId w:val="16"/>
        </w:numPr>
        <w:spacing w:after="400" w:line="400" w:lineRule="atLeast"/>
      </w:pPr>
      <w:r>
        <w:t>容量供需系数：0.92（部分来源显示）</w:t>
      </w:r>
    </w:p>
    <w:p>
      <w:pPr>
        <w:numPr>
          <w:ilvl w:val="-1"/>
          <w:numId w:val="16"/>
        </w:numPr>
        <w:spacing w:after="400" w:line="400" w:lineRule="atLeast"/>
      </w:pPr>
      <w:r>
        <w:t>系统净负荷高峰持续时长：取近3年净负荷高峰前3%时段的最大持续小时数（8小时）</w:t>
      </w:r>
    </w:p>
    <w:p>
      <w:pPr>
        <w:spacing w:after="400" w:line="400" w:lineRule="atLeast"/>
      </w:pPr>
      <w:r>
        <w:t>这种参数调整反映了监管部门在政策制定过程中的审慎态度和动态优化。特别是净负荷高峰持续时长从4小时向8小时的调整，体现了对电力系统实际运行特性的深入研究和对储能技术路线的引导。</w:t>
      </w:r>
    </w:p>
    <w:p>
      <w:pPr>
        <w:spacing w:after="400" w:line="400" w:lineRule="atLeast"/>
      </w:pPr>
      <w:r>
        <w:rPr>
          <w:b/>
          <w:sz w:val="30"/>
        </w:rPr>
        <w:t xml:space="preserve">1.3 政策的核心目标体系</w:t>
      </w:r>
    </w:p>
    <w:p>
      <w:pPr>
        <w:spacing w:after="400" w:line="400" w:lineRule="atLeast"/>
      </w:pPr>
      <w:r>
        <w:t>根据征求意见稿的政策设计逻辑，该容量补偿机制承载着多重政策目标：</w:t>
      </w:r>
    </w:p>
    <w:p>
      <w:pPr>
        <w:spacing w:after="400" w:line="400" w:lineRule="atLeast"/>
      </w:pPr>
      <w:r>
        <w:rPr>
          <w:b w:val="true"/>
        </w:rPr>
        <w:t>第一目标——保障电力系统安全稳定运行</w:t>
      </w:r>
      <w:r>
        <w:t>。这是容量补偿机制最根本的政策使命。电力系统运行需要满足实时供需平衡，而风电、光伏等新能源出力具有极强的随机性和间歇性特征。当系统处于高峰负荷时段，若新能源出力不足，将产生严重的电力缺口。容量补偿机制通过经济激励，确保系统保有足够数量的可调节电源，这些电源在平时可能处于低利用状态，但在系统最需要的时候能够及时顶峰发电，保障电力供应安全。</w:t>
      </w:r>
    </w:p>
    <w:p>
      <w:pPr>
        <w:spacing w:after="400" w:line="400" w:lineRule="atLeast"/>
      </w:pPr>
      <w:r>
        <w:rPr>
          <w:b w:val="true"/>
        </w:rPr>
        <w:t>第二目标——引导调节性电源合理建设</w:t>
      </w:r>
      <w:r>
        <w:t>。容量补偿机制相当于为可调节电源提供了一份"保底收入"，使其能够在利用小时数下降的情况下，依然保持财务可持续性，从而激励投资者继续投资建设调节性电源。从长远看，这将优化青海省的电源结构，避免盲目投资纯新能源项目而忽视调节能力的配套建设。</w:t>
      </w:r>
    </w:p>
    <w:p>
      <w:pPr>
        <w:spacing w:after="400" w:line="400" w:lineRule="atLeast"/>
      </w:pPr>
      <w:r>
        <w:rPr>
          <w:b w:val="true"/>
        </w:rPr>
        <w:t>第三目标——支持可调节型电源转型</w:t>
      </w:r>
      <w:r>
        <w:t>。对于传统煤电企业而言，容量补偿机制为其从"电量型电源"向"调节型电源"转型提供了经济支撑。煤电企业可以通过减少发电小时数、提升调节能力，在获得容量电费的同时，通过辅助服务市场获取更多收益，实现企业战略转型。</w:t>
      </w:r>
    </w:p>
    <w:p>
      <w:pPr>
        <w:spacing w:after="400" w:line="400" w:lineRule="atLeast"/>
      </w:pPr>
      <w:r>
        <w:rPr>
          <w:b w:val="true"/>
        </w:rPr>
        <w:t>第四目标——推动能源绿色低碳转型</w:t>
      </w:r>
      <w:r>
        <w:t>。该政策明确将新型储能纳入容量补偿范围，体现了对储能等灵活性调节资源的政策支持。通过差异化的补偿标准，引导储能向更长时、更能支撑系统安全的方向发展。</w:t>
      </w:r>
    </w:p>
    <w:p>
      <w:pPr>
        <w:spacing w:after="400" w:line="400" w:lineRule="atLeast"/>
      </w:pPr>
      <w:r>
        <w:rPr>
          <w:b/>
          <w:sz w:val="30"/>
        </w:rPr>
        <w:t xml:space="preserve">1.4 政策适用范围的界定</w:t>
      </w:r>
    </w:p>
    <w:p>
      <w:pPr>
        <w:spacing w:after="400" w:line="400" w:lineRule="atLeast"/>
      </w:pPr>
      <w:r>
        <w:t>征求意见稿明确规定，该容量补偿机制适用于以下电源类型：</w:t>
      </w:r>
    </w:p>
    <w:p>
      <w:pPr>
        <w:numPr>
          <w:ilvl w:val="0"/>
          <w:numId w:val="25"/>
        </w:numPr>
        <w:spacing w:after="400" w:line="400" w:lineRule="atLeast"/>
      </w:pPr>
      <w:r>
        <w:rPr>
          <w:b w:val="true"/>
        </w:rPr>
        <w:t>合规在运的公用燃煤发电机组</w:t>
      </w:r>
      <w:r>
        <w:t>：这是容量补偿的主要受益对象，煤电机组具有启停灵活、调节能力强、持续发电能力可靠等特点，是当前电力系统最主要的调节性资源。</w:t>
      </w:r>
    </w:p>
    <w:p>
      <w:pPr>
        <w:numPr>
          <w:ilvl w:val="0"/>
          <w:numId w:val="25"/>
        </w:numPr>
        <w:spacing w:after="400" w:line="400" w:lineRule="atLeast"/>
      </w:pPr>
      <w:r>
        <w:rPr>
          <w:b w:val="true"/>
        </w:rPr>
        <w:t>合规在运的燃气发电机组</w:t>
      </w:r>
      <w:r>
        <w:t>：燃气机组启动速度快、爬坡能力强，在调峰调频方面具有独特优势，但燃料成本较高，容量补偿机制可为其提供固定成本回收渠道。</w:t>
      </w:r>
    </w:p>
    <w:p>
      <w:pPr>
        <w:numPr>
          <w:ilvl w:val="0"/>
          <w:numId w:val="25"/>
        </w:numPr>
        <w:spacing w:after="400" w:line="400" w:lineRule="atLeast"/>
      </w:pPr>
      <w:r>
        <w:rPr>
          <w:b w:val="true"/>
        </w:rPr>
        <w:t>未享受其他补贴的光热发电</w:t>
      </w:r>
      <w:r>
        <w:t>：光热发电具有储能特性，可实现连续稳定发电，但投资成本较高。将未享受补贴的光热发电纳入补偿范围，有助于支持该战略性新兴产业发展。</w:t>
      </w:r>
    </w:p>
    <w:p>
      <w:pPr>
        <w:numPr>
          <w:ilvl w:val="0"/>
          <w:numId w:val="25"/>
        </w:numPr>
        <w:spacing w:after="400" w:line="400" w:lineRule="atLeast"/>
      </w:pPr>
      <w:r>
        <w:rPr>
          <w:b w:val="true"/>
        </w:rPr>
        <w:t>服务于系统安全、未参与配储的电网侧独立新型储能电站</w:t>
      </w:r>
      <w:r>
        <w:t>：这是本次政策的重大创新，将新型储能纳入容量补偿体系，但设置了"未参与配储"的限定条件。这意味着参与新能源配套储能的项目不享受此补偿，旨在避免重复补贴，引导独立储能的发展。</w:t>
      </w:r>
    </w:p>
    <w:p>
      <w:pPr>
        <w:spacing w:after="400" w:line="400" w:lineRule="atLeast"/>
      </w:pPr>
      <w:r>
        <w:t>值得注意的是，</w:t>
      </w:r>
      <w:r>
        <w:rPr>
          <w:b w:val="true"/>
        </w:rPr>
        <w:t>抽水蓄能电站</w:t>
      </w:r>
      <w:r>
        <w:t>暂未纳入本机制，征求意见稿明确其建成后将按国家政策有序纳入容量电价机制。这一规定与国家发改委关于抽水蓄能容量电价的独立政策体系相衔接。</w:t>
      </w:r>
    </w:p>
    <w:p>
      <w:pPr>
        <w:spacing w:after="400" w:line="400" w:lineRule="atLeast"/>
      </w:pPr>
      <w:r>
        <w:rPr>
          <w:b/>
          <w:sz w:val="30"/>
        </w:rPr>
        <w:t xml:space="preserve">1.5 监管架构与职责分工</w:t>
      </w:r>
    </w:p>
    <w:p>
      <w:pPr>
        <w:spacing w:after="400" w:line="400" w:lineRule="atLeast"/>
      </w:pPr>
      <w:r>
        <w:t>根据搜索结果，青海省发电侧容量补偿机制的监管架构涉及多个部门，职责分工如下：</w:t>
      </w:r>
    </w:p>
    <w:p>
      <w:pPr>
        <w:spacing w:after="400" w:line="400" w:lineRule="atLeast"/>
      </w:pPr>
      <w:r>
        <w:rPr>
          <w:b w:val="true"/>
        </w:rPr>
        <w:t>政策制定与解释部门</w:t>
      </w:r>
      <w:r>
        <w:t>：省发展改革委、省能源局、国家能源局西北监管局按职能分工负责机制的解释工作。国家能源局西北监管局负责可靠容量补偿的运行监管。</w:t>
      </w:r>
    </w:p>
    <w:p>
      <w:pPr>
        <w:spacing w:after="400" w:line="400" w:lineRule="atLeast"/>
      </w:pPr>
      <w:r>
        <w:rPr>
          <w:b w:val="true"/>
        </w:rPr>
        <w:t>执行机构</w:t>
      </w:r>
      <w:r>
        <w:t>：国网青海省电力公司参与机组年度可靠容量的核定工作，并根据调度机构提供的缺口容量计算容量电费扣减，处理扣减费用。省发展改革委负责按年核定并公布容量补偿标准、全省容量供需系数、各机组年度可靠容量及综合厂用电率，并对国网青海省电力公司提交的年度扣减费用清算方案进行审批。</w:t>
      </w:r>
    </w:p>
    <w:p>
      <w:pPr>
        <w:spacing w:after="400" w:line="400" w:lineRule="atLeast"/>
      </w:pPr>
      <w:r>
        <w:rPr>
          <w:b w:val="true"/>
        </w:rPr>
        <w:t>交易与结算机构</w:t>
      </w:r>
      <w:r>
        <w:t>：电力交易机构依据最终结果出具结算依据，并提交电网企业。电网企业负责容量电费的按月结算。</w:t>
      </w:r>
    </w:p>
    <w:p>
      <w:pPr>
        <w:spacing w:after="400" w:line="400" w:lineRule="atLeast"/>
      </w:pPr>
      <w:r>
        <w:rPr>
          <w:b/>
          <w:sz w:val="33"/>
        </w:rPr>
        <w:t xml:space="preserve">第二章 容量补偿机制的核心架构与技术解析</w:t>
      </w:r>
    </w:p>
    <w:p>
      <w:pPr>
        <w:spacing w:after="400" w:line="400" w:lineRule="atLeast"/>
      </w:pPr>
      <w:r>
        <w:rPr>
          <w:b/>
          <w:sz w:val="30"/>
        </w:rPr>
        <w:t xml:space="preserve">2.1 容量电费计算公式的深度解读</w:t>
      </w:r>
    </w:p>
    <w:p>
      <w:pPr>
        <w:spacing w:after="400" w:line="400" w:lineRule="atLeast"/>
      </w:pPr>
      <w:r>
        <w:t>容量补偿机制的核心在于建立科学合理的容量电费计算模型。根据征求意见稿，容量电费的计算公式为：</w:t>
      </w:r>
    </w:p>
    <w:p>
      <w:pPr>
        <w:spacing w:after="400" w:line="400" w:lineRule="atLeast"/>
      </w:pPr>
      <w:r>
        <w:rPr>
          <w:b w:val="true"/>
        </w:rPr>
        <w:t xml:space="preserve">容量电费 = 机组申报容量 × 容量供需系数 × 容量补偿标准</w:t>
      </w:r>
    </w:p>
    <w:p>
      <w:pPr>
        <w:spacing w:after="400" w:line="400" w:lineRule="atLeast"/>
      </w:pPr>
      <w:r>
        <w:t>这一简洁的公式背后，蕴含着深刻的技术经济学逻辑，金融机构需要深入理解每一个参数的含义、取值依据和变化机制。</w:t>
      </w:r>
    </w:p>
    <w:p>
      <w:pPr>
        <w:spacing w:after="400" w:line="400" w:lineRule="atLeast"/>
      </w:pPr>
      <w:r>
        <w:rPr>
          <w:b/>
          <w:sz w:val="26"/>
        </w:rPr>
        <w:t xml:space="preserve">2.1.1 容量补偿标准：165元/（千瓦·年）vs 185元/（千瓦·年）的政策辨析</w:t>
      </w:r>
    </w:p>
    <w:p>
      <w:pPr>
        <w:spacing w:after="400" w:line="400" w:lineRule="atLeast"/>
      </w:pPr>
      <w:r>
        <w:t>根据搜索结果显示，关于2026年青海省容量补偿标准存在两种不同表述：</w:t>
      </w:r>
    </w:p>
    <w:p>
      <w:pPr>
        <w:spacing w:after="400" w:line="400" w:lineRule="atLeast"/>
      </w:pPr>
      <w:r>
        <w:rPr>
          <w:b w:val="true"/>
        </w:rPr>
        <w:t>多数来源显示的标准</w:t>
      </w:r>
      <w:r>
        <w:t>：征求意见稿明确规定"初期，容量补偿标准参考《关于建立煤电容量补偿机制的通知》（发改价格〔2023〕1501号）确定，2026年我省统一容量补偿标准按165元/（千瓦·年）执行"。</w:t>
      </w:r>
    </w:p>
    <w:p>
      <w:pPr>
        <w:spacing w:after="400" w:line="400" w:lineRule="atLeast"/>
      </w:pPr>
      <w:r>
        <w:rPr>
          <w:b w:val="true"/>
        </w:rPr>
        <w:t>部分来源显示的调整标准</w:t>
      </w:r>
      <w:r>
        <w:t>：有信息显示，在后续征求意见稿中，2026年统一容量补偿标准可能上调至185元/（千瓦·年）。</w:t>
      </w:r>
    </w:p>
    <w:p>
      <w:pPr>
        <w:spacing w:after="400" w:line="400" w:lineRule="atLeast"/>
      </w:pPr>
      <w:r>
        <w:rPr>
          <w:b w:val="true"/>
        </w:rPr>
        <w:t>差异分析与金融机构应对建议</w:t>
      </w:r>
      <w:r>
        <w:t>：</w:t>
      </w:r>
    </w:p>
    <w:p>
      <w:pPr>
        <w:spacing w:after="400" w:line="400" w:lineRule="atLeast"/>
      </w:pPr>
      <w:r>
        <w:t>这种差异可能反映了政策制定过程中的调整。根据搜索结果，容量补偿标准的确定依据包括国家相关文件（如发改价格〔2023〕1501号）和回收固定成本比例。2026年起各地通过容量电价回收固定成本比例不低于50%。因此，185元/（千瓦·年）可能是基于更高固定成本回收比例的测算结果。</w:t>
      </w:r>
    </w:p>
    <w:p>
      <w:pPr>
        <w:spacing w:after="400" w:line="400" w:lineRule="atLeast"/>
      </w:pPr>
      <w:r>
        <w:t>从经济学角度分析，以165元/（千瓦·年）为例，意味着：一台1000MW的煤电机组，若全额获得容量补偿，每年可获得约1.65亿元的容量电费收入。假设该机组投资成本为3500元/千瓦，总投资35亿元，则容量电费可覆盖约4.7%的年化投资回报（不考虑电量收入和其他成本），为项目提供了稳定的现金流基础。</w:t>
      </w:r>
    </w:p>
    <w:p>
      <w:pPr>
        <w:spacing w:after="400" w:line="400" w:lineRule="atLeast"/>
      </w:pPr>
      <w:r>
        <w:t>若按185元/（千瓦·年）计算，同样机组可获得约1.85亿元的容量电费收入，提升约12%，对项目经济性有显著改善。</w:t>
      </w:r>
    </w:p>
    <w:p>
      <w:pPr>
        <w:spacing w:after="400" w:line="400" w:lineRule="atLeast"/>
      </w:pPr>
      <w:r>
        <w:rPr>
          <w:b w:val="true"/>
        </w:rPr>
        <w:t>未来调整机制的政策预留</w:t>
      </w:r>
      <w:r>
        <w:t>：</w:t>
      </w:r>
    </w:p>
    <w:p>
      <w:pPr>
        <w:spacing w:after="400" w:line="400" w:lineRule="atLeast"/>
      </w:pPr>
      <w:r>
        <w:t>征求意见稿明确规定，后期容量补偿标准将"按照回收边际机组全部或一定比例固定成本计算确定，由省级价格主管部门根据市场运行情况、机组建设成本等调整确定"。这意味着补偿标准将建立动态调整机制。</w:t>
      </w:r>
    </w:p>
    <w:p>
      <w:pPr>
        <w:spacing w:after="400" w:line="400" w:lineRule="atLeast"/>
      </w:pPr>
      <w:r>
        <w:t>调整依据主要包括三个方面：</w:t>
      </w:r>
    </w:p>
    <w:p>
      <w:pPr>
        <w:numPr>
          <w:ilvl w:val="-1"/>
          <w:numId w:val="4"/>
        </w:numPr>
        <w:spacing w:after="400" w:line="400" w:lineRule="atLeast"/>
      </w:pPr>
      <w:r>
        <w:rPr>
          <w:b w:val="true"/>
        </w:rPr>
        <w:t>发电成本变化</w:t>
      </w:r>
      <w:r>
        <w:t>：通过成本调查机制，定期测算各类电源固定成本及度电成本</w:t>
      </w:r>
    </w:p>
    <w:p>
      <w:pPr>
        <w:numPr>
          <w:ilvl w:val="-1"/>
          <w:numId w:val="4"/>
        </w:numPr>
        <w:spacing w:after="400" w:line="400" w:lineRule="atLeast"/>
      </w:pPr>
      <w:r>
        <w:rPr>
          <w:b w:val="true"/>
        </w:rPr>
        <w:t>系统供需情况</w:t>
      </w:r>
      <w:r>
        <w:t>：电力供需紧张时可能提高补偿标准，供大于求时可能降低</w:t>
      </w:r>
    </w:p>
    <w:p>
      <w:pPr>
        <w:numPr>
          <w:ilvl w:val="-1"/>
          <w:numId w:val="4"/>
        </w:numPr>
        <w:spacing w:after="400" w:line="400" w:lineRule="atLeast"/>
      </w:pPr>
      <w:r>
        <w:rPr>
          <w:b w:val="true"/>
        </w:rPr>
        <w:t>社会经济承受能力</w:t>
      </w:r>
      <w:r>
        <w:t>：容量电费由工商业用户分摊，需考虑用户承受能力</w:t>
      </w:r>
    </w:p>
    <w:p>
      <w:pPr>
        <w:spacing w:after="400" w:line="400" w:lineRule="atLeast"/>
      </w:pPr>
      <w:r>
        <w:rPr>
          <w:b/>
          <w:sz w:val="26"/>
        </w:rPr>
        <w:t xml:space="preserve">2.1.2 容量供需系数：1.04与0.92的版本差异分析</w:t>
      </w:r>
    </w:p>
    <w:p>
      <w:pPr>
        <w:spacing w:after="400" w:line="400" w:lineRule="atLeast"/>
      </w:pPr>
      <w:r>
        <w:t>容量供需系数是反映系统可靠容量充裕度的核心参数。根据搜索结果，该系数在不同版本征求意见稿中存在差异：</w:t>
      </w:r>
    </w:p>
    <w:p>
      <w:pPr>
        <w:spacing w:after="400" w:line="400" w:lineRule="atLeast"/>
      </w:pPr>
      <w:r>
        <w:rPr>
          <w:b w:val="true"/>
        </w:rPr>
        <w:t>早期版本（2026年2月25日稿）</w:t>
      </w:r>
      <w:r>
        <w:t>：2026年青海省容量供需系数定为1.04。</w:t>
      </w:r>
    </w:p>
    <w:p>
      <w:pPr>
        <w:spacing w:after="400" w:line="400" w:lineRule="atLeast"/>
      </w:pPr>
      <w:r>
        <w:rPr>
          <w:b w:val="true"/>
        </w:rPr>
        <w:t>后续版本（2026年4月21日稿）</w:t>
      </w:r>
      <w:r>
        <w:t>：部分来源显示容量供需系数调整为0.92。</w:t>
      </w:r>
    </w:p>
    <w:p>
      <w:pPr>
        <w:spacing w:after="400" w:line="400" w:lineRule="atLeast"/>
      </w:pPr>
      <w:r>
        <w:rPr>
          <w:b w:val="true"/>
        </w:rPr>
        <w:t>技术经济学含义解析</w:t>
      </w:r>
      <w:r>
        <w:t>：</w:t>
      </w:r>
    </w:p>
    <w:p>
      <w:pPr>
        <w:spacing w:after="400" w:line="400" w:lineRule="atLeast"/>
      </w:pPr>
      <w:r>
        <w:t>容量供需系数反映了区域内可靠容量供给与需求之间的平衡状态。其计算逻辑为：</w:t>
      </w:r>
    </w:p>
    <w:p>
      <w:pPr>
        <w:spacing w:after="400" w:line="400" w:lineRule="atLeast"/>
      </w:pPr>
      <w:r>
        <w:rPr>
          <w:b w:val="true"/>
        </w:rPr>
        <w:t xml:space="preserve">容量供需系数 = 系统可靠容量需求 / 系统可靠容量供给</w:t>
      </w:r>
    </w:p>
    <w:p>
      <w:pPr>
        <w:spacing w:after="400" w:line="400" w:lineRule="atLeast"/>
      </w:pPr>
      <w:r>
        <w:t>当系数大于1时，表明系统可靠容量供给不足，需要提高补偿标准激励新增投资；当系数小于1时，表明系统可靠容量相对充裕，补偿标准可适当降低。</w:t>
      </w:r>
    </w:p>
    <w:p>
      <w:pPr>
        <w:spacing w:after="400" w:line="400" w:lineRule="atLeast"/>
      </w:pPr>
      <w:r>
        <w:t>若系数为1.04，意味着系统可靠容量需求略大于供给，存在约4%的缺口，需要通过容量补偿机制激励新增容量投资。</w:t>
      </w:r>
    </w:p>
    <w:p>
      <w:pPr>
        <w:spacing w:after="400" w:line="400" w:lineRule="atLeast"/>
      </w:pPr>
      <w:r>
        <w:t>若系数为0.92，则表明系统存在约8%的容量冗余，补偿水平可适当下调。</w:t>
      </w:r>
    </w:p>
    <w:p>
      <w:pPr>
        <w:spacing w:after="400" w:line="400" w:lineRule="atLeast"/>
      </w:pPr>
      <w:r>
        <w:rPr>
          <w:b w:val="true"/>
        </w:rPr>
        <w:t>对金融机构的启示</w:t>
      </w:r>
      <w:r>
        <w:t>：</w:t>
      </w:r>
    </w:p>
    <w:p>
      <w:pPr>
        <w:spacing w:after="400" w:line="400" w:lineRule="atLeast"/>
      </w:pPr>
      <w:r>
        <w:t>容量供需系数直接影响项目的容量电费收入。以1.04为例，一台申报100MW有效容量的机组，实际获得的容量电费相当于申报容量的104%，体现了对容量不足的激励。若系数为0.92，则实际获得的容量电费仅相当于申报容量的92%，存在"打折机制"。</w:t>
      </w:r>
    </w:p>
    <w:p>
      <w:pPr>
        <w:spacing w:after="400" w:line="400" w:lineRule="atLeast"/>
      </w:pPr>
      <w:r>
        <w:t>这种"打折机制"或"溢价机制"的设计目的在于：</w:t>
      </w:r>
    </w:p>
    <w:p>
      <w:pPr>
        <w:numPr>
          <w:ilvl w:val="0"/>
          <w:numId w:val="26"/>
        </w:numPr>
        <w:spacing w:after="400" w:line="400" w:lineRule="atLeast"/>
      </w:pPr>
      <w:r>
        <w:t>反映真实的系统供需关系，避免过度补偿或补偿不足</w:t>
      </w:r>
    </w:p>
    <w:p>
      <w:pPr>
        <w:numPr>
          <w:ilvl w:val="0"/>
          <w:numId w:val="26"/>
        </w:numPr>
        <w:spacing w:after="400" w:line="400" w:lineRule="atLeast"/>
      </w:pPr>
      <w:r>
        <w:t>激励电源提升可靠性，争取更高的有效容量认定</w:t>
      </w:r>
    </w:p>
    <w:p>
      <w:pPr>
        <w:numPr>
          <w:ilvl w:val="0"/>
          <w:numId w:val="26"/>
        </w:numPr>
        <w:spacing w:after="400" w:line="400" w:lineRule="atLeast"/>
      </w:pPr>
      <w:r>
        <w:t>为未来供需变化预留政策调整空间</w:t>
      </w:r>
    </w:p>
    <w:p>
      <w:pPr>
        <w:spacing w:after="400" w:line="400" w:lineRule="atLeast"/>
      </w:pPr>
      <w:r>
        <w:t>金融机构在项目财务测算时，需充分考虑容量供需系数的不确定性。建议在敏感性分析中设置0.85-1.10的波动区间，以应对政策调整风险。</w:t>
      </w:r>
    </w:p>
    <w:p>
      <w:pPr>
        <w:spacing w:after="400" w:line="400" w:lineRule="atLeast"/>
      </w:pPr>
      <w:r>
        <w:rPr>
          <w:b/>
          <w:sz w:val="26"/>
        </w:rPr>
        <w:t xml:space="preserve">2.1.3 机组申报容量与有效容量认定</w:t>
      </w:r>
    </w:p>
    <w:p>
      <w:pPr>
        <w:spacing w:after="400" w:line="400" w:lineRule="atLeast"/>
      </w:pPr>
      <w:r>
        <w:t>机组申报容量是容量电费计算的基数，但申报容量不得超过其核定的"有效容量"。</w:t>
      </w:r>
    </w:p>
    <w:p>
      <w:pPr>
        <w:spacing w:after="400" w:line="400" w:lineRule="atLeast"/>
      </w:pPr>
      <w:r>
        <w:rPr>
          <w:b w:val="true"/>
        </w:rPr>
        <w:t>有效容量认定的技术逻辑</w:t>
      </w:r>
      <w:r>
        <w:t>：</w:t>
      </w:r>
    </w:p>
    <w:p>
      <w:pPr>
        <w:spacing w:after="400" w:line="400" w:lineRule="atLeast"/>
      </w:pPr>
      <w:r>
        <w:t>不同类型电源的有效容量认定标准存在显著差异：</w:t>
      </w:r>
    </w:p>
    <w:p>
      <w:pPr>
        <w:numPr>
          <w:ilvl w:val="0"/>
          <w:numId w:val="28"/>
        </w:numPr>
        <w:spacing w:after="400" w:line="400" w:lineRule="atLeast"/>
      </w:pPr>
      <w:r>
        <w:rPr>
          <w:b w:val="true"/>
        </w:rPr>
        <w:t>火电机组有效容量认定</w:t>
      </w:r>
      <w:r>
        <w:t>：</w:t>
      </w:r>
    </w:p>
    <w:p>
      <w:pPr>
        <w:spacing w:after="400" w:line="400" w:lineRule="atLeast"/>
      </w:pPr>
      <w:r>
        <w:t xml:space="preserve">有效容量 = 机组额定容量 × (1 - 厂用电率)</w:t>
      </w:r>
    </w:p>
    <w:p>
      <w:pPr>
        <w:spacing w:after="400" w:line="400" w:lineRule="atLeast"/>
      </w:pPr>
      <w:r>
        <w:t>燃煤发电厂用电率暂按6.05%计算，天然气发电厂用电率暂按3.75%计算。</w:t>
      </w:r>
    </w:p>
    <w:p>
      <w:pPr>
        <w:spacing w:after="400" w:line="400" w:lineRule="atLeast"/>
      </w:pPr>
      <w:r>
        <w:t>以1000MW燃煤机组为例：</w:t>
      </w:r>
    </w:p>
    <w:p>
      <w:pPr>
        <w:spacing w:after="400" w:line="400" w:lineRule="atLeast"/>
      </w:pPr>
      <w:r>
        <w:t xml:space="preserve">有效容量 = 1000MW × (1 - 6.05%) = 939.5MW</w:t>
      </w:r>
    </w:p>
    <w:p>
      <w:pPr>
        <w:numPr>
          <w:ilvl w:val="0"/>
          <w:numId w:val="28"/>
        </w:numPr>
        <w:spacing w:after="400" w:line="400" w:lineRule="atLeast"/>
      </w:pPr>
      <w:r>
        <w:rPr>
          <w:b w:val="true"/>
        </w:rPr>
        <w:t>光热发电有效容量认定</w:t>
      </w:r>
      <w:r>
        <w:t>：</w:t>
      </w:r>
    </w:p>
    <w:p>
      <w:pPr>
        <w:spacing w:after="400" w:line="400" w:lineRule="atLeast"/>
      </w:pPr>
      <w:r>
        <w:t>2026年光热发电厂用电率暂按21.53%计算。这一数值远高于火电，反映了光热发电的技术特点。</w:t>
      </w:r>
    </w:p>
    <w:p>
      <w:pPr>
        <w:numPr>
          <w:ilvl w:val="0"/>
          <w:numId w:val="28"/>
        </w:numPr>
        <w:spacing w:after="400" w:line="400" w:lineRule="atLeast"/>
      </w:pPr>
      <w:r>
        <w:rPr>
          <w:b w:val="true"/>
        </w:rPr>
        <w:t>新型储能有效容量认定</w:t>
      </w:r>
      <w:r>
        <w:t>：</w:t>
      </w:r>
    </w:p>
    <w:p>
      <w:pPr>
        <w:spacing w:after="400" w:line="400" w:lineRule="atLeast"/>
      </w:pPr>
      <w:r>
        <w:t xml:space="preserve">有效容量 = 最大放电功率 × (1 - 厂用电率) × 可靠容量系数</w:t>
      </w:r>
    </w:p>
    <w:p>
      <w:pPr>
        <w:spacing w:after="400" w:line="400" w:lineRule="atLeast"/>
      </w:pPr>
      <w:r>
        <w:t>新型储能厂用电率暂按10.39%计算。</w:t>
      </w:r>
    </w:p>
    <w:p>
      <w:pPr>
        <w:spacing w:after="400" w:line="400" w:lineRule="atLeast"/>
      </w:pPr>
      <w:r>
        <w:t xml:space="preserve">可靠容量系数 = (1 - 厂用电率) × MIN(满功率放电时长 / 系统净负荷高峰持续时长, 100%)</w:t>
      </w:r>
    </w:p>
    <w:p>
      <w:pPr>
        <w:spacing w:after="400" w:line="400" w:lineRule="atLeast"/>
      </w:pPr>
      <w:r>
        <w:t>这一公式的设计是本次政策的核心创新，下文将详细解析。</w:t>
      </w:r>
    </w:p>
    <w:p>
      <w:pPr>
        <w:spacing w:after="400" w:line="400" w:lineRule="atLeast"/>
      </w:pPr>
      <w:r>
        <w:rPr>
          <w:b/>
          <w:sz w:val="30"/>
        </w:rPr>
        <w:t xml:space="preserve">2.2 系统净负荷高峰持续时长：4小时与8小时的政策演变</w:t>
      </w:r>
    </w:p>
    <w:p>
      <w:pPr>
        <w:spacing w:after="400" w:line="400" w:lineRule="atLeast"/>
      </w:pPr>
      <w:r>
        <w:t>系统净负荷高峰持续时长的设定是本次容量补偿机制设计中最关键的参数之一，也是对储能项目影响最大的因素。</w:t>
      </w:r>
    </w:p>
    <w:p>
      <w:pPr>
        <w:spacing w:after="400" w:line="400" w:lineRule="atLeast"/>
      </w:pPr>
      <w:r>
        <w:rPr>
          <w:b/>
          <w:sz w:val="26"/>
        </w:rPr>
        <w:t xml:space="preserve">2.2.1 不同版本的政策规定</w:t>
      </w:r>
    </w:p>
    <w:p>
      <w:pPr>
        <w:spacing w:after="400" w:line="400" w:lineRule="atLeast"/>
      </w:pPr>
      <w:r>
        <w:t>根据搜索结果，系统净负荷高峰持续时长在不同版本征求意见稿中存在显著变化：</w:t>
      </w:r>
    </w:p>
    <w:p>
      <w:pPr>
        <w:spacing w:after="400" w:line="400" w:lineRule="atLeast"/>
      </w:pPr>
      <w:r>
        <w:rPr>
          <w:b w:val="true"/>
        </w:rPr>
        <w:t>2026年2月25日版本</w:t>
      </w:r>
      <w:r>
        <w:t>：系统净负荷高峰时段按近3年净负荷高峰前0.2%时段最大持续小时数</w:t>
      </w:r>
      <w:r>
        <w:rPr>
          <w:b w:val="true"/>
        </w:rPr>
        <w:t>4小时</w:t>
      </w:r>
      <w:r>
        <w:t>计算。</w:t>
      </w:r>
    </w:p>
    <w:p>
      <w:pPr>
        <w:spacing w:after="400" w:line="400" w:lineRule="atLeast"/>
      </w:pPr>
      <w:r>
        <w:rPr>
          <w:b w:val="true"/>
        </w:rPr>
        <w:t>2026年4月21日版本</w:t>
      </w:r>
      <w:r>
        <w:t>：系统净负荷高峰时段取近3年净负荷高峰前3%时段的最大持续小时数（</w:t>
      </w:r>
      <w:r>
        <w:rPr>
          <w:b w:val="true"/>
        </w:rPr>
        <w:t>8小时</w:t>
      </w:r>
      <w:r>
        <w:t>）。</w:t>
      </w:r>
    </w:p>
    <w:p>
      <w:pPr>
        <w:spacing w:after="400" w:line="400" w:lineRule="atLeast"/>
      </w:pPr>
      <w:r>
        <w:rPr>
          <w:b w:val="true"/>
        </w:rPr>
        <w:t>政策调整的技术背景</w:t>
      </w:r>
      <w:r>
        <w:t>：</w:t>
      </w:r>
    </w:p>
    <w:p>
      <w:pPr>
        <w:spacing w:after="400" w:line="400" w:lineRule="atLeast"/>
      </w:pPr>
      <w:r>
        <w:t>从"前0.2%时段"调整为"前3%时段"，从"4小时"调整为"8小时"，反映了监管部门对电力系统实际运行特性的更深入研究：</w:t>
      </w:r>
    </w:p>
    <w:p>
      <w:pPr>
        <w:numPr>
          <w:ilvl w:val="0"/>
          <w:numId w:val="14"/>
        </w:numPr>
        <w:spacing w:after="400" w:line="400" w:lineRule="atLeast"/>
      </w:pPr>
      <w:r>
        <w:rPr>
          <w:b w:val="true"/>
        </w:rPr>
        <w:t>系统可靠性要求的提升</w:t>
      </w:r>
      <w:r>
        <w:t>：随着新能源占比不断提高，系统净负荷高峰持续时间的延长是必然趋势。8小时的设定更符合极端情况下的系统保供需求。</w:t>
      </w:r>
    </w:p>
    <w:p>
      <w:pPr>
        <w:numPr>
          <w:ilvl w:val="0"/>
          <w:numId w:val="14"/>
        </w:numPr>
        <w:spacing w:after="400" w:line="400" w:lineRule="atLeast"/>
      </w:pPr>
      <w:r>
        <w:rPr>
          <w:b w:val="true"/>
        </w:rPr>
        <w:t>储能技术路线的引导</w:t>
      </w:r>
      <w:r>
        <w:t>：通过提高持续时长要求，引导储能向长时储能方向发展，避免短时储能过度投资导致系统可靠性不足。</w:t>
      </w:r>
    </w:p>
    <w:p>
      <w:pPr>
        <w:numPr>
          <w:ilvl w:val="0"/>
          <w:numId w:val="14"/>
        </w:numPr>
        <w:spacing w:after="400" w:line="400" w:lineRule="atLeast"/>
      </w:pPr>
      <w:r>
        <w:rPr>
          <w:b w:val="true"/>
        </w:rPr>
        <w:t>国际经验的借鉴</w:t>
      </w:r>
      <w:r>
        <w:t>：部分国际先进电力市场中，容量资源的持续供电能力要求也在8小时以上。</w:t>
      </w:r>
    </w:p>
    <w:p>
      <w:pPr>
        <w:spacing w:after="400" w:line="400" w:lineRule="atLeast"/>
      </w:pPr>
      <w:r>
        <w:rPr>
          <w:b/>
          <w:sz w:val="26"/>
        </w:rPr>
        <w:t xml:space="preserve">2.2.2 系统净负荷高峰时段的界定与计算</w:t>
      </w:r>
    </w:p>
    <w:p>
      <w:pPr>
        <w:spacing w:after="400" w:line="400" w:lineRule="atLeast"/>
      </w:pPr>
      <w:r>
        <w:rPr>
          <w:b w:val="true"/>
        </w:rPr>
        <w:t>系统净负荷的定义</w:t>
      </w:r>
      <w:r>
        <w:t>：</w:t>
      </w:r>
    </w:p>
    <w:p>
      <w:pPr>
        <w:spacing w:after="400" w:line="400" w:lineRule="atLeast"/>
      </w:pPr>
      <w:r>
        <w:t>根据征求意见稿，系统净负荷的定义如下：</w:t>
      </w:r>
    </w:p>
    <w:p>
      <w:pPr>
        <w:spacing w:after="400" w:line="400" w:lineRule="atLeast"/>
      </w:pPr>
      <w:r>
        <w:rPr>
          <w:b w:val="true"/>
        </w:rPr>
        <w:t xml:space="preserve">系统净负荷 = 省内负荷（含线损）+ 外送需求 + 备用容量 - 省内风光出力 - 季调节及以下水电出力 - 外购电力 - 可中断负荷</w:t>
      </w:r>
    </w:p>
    <w:p>
      <w:pPr>
        <w:spacing w:after="400" w:line="400" w:lineRule="atLeast"/>
      </w:pPr>
      <w:r>
        <w:t>这一定义的技术内涵极为丰富：</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pPr>
            <w:r>
              <w:rPr>
                <w:b w:val="true"/>
              </w:rPr>
              <w:t>加项</w:t>
            </w:r>
          </w:p>
        </w:tc>
        <w:tc>
          <w:tcPr>
            <w:tcW w:w="2765" w:type="dxa"/>
            <w:tcBorders/>
          </w:tcPr>
          <w:p>
            <w:pPr>
              <w:spacing w:after="400" w:line="400" w:lineRule="exact"/>
            </w:pPr>
            <w:r>
              <w:rPr>
                <w:b w:val="true"/>
              </w:rPr>
              <w:t>减项</w:t>
            </w:r>
          </w:p>
        </w:tc>
        <w:tc>
          <w:tcPr>
            <w:tcW w:w="2765" w:type="dxa"/>
            <w:tcBorders/>
          </w:tcPr>
          <w:p>
            <w:pPr>
              <w:spacing w:after="400" w:line="400" w:lineRule="exact"/>
            </w:pPr>
            <w:r>
              <w:rPr>
                <w:b w:val="true"/>
              </w:rPr>
              <w:t>含义</w:t>
            </w:r>
          </w:p>
        </w:tc>
      </w:tr>
      <w:tr>
        <w:tc>
          <w:tcPr>
            <w:tcW w:w="2765" w:type="dxa"/>
            <w:tcBorders/>
          </w:tcPr>
          <w:p>
            <w:pPr>
              <w:spacing w:after="400" w:line="400" w:lineRule="exact"/>
            </w:pPr>
            <w:r>
              <w:t>省内负荷（含线损）</w:t>
            </w:r>
          </w:p>
        </w:tc>
        <w:tc>
          <w:tcPr>
            <w:tcW w:w="2765" w:type="dxa"/>
            <w:tcBorders/>
          </w:tcPr>
          <w:p>
            <w:pPr>
              <w:spacing w:after="400" w:line="400" w:lineRule="exact"/>
            </w:pPr>
            <w:r>
              <w:t>省内风光出力</w:t>
            </w:r>
          </w:p>
        </w:tc>
        <w:tc>
          <w:tcPr>
            <w:tcW w:w="2765" w:type="dxa"/>
            <w:tcBorders/>
          </w:tcPr>
          <w:p>
            <w:pPr>
              <w:spacing w:after="400" w:line="400" w:lineRule="exact"/>
            </w:pPr>
            <w:r>
              <w:t>扣除新能源后，需要常规电源支撑的真实负荷</w:t>
            </w:r>
          </w:p>
        </w:tc>
      </w:tr>
      <w:tr>
        <w:tc>
          <w:tcPr>
            <w:tcW w:w="2765" w:type="dxa"/>
            <w:tcBorders/>
          </w:tcPr>
          <w:p>
            <w:pPr>
              <w:spacing w:after="400" w:line="400" w:lineRule="exact"/>
            </w:pPr>
            <w:r>
              <w:t>外送需求</w:t>
            </w:r>
          </w:p>
        </w:tc>
        <w:tc>
          <w:tcPr>
            <w:tcW w:w="2765" w:type="dxa"/>
            <w:tcBorders/>
          </w:tcPr>
          <w:p>
            <w:pPr>
              <w:spacing w:after="400" w:line="400" w:lineRule="exact"/>
            </w:pPr>
            <w:r>
              <w:t>季调节及以下水电出力</w:t>
            </w:r>
          </w:p>
        </w:tc>
        <w:tc>
          <w:tcPr>
            <w:tcW w:w="2765" w:type="dxa"/>
            <w:tcBorders/>
          </w:tcPr>
          <w:p>
            <w:pPr>
              <w:spacing w:after="400" w:line="400" w:lineRule="exact"/>
            </w:pPr>
            <w:r>
              <w:t>扣除径流式水电，仅保留可调节水电</w:t>
            </w:r>
          </w:p>
        </w:tc>
      </w:tr>
      <w:tr>
        <w:tc>
          <w:tcPr>
            <w:tcW w:w="2765" w:type="dxa"/>
            <w:tcBorders/>
          </w:tcPr>
          <w:p>
            <w:pPr>
              <w:spacing w:after="400" w:line="400" w:lineRule="exact"/>
            </w:pPr>
            <w:r>
              <w:t>备用容量</w:t>
            </w:r>
          </w:p>
        </w:tc>
        <w:tc>
          <w:tcPr>
            <w:tcW w:w="2765" w:type="dxa"/>
            <w:tcBorders/>
          </w:tcPr>
          <w:p>
            <w:pPr>
              <w:spacing w:after="400" w:line="400" w:lineRule="exact"/>
            </w:pPr>
            <w:r>
              <w:t>外购电力</w:t>
            </w:r>
          </w:p>
        </w:tc>
        <w:tc>
          <w:tcPr>
            <w:tcW w:w="2765" w:type="dxa"/>
            <w:tcBorders/>
          </w:tcPr>
          <w:p>
            <w:pPr>
              <w:spacing w:after="400" w:line="400" w:lineRule="exact"/>
            </w:pPr>
            <w:r>
              <w:t>扣除外来电力支援</w:t>
            </w:r>
          </w:p>
        </w:tc>
      </w:tr>
      <w:tr>
        <w:tc>
          <w:tcPr>
            <w:tcW w:w="2765" w:type="dxa"/>
            <w:tcBorders/>
          </w:tcPr>
          <w:p>
            <w:pPr>
              <w:spacing w:after="400" w:line="400" w:lineRule="exact"/>
            </w:pPr>
            <w:r>
              <w:t xml:space="preserve"> </w:t>
            </w:r>
          </w:p>
        </w:tc>
        <w:tc>
          <w:tcPr>
            <w:tcW w:w="2765" w:type="dxa"/>
            <w:tcBorders/>
          </w:tcPr>
          <w:p>
            <w:pPr>
              <w:spacing w:after="400" w:line="400" w:lineRule="exact"/>
            </w:pPr>
            <w:r>
              <w:t>可中断负荷</w:t>
            </w:r>
          </w:p>
        </w:tc>
        <w:tc>
          <w:tcPr>
            <w:tcW w:w="2765" w:type="dxa"/>
            <w:tcBorders/>
          </w:tcPr>
          <w:p>
            <w:pPr>
              <w:spacing w:after="400" w:line="400" w:lineRule="exact"/>
            </w:pPr>
            <w:r>
              <w:t>扣除可通过需求响应削减的负荷</w:t>
            </w:r>
          </w:p>
        </w:tc>
      </w:tr>
    </w:tbl>
    <w:p>
      <w:pPr>
        <w:spacing w:before="400" w:after="400" w:line="400" w:lineRule="atLeast"/>
      </w:pPr>
      <w:r>
        <w:rPr>
          <w:b w:val="true"/>
        </w:rPr>
        <w:t>"净负荷"与"总负荷"的区别</w:t>
      </w:r>
      <w:r>
        <w:t>：</w:t>
      </w:r>
    </w:p>
    <w:p>
      <w:pPr>
        <w:spacing w:after="400" w:line="400" w:lineRule="atLeast"/>
      </w:pPr>
      <w:r>
        <w:t>传统电力调度关注"总负荷"，即所有用户的用电需求总和。但随着新能源占比提升，风光出力在高峰时段可能大幅下降（如傍晚无风无光时段），此时"总负荷"虽不是最高，但"净负荷"却是最高的。这就是典型的"鸭子曲线"效应。</w:t>
      </w:r>
    </w:p>
    <w:p>
      <w:pPr>
        <w:spacing w:after="400" w:line="400" w:lineRule="atLeast"/>
      </w:pPr>
      <w:r>
        <w:t>青海典型日净负荷曲线特征：</w:t>
      </w:r>
    </w:p>
    <w:p>
      <w:pPr>
        <w:numPr>
          <w:ilvl w:val="-1"/>
          <w:numId w:val="38"/>
        </w:numPr>
        <w:spacing w:after="400" w:line="400" w:lineRule="atLeast"/>
      </w:pPr>
      <w:r>
        <w:rPr>
          <w:b w:val="true"/>
        </w:rPr>
        <w:t>早高峰（7:00-9:00）</w:t>
      </w:r>
      <w:r>
        <w:t>：光伏尚未充分出力，净负荷较高</w:t>
      </w:r>
    </w:p>
    <w:p>
      <w:pPr>
        <w:numPr>
          <w:ilvl w:val="-1"/>
          <w:numId w:val="38"/>
        </w:numPr>
        <w:spacing w:after="400" w:line="400" w:lineRule="atLeast"/>
      </w:pPr>
      <w:r>
        <w:rPr>
          <w:b w:val="true"/>
        </w:rPr>
        <w:t>午间低谷（11:00-14:00）</w:t>
      </w:r>
      <w:r>
        <w:t>：光伏大发，净负荷降至谷底</w:t>
      </w:r>
    </w:p>
    <w:p>
      <w:pPr>
        <w:numPr>
          <w:ilvl w:val="-1"/>
          <w:numId w:val="38"/>
        </w:numPr>
        <w:spacing w:after="400" w:line="400" w:lineRule="atLeast"/>
      </w:pPr>
      <w:r>
        <w:rPr>
          <w:b w:val="true"/>
        </w:rPr>
        <w:t>晚高峰（17:00-21:00）</w:t>
      </w:r>
      <w:r>
        <w:t>：光伏归零，负荷仍高，净负荷达到峰值</w:t>
      </w:r>
    </w:p>
    <w:p>
      <w:pPr>
        <w:spacing w:after="400" w:line="400" w:lineRule="atLeast"/>
      </w:pPr>
      <w:r>
        <w:t>有搜索结果显示，青海、宁夏高峰时段为17:00–23:00，共6小时，这与8小时的要求接近，但可能存在季节性差异。</w:t>
      </w:r>
    </w:p>
    <w:p>
      <w:pPr>
        <w:spacing w:after="400" w:line="400" w:lineRule="atLeast"/>
      </w:pPr>
      <w:r>
        <w:rPr>
          <w:b/>
          <w:sz w:val="26"/>
        </w:rPr>
        <w:t xml:space="preserve">2.2.3 对储能项目设计的根本性影响</w:t>
      </w:r>
    </w:p>
    <w:p>
      <w:pPr>
        <w:spacing w:after="400" w:line="400" w:lineRule="atLeast"/>
      </w:pPr>
      <w:r>
        <w:t>8小时持续放电要求直接挑战了当前主流储能技术路线。目前市场主流的磷酸铁锂储能项目大多为2-4小时配置，难以满足8小时持续放电要求。</w:t>
      </w:r>
    </w:p>
    <w:p>
      <w:pPr>
        <w:spacing w:after="400" w:line="400" w:lineRule="atLeast"/>
      </w:pPr>
      <w:r>
        <w:rPr>
          <w:b w:val="true"/>
        </w:rPr>
        <w:t>可靠容量系数的计算公式解析</w:t>
      </w:r>
      <w:r>
        <w:t>：</w:t>
      </w:r>
    </w:p>
    <w:p>
      <w:pPr>
        <w:spacing w:after="400" w:line="400" w:lineRule="atLeast"/>
      </w:pPr>
      <w:r>
        <w:t xml:space="preserve">可靠容量系数 = (1 - 厂用电率) × MIN(满功率放电时长 / 系统净负荷高峰持续时长, 100%)</w:t>
      </w:r>
    </w:p>
    <w:p>
      <w:pPr>
        <w:spacing w:after="400" w:line="400" w:lineRule="atLeast"/>
      </w:pPr>
      <w:r>
        <w:t>以200MW/800MWh（4小时）储能项目为例，若系统净负荷高峰持续时长为8小时：</w:t>
      </w:r>
    </w:p>
    <w:p>
      <w:pPr>
        <w:spacing w:after="400" w:line="400" w:lineRule="atLeast"/>
      </w:pPr>
      <w:r>
        <w:t xml:space="preserve">可靠容量系数 = (1 - 10.39%) × MIN(4小时 / 8小时, 100%)</w:t>
      </w:r>
    </w:p>
    <w:p>
      <w:pPr>
        <w:spacing w:after="400" w:line="400" w:lineRule="atLeast"/>
      </w:pPr>
      <w:r>
        <w:t xml:space="preserve">= 89.61% × 50%</w:t>
      </w:r>
    </w:p>
    <w:p>
      <w:pPr>
        <w:spacing w:after="400" w:line="400" w:lineRule="atLeast"/>
      </w:pPr>
      <w:r>
        <w:t xml:space="preserve">= 44.805%</w:t>
      </w:r>
    </w:p>
    <w:p>
      <w:pPr>
        <w:spacing w:after="400" w:line="400" w:lineRule="atLeast"/>
      </w:pPr>
      <w:r>
        <w:rPr>
          <w:b w:val="true"/>
        </w:rPr>
        <w:t>不同持续时长要求的对比</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pPr>
            <w:r>
              <w:rPr>
                <w:b w:val="true"/>
              </w:rPr>
              <w:t>持续时长要求</w:t>
            </w:r>
          </w:p>
        </w:tc>
        <w:tc>
          <w:tcPr>
            <w:tcW w:w="2765" w:type="dxa"/>
            <w:tcBorders/>
          </w:tcPr>
          <w:p>
            <w:pPr>
              <w:spacing w:after="400" w:line="400" w:lineRule="exact"/>
            </w:pPr>
            <w:r>
              <w:rPr>
                <w:b w:val="true"/>
              </w:rPr>
              <w:t>4小时储能项目可靠容量系数</w:t>
            </w:r>
          </w:p>
        </w:tc>
        <w:tc>
          <w:tcPr>
            <w:tcW w:w="2765" w:type="dxa"/>
            <w:tcBorders/>
          </w:tcPr>
          <w:p>
            <w:pPr>
              <w:spacing w:after="400" w:line="400" w:lineRule="exact"/>
            </w:pPr>
            <w:r>
              <w:rPr>
                <w:b w:val="true"/>
              </w:rPr>
              <w:t>8小时储能项目可靠容量系数</w:t>
            </w:r>
          </w:p>
        </w:tc>
      </w:tr>
      <w:tr>
        <w:tc>
          <w:tcPr>
            <w:tcW w:w="2765" w:type="dxa"/>
            <w:tcBorders/>
          </w:tcPr>
          <w:p>
            <w:pPr>
              <w:spacing w:after="400" w:line="400" w:lineRule="exact"/>
            </w:pPr>
            <w:r>
              <w:t>4小时</w:t>
            </w:r>
          </w:p>
        </w:tc>
        <w:tc>
          <w:tcPr>
            <w:tcW w:w="2765" w:type="dxa"/>
            <w:tcBorders/>
          </w:tcPr>
          <w:p>
            <w:pPr>
              <w:spacing w:after="400" w:line="400" w:lineRule="exact"/>
            </w:pPr>
            <w:r>
              <w:t xml:space="preserve">89.61% × 100% = 89.61%</w:t>
            </w:r>
          </w:p>
        </w:tc>
        <w:tc>
          <w:tcPr>
            <w:tcW w:w="2765" w:type="dxa"/>
            <w:tcBorders/>
          </w:tcPr>
          <w:p>
            <w:pPr>
              <w:spacing w:after="400" w:line="400" w:lineRule="exact"/>
            </w:pPr>
            <w:r>
              <w:t xml:space="preserve">89.61% × 100% = 89.61%</w:t>
            </w:r>
          </w:p>
        </w:tc>
      </w:tr>
      <w:tr>
        <w:tc>
          <w:tcPr>
            <w:tcW w:w="2765" w:type="dxa"/>
            <w:tcBorders/>
          </w:tcPr>
          <w:p>
            <w:pPr>
              <w:spacing w:after="400" w:line="400" w:lineRule="exact"/>
            </w:pPr>
            <w:r>
              <w:t>8小时</w:t>
            </w:r>
          </w:p>
        </w:tc>
        <w:tc>
          <w:tcPr>
            <w:tcW w:w="2765" w:type="dxa"/>
            <w:tcBorders/>
          </w:tcPr>
          <w:p>
            <w:pPr>
              <w:spacing w:after="400" w:line="400" w:lineRule="exact"/>
            </w:pPr>
            <w:r>
              <w:t xml:space="preserve">89.61% × 50% = 44.80%</w:t>
            </w:r>
          </w:p>
        </w:tc>
        <w:tc>
          <w:tcPr>
            <w:tcW w:w="2765" w:type="dxa"/>
            <w:tcBorders/>
          </w:tcPr>
          <w:p>
            <w:pPr>
              <w:spacing w:after="400" w:line="400" w:lineRule="exact"/>
            </w:pPr>
            <w:r>
              <w:t xml:space="preserve">89.61% × 100% = 89.61%</w:t>
            </w:r>
          </w:p>
        </w:tc>
      </w:tr>
    </w:tbl>
    <w:p>
      <w:pPr>
        <w:spacing w:before="400" w:after="400" w:line="400" w:lineRule="atLeast"/>
      </w:pPr>
      <w:r>
        <w:rPr>
          <w:b w:val="true"/>
        </w:rPr>
        <w:t>核心发现</w:t>
      </w:r>
      <w:r>
        <w:t>：若政策最终确定采用8小时持续时长要求，4小时储能项目的可靠容量系数将从89.61%大幅下降至44.80%，直接导致容量电费收入减少约50%。这一政策导向明确传递了监管部门对长时储能（8小时及以上）的偏好。</w:t>
      </w:r>
    </w:p>
    <w:p>
      <w:pPr>
        <w:spacing w:after="400" w:line="400" w:lineRule="atLeast"/>
      </w:pPr>
      <w:r>
        <w:rPr>
          <w:b/>
          <w:sz w:val="33"/>
        </w:rPr>
        <w:t xml:space="preserve">第三章 200MW/800MWh储能项目容量补偿测算案例</w:t>
      </w:r>
    </w:p>
    <w:p>
      <w:pPr>
        <w:spacing w:after="400" w:line="400" w:lineRule="atLeast"/>
      </w:pPr>
      <w:r>
        <w:rPr>
          <w:b/>
          <w:sz w:val="30"/>
        </w:rPr>
        <w:t xml:space="preserve">3.1 项目基本参数设定</w:t>
      </w:r>
    </w:p>
    <w:p>
      <w:pPr>
        <w:spacing w:after="400" w:line="400" w:lineRule="atLeast"/>
      </w:pPr>
      <w:r>
        <w:t>本节以一个典型的200MW/800MWh储能项目为案例，详细测算其在青海省容量补偿机制下的容量电费收入。由于政策仍处于征求意见阶段，本报告将基于两种情景进行分析。</w:t>
      </w:r>
    </w:p>
    <w:p>
      <w:pPr>
        <w:spacing w:after="400" w:line="400" w:lineRule="atLeast"/>
      </w:pPr>
      <w:r>
        <w:rPr>
          <w:b w:val="true"/>
        </w:rPr>
        <w:t>项目基础参数</w:t>
      </w:r>
      <w:r>
        <w:t>：</w:t>
      </w:r>
    </w:p>
    <w:p>
      <w:pPr>
        <w:numPr>
          <w:ilvl w:val="-1"/>
          <w:numId w:val="10"/>
        </w:numPr>
        <w:spacing w:after="400" w:line="400" w:lineRule="atLeast"/>
      </w:pPr>
      <w:r>
        <w:t>额定功率：200MW</w:t>
      </w:r>
    </w:p>
    <w:p>
      <w:pPr>
        <w:numPr>
          <w:ilvl w:val="-1"/>
          <w:numId w:val="10"/>
        </w:numPr>
        <w:spacing w:after="400" w:line="400" w:lineRule="atLeast"/>
      </w:pPr>
      <w:r>
        <w:t>额定容量：800MWh</w:t>
      </w:r>
    </w:p>
    <w:p>
      <w:pPr>
        <w:numPr>
          <w:ilvl w:val="-1"/>
          <w:numId w:val="10"/>
        </w:numPr>
        <w:spacing w:after="400" w:line="400" w:lineRule="atLeast"/>
      </w:pPr>
      <w:r>
        <w:t xml:space="preserve">满功率放电时长：4小时（800MWh ÷ 200MW）</w:t>
      </w:r>
    </w:p>
    <w:p>
      <w:pPr>
        <w:numPr>
          <w:ilvl w:val="-1"/>
          <w:numId w:val="10"/>
        </w:numPr>
        <w:spacing w:after="400" w:line="400" w:lineRule="atLeast"/>
      </w:pPr>
      <w:r>
        <w:t>储能技术类型：磷酸铁锂（新型储能）</w:t>
      </w:r>
    </w:p>
    <w:p>
      <w:pPr>
        <w:numPr>
          <w:ilvl w:val="-1"/>
          <w:numId w:val="10"/>
        </w:numPr>
        <w:spacing w:after="400" w:line="400" w:lineRule="atLeast"/>
      </w:pPr>
      <w:r>
        <w:t>厂用电率：10.39%（按政策暂定值）</w:t>
      </w:r>
    </w:p>
    <w:p>
      <w:pPr>
        <w:numPr>
          <w:ilvl w:val="-1"/>
          <w:numId w:val="10"/>
        </w:numPr>
        <w:spacing w:after="400" w:line="400" w:lineRule="atLeast"/>
      </w:pPr>
      <w:r>
        <w:t>项目所在地：青海省</w:t>
      </w:r>
    </w:p>
    <w:p>
      <w:pPr>
        <w:spacing w:after="400" w:line="400" w:lineRule="atLeast"/>
      </w:pPr>
      <w:r>
        <w:rPr>
          <w:b w:val="true"/>
        </w:rPr>
        <w:t>情景一参数（基于2026年2月版本征求意见稿）</w:t>
      </w:r>
      <w:r>
        <w:t>：</w:t>
      </w:r>
    </w:p>
    <w:p>
      <w:pPr>
        <w:numPr>
          <w:ilvl w:val="-1"/>
          <w:numId w:val="34"/>
        </w:numPr>
        <w:spacing w:after="400" w:line="400" w:lineRule="atLeast"/>
      </w:pPr>
      <w:r>
        <w:t>容量补偿标准：165元/（千瓦·年）</w:t>
      </w:r>
    </w:p>
    <w:p>
      <w:pPr>
        <w:numPr>
          <w:ilvl w:val="-1"/>
          <w:numId w:val="34"/>
        </w:numPr>
        <w:spacing w:after="400" w:line="400" w:lineRule="atLeast"/>
      </w:pPr>
      <w:r>
        <w:t>容量供需系数：1.04</w:t>
      </w:r>
    </w:p>
    <w:p>
      <w:pPr>
        <w:numPr>
          <w:ilvl w:val="-1"/>
          <w:numId w:val="34"/>
        </w:numPr>
        <w:spacing w:after="400" w:line="400" w:lineRule="atLeast"/>
      </w:pPr>
      <w:r>
        <w:t>系统净负荷高峰持续时长：4小时</w:t>
      </w:r>
    </w:p>
    <w:p>
      <w:pPr>
        <w:spacing w:after="400" w:line="400" w:lineRule="atLeast"/>
      </w:pPr>
      <w:r>
        <w:rPr>
          <w:b w:val="true"/>
        </w:rPr>
        <w:t>情景二参数（基于2026年4月版本征求意见稿）</w:t>
      </w:r>
      <w:r>
        <w:t>：</w:t>
      </w:r>
    </w:p>
    <w:p>
      <w:pPr>
        <w:numPr>
          <w:ilvl w:val="-1"/>
          <w:numId w:val="7"/>
        </w:numPr>
        <w:spacing w:after="400" w:line="400" w:lineRule="atLeast"/>
      </w:pPr>
      <w:r>
        <w:t>容量补偿标准：185元/（千瓦·年）</w:t>
      </w:r>
    </w:p>
    <w:p>
      <w:pPr>
        <w:numPr>
          <w:ilvl w:val="-1"/>
          <w:numId w:val="7"/>
        </w:numPr>
        <w:spacing w:after="400" w:line="400" w:lineRule="atLeast"/>
      </w:pPr>
      <w:r>
        <w:t>容量供需系数：0.92</w:t>
      </w:r>
    </w:p>
    <w:p>
      <w:pPr>
        <w:numPr>
          <w:ilvl w:val="-1"/>
          <w:numId w:val="7"/>
        </w:numPr>
        <w:spacing w:after="400" w:line="400" w:lineRule="atLeast"/>
      </w:pPr>
      <w:r>
        <w:t>系统净负荷高峰持续时长：8小时</w:t>
      </w:r>
    </w:p>
    <w:p>
      <w:pPr>
        <w:spacing w:after="400" w:line="400" w:lineRule="atLeast"/>
      </w:pPr>
      <w:r>
        <w:rPr>
          <w:b/>
          <w:sz w:val="30"/>
        </w:rPr>
        <w:t xml:space="preserve">3.2 情景一：基于4小时持续时长要求的有效容量计算</w:t>
      </w:r>
    </w:p>
    <w:p>
      <w:pPr>
        <w:spacing w:after="400" w:line="400" w:lineRule="atLeast"/>
      </w:pPr>
      <w:r>
        <w:rPr>
          <w:b w:val="true"/>
        </w:rPr>
        <w:t>步骤一：计算可靠容量系数</w:t>
      </w:r>
    </w:p>
    <w:p>
      <w:pPr>
        <w:spacing w:after="400" w:line="400" w:lineRule="atLeast"/>
      </w:pPr>
      <w:r>
        <w:t xml:space="preserve">可靠容量系数 = (1 - 厂用电率) × MIN(满功率放电时长 / 系统净负荷高峰持续时长, 100%)</w:t>
      </w:r>
    </w:p>
    <w:p>
      <w:pPr>
        <w:spacing w:after="400" w:line="400" w:lineRule="atLeast"/>
      </w:pPr>
      <w:r>
        <w:t xml:space="preserve">= (1 - 10.39%) × MIN(4小时 / 4小时, 100%)</w:t>
      </w:r>
    </w:p>
    <w:p>
      <w:pPr>
        <w:spacing w:after="400" w:line="400" w:lineRule="atLeast"/>
      </w:pPr>
      <w:r>
        <w:t xml:space="preserve">= 89.61% × 100%</w:t>
      </w:r>
    </w:p>
    <w:p>
      <w:pPr>
        <w:spacing w:after="400" w:line="400" w:lineRule="atLeast"/>
      </w:pPr>
      <w:r>
        <w:t xml:space="preserve">= 89.61%</w:t>
      </w:r>
    </w:p>
    <w:p>
      <w:pPr>
        <w:spacing w:after="400" w:line="400" w:lineRule="atLeast"/>
      </w:pPr>
      <w:r>
        <w:rPr>
          <w:b w:val="true"/>
        </w:rPr>
        <w:t>步骤二：计算有效容量</w:t>
      </w:r>
    </w:p>
    <w:p>
      <w:pPr>
        <w:spacing w:after="400" w:line="400" w:lineRule="atLeast"/>
      </w:pPr>
      <w:r>
        <w:t xml:space="preserve">有效容量 = 最大放电功率 × 可靠容量系数</w:t>
      </w:r>
    </w:p>
    <w:p>
      <w:pPr>
        <w:spacing w:after="400" w:line="400" w:lineRule="atLeast"/>
      </w:pPr>
      <w:r>
        <w:t xml:space="preserve">= 200MW × 89.61%</w:t>
      </w:r>
    </w:p>
    <w:p>
      <w:pPr>
        <w:spacing w:after="400" w:line="400" w:lineRule="atLeast"/>
      </w:pPr>
      <w:r>
        <w:t xml:space="preserve">= 179.22MW</w:t>
      </w:r>
    </w:p>
    <w:p>
      <w:pPr>
        <w:spacing w:after="400" w:line="400" w:lineRule="atLeast"/>
      </w:pPr>
      <w:r>
        <w:t xml:space="preserve">= 179,220kW</w:t>
      </w:r>
    </w:p>
    <w:p>
      <w:pPr>
        <w:spacing w:after="400" w:line="400" w:lineRule="atLeast"/>
      </w:pPr>
      <w:r>
        <w:rPr>
          <w:b w:val="true"/>
        </w:rPr>
        <w:t>步骤三：计算年度容量电费收入</w:t>
      </w:r>
    </w:p>
    <w:p>
      <w:pPr>
        <w:spacing w:after="400" w:line="400" w:lineRule="atLeast"/>
      </w:pPr>
      <w:r>
        <w:t xml:space="preserve">年度容量电费 = 申报容量 × 容量供需系数 × 容量补偿标准</w:t>
      </w:r>
    </w:p>
    <w:p>
      <w:pPr>
        <w:spacing w:after="400" w:line="400" w:lineRule="atLeast"/>
      </w:pPr>
      <w:r>
        <w:t xml:space="preserve">= 179,220kW × 1.04 × 165元/（千瓦·年）</w:t>
      </w:r>
    </w:p>
    <w:p>
      <w:pPr>
        <w:spacing w:after="400" w:line="400" w:lineRule="atLeast"/>
      </w:pPr>
      <w:r>
        <w:t xml:space="preserve">= 179,220kW × 171.6元/（千瓦·年）</w:t>
      </w:r>
    </w:p>
    <w:p>
      <w:pPr>
        <w:spacing w:after="400" w:line="400" w:lineRule="atLeast"/>
      </w:pPr>
      <w:r>
        <w:t xml:space="preserve">= 30,752,952元/年</w:t>
      </w:r>
    </w:p>
    <w:p>
      <w:pPr>
        <w:spacing w:after="400" w:line="400" w:lineRule="atLeast"/>
      </w:pPr>
      <w:r>
        <w:t xml:space="preserve">≈ 3,075万元/年</w:t>
      </w:r>
    </w:p>
    <w:p>
      <w:pPr>
        <w:spacing w:after="400" w:line="400" w:lineRule="atLeast"/>
      </w:pPr>
      <w:r>
        <w:rPr>
          <w:b w:val="true"/>
        </w:rPr>
        <w:t>情景一总结</w:t>
      </w:r>
      <w:r>
        <w:t>：在4小时持续时长要求下，200MW/800MWh储能项目可获得约3,075万元/年的容量电费收入。</w:t>
      </w:r>
    </w:p>
    <w:p>
      <w:pPr>
        <w:spacing w:after="400" w:line="400" w:lineRule="atLeast"/>
      </w:pPr>
      <w:r>
        <w:rPr>
          <w:b/>
          <w:sz w:val="30"/>
        </w:rPr>
        <w:t xml:space="preserve">3.3 情景二：基于8小时持续时长要求的有效容量计算</w:t>
      </w:r>
    </w:p>
    <w:p>
      <w:pPr>
        <w:spacing w:after="400" w:line="400" w:lineRule="atLeast"/>
      </w:pPr>
      <w:r>
        <w:rPr>
          <w:b w:val="true"/>
        </w:rPr>
        <w:t>步骤一：计算可靠容量系数</w:t>
      </w:r>
    </w:p>
    <w:p>
      <w:pPr>
        <w:spacing w:after="400" w:line="400" w:lineRule="atLeast"/>
      </w:pPr>
      <w:r>
        <w:t xml:space="preserve">可靠容量系数 = (1 - 厂用电率) × MIN(满功率放电时长 / 系统净负荷高峰持续时长, 100%)</w:t>
      </w:r>
    </w:p>
    <w:p>
      <w:pPr>
        <w:spacing w:after="400" w:line="400" w:lineRule="atLeast"/>
      </w:pPr>
      <w:r>
        <w:t xml:space="preserve">= (1 - 10.39%) × MIN(4小时 / 8小时, 100%)</w:t>
      </w:r>
    </w:p>
    <w:p>
      <w:pPr>
        <w:spacing w:after="400" w:line="400" w:lineRule="atLeast"/>
      </w:pPr>
      <w:r>
        <w:t xml:space="preserve">= 89.61% × 50%</w:t>
      </w:r>
    </w:p>
    <w:p>
      <w:pPr>
        <w:spacing w:after="400" w:line="400" w:lineRule="atLeast"/>
      </w:pPr>
      <w:r>
        <w:t xml:space="preserve">= 44.805%</w:t>
      </w:r>
    </w:p>
    <w:p>
      <w:pPr>
        <w:spacing w:after="400" w:line="400" w:lineRule="atLeast"/>
      </w:pPr>
      <w:r>
        <w:rPr>
          <w:b w:val="true"/>
        </w:rPr>
        <w:t>步骤二：计算有效容量</w:t>
      </w:r>
    </w:p>
    <w:p>
      <w:pPr>
        <w:spacing w:after="400" w:line="400" w:lineRule="atLeast"/>
      </w:pPr>
      <w:r>
        <w:t xml:space="preserve">有效容量 = 最大放电功率 × 可靠容量系数</w:t>
      </w:r>
    </w:p>
    <w:p>
      <w:pPr>
        <w:spacing w:after="400" w:line="400" w:lineRule="atLeast"/>
      </w:pPr>
      <w:r>
        <w:t xml:space="preserve">= 200MW × 44.805%</w:t>
      </w:r>
    </w:p>
    <w:p>
      <w:pPr>
        <w:spacing w:after="400" w:line="400" w:lineRule="atLeast"/>
      </w:pPr>
      <w:r>
        <w:t xml:space="preserve">= 89.61MW</w:t>
      </w:r>
    </w:p>
    <w:p>
      <w:pPr>
        <w:spacing w:after="400" w:line="400" w:lineRule="atLeast"/>
      </w:pPr>
      <w:r>
        <w:t xml:space="preserve">= 89,610kW</w:t>
      </w:r>
    </w:p>
    <w:p>
      <w:pPr>
        <w:spacing w:after="400" w:line="400" w:lineRule="atLeast"/>
      </w:pPr>
      <w:r>
        <w:rPr>
          <w:b w:val="true"/>
        </w:rPr>
        <w:t>步骤三：计算年度容量电费收入</w:t>
      </w:r>
    </w:p>
    <w:p>
      <w:pPr>
        <w:spacing w:after="400" w:line="400" w:lineRule="atLeast"/>
      </w:pPr>
      <w:r>
        <w:t xml:space="preserve">年度容量电费 = 申报容量 × 容量供需系数 × 容量补偿标准</w:t>
      </w:r>
    </w:p>
    <w:p>
      <w:pPr>
        <w:spacing w:after="400" w:line="400" w:lineRule="atLeast"/>
      </w:pPr>
      <w:r>
        <w:t xml:space="preserve">= 89,610kW × 0.92 × 185元/（千瓦·年）</w:t>
      </w:r>
    </w:p>
    <w:p>
      <w:pPr>
        <w:spacing w:after="400" w:line="400" w:lineRule="atLeast"/>
      </w:pPr>
      <w:r>
        <w:t xml:space="preserve">= 89,610kW × 170.2元/（千瓦·年）</w:t>
      </w:r>
    </w:p>
    <w:p>
      <w:pPr>
        <w:spacing w:after="400" w:line="400" w:lineRule="atLeast"/>
      </w:pPr>
      <w:r>
        <w:t xml:space="preserve">= 15,250,122元/年</w:t>
      </w:r>
    </w:p>
    <w:p>
      <w:pPr>
        <w:spacing w:after="400" w:line="400" w:lineRule="atLeast"/>
      </w:pPr>
      <w:r>
        <w:t xml:space="preserve">≈ 1,525万元/年</w:t>
      </w:r>
    </w:p>
    <w:p>
      <w:pPr>
        <w:spacing w:after="400" w:line="400" w:lineRule="atLeast"/>
      </w:pPr>
      <w:r>
        <w:rPr>
          <w:b w:val="true"/>
        </w:rPr>
        <w:t>情景二总结</w:t>
      </w:r>
      <w:r>
        <w:t>：在8小时持续时长要求下，200MW/800MWh储能项目可获得约1,525万元/年的容量电费收入。</w:t>
      </w:r>
    </w:p>
    <w:p>
      <w:pPr>
        <w:spacing w:after="400" w:line="400" w:lineRule="atLeast"/>
      </w:pPr>
      <w:r>
        <w:rPr>
          <w:b/>
          <w:sz w:val="30"/>
        </w:rPr>
        <w:t xml:space="preserve">3.4 两种情景的对比分析</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参数</w:t>
            </w:r>
          </w:p>
        </w:tc>
        <w:tc>
          <w:tcPr>
            <w:tcW w:w="2074" w:type="dxa"/>
            <w:tcBorders/>
          </w:tcPr>
          <w:p>
            <w:pPr>
              <w:spacing w:after="400" w:line="400" w:lineRule="exact"/>
            </w:pPr>
            <w:r>
              <w:rPr>
                <w:b w:val="true"/>
              </w:rPr>
              <w:t>情景一（4小时要求）</w:t>
            </w:r>
          </w:p>
        </w:tc>
        <w:tc>
          <w:tcPr>
            <w:tcW w:w="2074" w:type="dxa"/>
            <w:tcBorders/>
          </w:tcPr>
          <w:p>
            <w:pPr>
              <w:spacing w:after="400" w:line="400" w:lineRule="exact"/>
            </w:pPr>
            <w:r>
              <w:rPr>
                <w:b w:val="true"/>
              </w:rPr>
              <w:t>情景二（8小时要求）</w:t>
            </w:r>
          </w:p>
        </w:tc>
        <w:tc>
          <w:tcPr>
            <w:tcW w:w="2074" w:type="dxa"/>
            <w:tcBorders/>
          </w:tcPr>
          <w:p>
            <w:pPr>
              <w:spacing w:after="400" w:line="400" w:lineRule="exact"/>
            </w:pPr>
            <w:r>
              <w:rPr>
                <w:b w:val="true"/>
              </w:rPr>
              <w:t>变化幅度</w:t>
            </w:r>
          </w:p>
        </w:tc>
      </w:tr>
      <w:tr>
        <w:tc>
          <w:tcPr>
            <w:tcW w:w="2074" w:type="dxa"/>
            <w:tcBorders/>
          </w:tcPr>
          <w:p>
            <w:pPr>
              <w:spacing w:after="400" w:line="400" w:lineRule="exact"/>
            </w:pPr>
            <w:r>
              <w:t>容量补偿标准</w:t>
            </w:r>
          </w:p>
        </w:tc>
        <w:tc>
          <w:tcPr>
            <w:tcW w:w="2074" w:type="dxa"/>
            <w:tcBorders/>
          </w:tcPr>
          <w:p>
            <w:pPr>
              <w:spacing w:after="400" w:line="400" w:lineRule="exact"/>
            </w:pPr>
            <w:r>
              <w:t>165元/（千瓦·年）</w:t>
            </w:r>
          </w:p>
        </w:tc>
        <w:tc>
          <w:tcPr>
            <w:tcW w:w="2074" w:type="dxa"/>
            <w:tcBorders/>
          </w:tcPr>
          <w:p>
            <w:pPr>
              <w:spacing w:after="400" w:line="400" w:lineRule="exact"/>
            </w:pPr>
            <w:r>
              <w:t>185元/（千瓦·年）</w:t>
            </w:r>
          </w:p>
        </w:tc>
        <w:tc>
          <w:tcPr>
            <w:tcW w:w="2074" w:type="dxa"/>
            <w:tcBorders/>
          </w:tcPr>
          <w:p>
            <w:pPr>
              <w:spacing w:after="400" w:line="400" w:lineRule="exact"/>
            </w:pPr>
            <w:r>
              <w:t>+12.1%</w:t>
            </w:r>
          </w:p>
        </w:tc>
      </w:tr>
      <w:tr>
        <w:tc>
          <w:tcPr>
            <w:tcW w:w="2074" w:type="dxa"/>
            <w:tcBorders/>
          </w:tcPr>
          <w:p>
            <w:pPr>
              <w:spacing w:after="400" w:line="400" w:lineRule="exact"/>
            </w:pPr>
            <w:r>
              <w:t>容量供需系数</w:t>
            </w:r>
          </w:p>
        </w:tc>
        <w:tc>
          <w:tcPr>
            <w:tcW w:w="2074" w:type="dxa"/>
            <w:tcBorders/>
          </w:tcPr>
          <w:p>
            <w:pPr>
              <w:spacing w:after="400" w:line="400" w:lineRule="exact"/>
            </w:pPr>
            <w:r>
              <w:t>1.04</w:t>
            </w:r>
          </w:p>
        </w:tc>
        <w:tc>
          <w:tcPr>
            <w:tcW w:w="2074" w:type="dxa"/>
            <w:tcBorders/>
          </w:tcPr>
          <w:p>
            <w:pPr>
              <w:spacing w:after="400" w:line="400" w:lineRule="exact"/>
            </w:pPr>
            <w:r>
              <w:t>0.92</w:t>
            </w:r>
          </w:p>
        </w:tc>
        <w:tc>
          <w:tcPr>
            <w:tcW w:w="2074" w:type="dxa"/>
            <w:tcBorders/>
          </w:tcPr>
          <w:p>
            <w:pPr>
              <w:spacing w:after="400" w:line="400" w:lineRule="exact"/>
            </w:pPr>
            <w:r>
              <w:t>-11.5%</w:t>
            </w:r>
          </w:p>
        </w:tc>
      </w:tr>
      <w:tr>
        <w:tc>
          <w:tcPr>
            <w:tcW w:w="2074" w:type="dxa"/>
            <w:tcBorders/>
          </w:tcPr>
          <w:p>
            <w:pPr>
              <w:spacing w:after="400" w:line="400" w:lineRule="exact"/>
            </w:pPr>
            <w:r>
              <w:t>可靠容量系数</w:t>
            </w:r>
          </w:p>
        </w:tc>
        <w:tc>
          <w:tcPr>
            <w:tcW w:w="2074" w:type="dxa"/>
            <w:tcBorders/>
          </w:tcPr>
          <w:p>
            <w:pPr>
              <w:spacing w:after="400" w:line="400" w:lineRule="exact"/>
            </w:pPr>
            <w:r>
              <w:t>89.61%</w:t>
            </w:r>
          </w:p>
        </w:tc>
        <w:tc>
          <w:tcPr>
            <w:tcW w:w="2074" w:type="dxa"/>
            <w:tcBorders/>
          </w:tcPr>
          <w:p>
            <w:pPr>
              <w:spacing w:after="400" w:line="400" w:lineRule="exact"/>
            </w:pPr>
            <w:r>
              <w:t>44.80%</w:t>
            </w:r>
          </w:p>
        </w:tc>
        <w:tc>
          <w:tcPr>
            <w:tcW w:w="2074" w:type="dxa"/>
            <w:tcBorders/>
          </w:tcPr>
          <w:p>
            <w:pPr>
              <w:spacing w:after="400" w:line="400" w:lineRule="exact"/>
            </w:pPr>
            <w:r>
              <w:t>-50.0%</w:t>
            </w:r>
          </w:p>
        </w:tc>
      </w:tr>
      <w:tr>
        <w:tc>
          <w:tcPr>
            <w:tcW w:w="2074" w:type="dxa"/>
            <w:tcBorders/>
          </w:tcPr>
          <w:p>
            <w:pPr>
              <w:spacing w:after="400" w:line="400" w:lineRule="exact"/>
            </w:pPr>
            <w:r>
              <w:t>有效容量</w:t>
            </w:r>
          </w:p>
        </w:tc>
        <w:tc>
          <w:tcPr>
            <w:tcW w:w="2074" w:type="dxa"/>
            <w:tcBorders/>
          </w:tcPr>
          <w:p>
            <w:pPr>
              <w:spacing w:after="400" w:line="400" w:lineRule="exact"/>
            </w:pPr>
            <w:r>
              <w:t>179.22MW</w:t>
            </w:r>
          </w:p>
        </w:tc>
        <w:tc>
          <w:tcPr>
            <w:tcW w:w="2074" w:type="dxa"/>
            <w:tcBorders/>
          </w:tcPr>
          <w:p>
            <w:pPr>
              <w:spacing w:after="400" w:line="400" w:lineRule="exact"/>
            </w:pPr>
            <w:r>
              <w:t>89.61MW</w:t>
            </w:r>
          </w:p>
        </w:tc>
        <w:tc>
          <w:tcPr>
            <w:tcW w:w="2074" w:type="dxa"/>
            <w:tcBorders/>
          </w:tcPr>
          <w:p>
            <w:pPr>
              <w:spacing w:after="400" w:line="400" w:lineRule="exact"/>
            </w:pPr>
            <w:r>
              <w:t>-50.0%</w:t>
            </w:r>
          </w:p>
        </w:tc>
      </w:tr>
      <w:tr>
        <w:tc>
          <w:tcPr>
            <w:tcW w:w="2074" w:type="dxa"/>
            <w:tcBorders/>
          </w:tcPr>
          <w:p>
            <w:pPr>
              <w:spacing w:after="400" w:line="400" w:lineRule="exact"/>
            </w:pPr>
            <w:r>
              <w:t>年度容量电费</w:t>
            </w:r>
          </w:p>
        </w:tc>
        <w:tc>
          <w:tcPr>
            <w:tcW w:w="2074" w:type="dxa"/>
            <w:tcBorders/>
          </w:tcPr>
          <w:p>
            <w:pPr>
              <w:spacing w:after="400" w:line="400" w:lineRule="exact"/>
            </w:pPr>
            <w:r>
              <w:t>3,075万元</w:t>
            </w:r>
          </w:p>
        </w:tc>
        <w:tc>
          <w:tcPr>
            <w:tcW w:w="2074" w:type="dxa"/>
            <w:tcBorders/>
          </w:tcPr>
          <w:p>
            <w:pPr>
              <w:spacing w:after="400" w:line="400" w:lineRule="exact"/>
            </w:pPr>
            <w:r>
              <w:t>1,525万元</w:t>
            </w:r>
          </w:p>
        </w:tc>
        <w:tc>
          <w:tcPr>
            <w:tcW w:w="2074" w:type="dxa"/>
            <w:tcBorders/>
          </w:tcPr>
          <w:p>
            <w:pPr>
              <w:spacing w:after="400" w:line="400" w:lineRule="exact"/>
            </w:pPr>
            <w:r>
              <w:t>-50.4%</w:t>
            </w:r>
          </w:p>
        </w:tc>
      </w:tr>
    </w:tbl>
    <w:p>
      <w:pPr>
        <w:spacing w:before="400" w:after="400" w:line="400" w:lineRule="atLeast"/>
      </w:pPr>
      <w:r>
        <w:rPr>
          <w:b w:val="true"/>
        </w:rPr>
        <w:t>关键发现</w:t>
      </w:r>
      <w:r>
        <w:t>：</w:t>
      </w:r>
    </w:p>
    <w:p>
      <w:pPr>
        <w:numPr>
          <w:ilvl w:val="0"/>
          <w:numId w:val="2"/>
        </w:numPr>
        <w:spacing w:after="400" w:line="400" w:lineRule="atLeast"/>
      </w:pPr>
      <w:r>
        <w:rPr>
          <w:b w:val="true"/>
        </w:rPr>
        <w:t>"8小时门槛"是决定性因素</w:t>
      </w:r>
      <w:r>
        <w:t>：尽管情景二的容量补偿标准有所提高（165元→185元），但由于可靠容量系数大幅下降，年度容量电费收入反而减少约50%。</w:t>
      </w:r>
    </w:p>
    <w:p>
      <w:pPr>
        <w:numPr>
          <w:ilvl w:val="0"/>
          <w:numId w:val="2"/>
        </w:numPr>
        <w:spacing w:after="400" w:line="400" w:lineRule="atLeast"/>
      </w:pPr>
      <w:r>
        <w:rPr>
          <w:b w:val="true"/>
        </w:rPr>
        <w:t>容量供需系数的抵消效应</w:t>
      </w:r>
      <w:r>
        <w:t>：情景二中容量供需系数从1.04降至0.92，进一步降低了容量电费收入。</w:t>
      </w:r>
    </w:p>
    <w:p>
      <w:pPr>
        <w:numPr>
          <w:ilvl w:val="0"/>
          <w:numId w:val="2"/>
        </w:numPr>
        <w:spacing w:after="400" w:line="400" w:lineRule="atLeast"/>
      </w:pPr>
      <w:r>
        <w:rPr>
          <w:b w:val="true"/>
        </w:rPr>
        <w:t>综合影响显著</w:t>
      </w:r>
      <w:r>
        <w:t>：三项参数的综合变化，导致情景二的容量电费收入仅为情景一的约50%。</w:t>
      </w:r>
    </w:p>
    <w:p>
      <w:pPr>
        <w:spacing w:after="400" w:line="400" w:lineRule="atLeast"/>
      </w:pPr>
      <w:r>
        <w:rPr>
          <w:b/>
          <w:sz w:val="30"/>
        </w:rPr>
        <w:t xml:space="preserve">3.5 不同配置方案的对比分析</w:t>
      </w:r>
    </w:p>
    <w:p>
      <w:pPr>
        <w:spacing w:after="400" w:line="400" w:lineRule="atLeast"/>
      </w:pPr>
      <w:r>
        <w:t>为直观展示政策对储能项目经济性的影响，以下对比不同时长储能项目在两种情景下的容量补偿水平：</w:t>
      </w:r>
    </w:p>
    <w:p>
      <w:pPr>
        <w:spacing w:after="400" w:line="400" w:lineRule="atLeast"/>
      </w:pPr>
      <w:r>
        <w:rPr>
          <w:b w:val="true"/>
        </w:rPr>
        <w:t>情景一（4小时持续时长要求）</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项目配置</w:t>
            </w:r>
          </w:p>
        </w:tc>
        <w:tc>
          <w:tcPr>
            <w:tcW w:w="1659" w:type="dxa"/>
            <w:tcBorders/>
          </w:tcPr>
          <w:p>
            <w:pPr>
              <w:spacing w:after="400" w:line="400" w:lineRule="exact"/>
            </w:pPr>
            <w:r>
              <w:rPr>
                <w:b w:val="true"/>
              </w:rPr>
              <w:t>满功率时长</w:t>
            </w:r>
          </w:p>
        </w:tc>
        <w:tc>
          <w:tcPr>
            <w:tcW w:w="1659" w:type="dxa"/>
            <w:tcBorders/>
          </w:tcPr>
          <w:p>
            <w:pPr>
              <w:spacing w:after="400" w:line="400" w:lineRule="exact"/>
            </w:pPr>
            <w:r>
              <w:rPr>
                <w:b w:val="true"/>
              </w:rPr>
              <w:t>可靠容量系数</w:t>
            </w:r>
          </w:p>
        </w:tc>
        <w:tc>
          <w:tcPr>
            <w:tcW w:w="1659" w:type="dxa"/>
            <w:tcBorders/>
          </w:tcPr>
          <w:p>
            <w:pPr>
              <w:spacing w:after="400" w:line="400" w:lineRule="exact"/>
            </w:pPr>
            <w:r>
              <w:rPr>
                <w:b w:val="true"/>
              </w:rPr>
              <w:t>有效容量</w:t>
            </w:r>
          </w:p>
        </w:tc>
        <w:tc>
          <w:tcPr>
            <w:tcW w:w="1659" w:type="dxa"/>
            <w:tcBorders/>
          </w:tcPr>
          <w:p>
            <w:pPr>
              <w:spacing w:after="400" w:line="400" w:lineRule="exact"/>
            </w:pPr>
            <w:r>
              <w:rPr>
                <w:b w:val="true"/>
              </w:rPr>
              <w:t>单位容量补偿(元/kW·年)</w:t>
            </w:r>
          </w:p>
        </w:tc>
      </w:tr>
      <w:tr>
        <w:tc>
          <w:tcPr>
            <w:tcW w:w="1659" w:type="dxa"/>
            <w:tcBorders/>
          </w:tcPr>
          <w:p>
            <w:pPr>
              <w:spacing w:after="400" w:line="400" w:lineRule="exact"/>
            </w:pPr>
            <w:r>
              <w:t>200MW/400MWh</w:t>
            </w:r>
          </w:p>
        </w:tc>
        <w:tc>
          <w:tcPr>
            <w:tcW w:w="1659" w:type="dxa"/>
            <w:tcBorders/>
          </w:tcPr>
          <w:p>
            <w:pPr>
              <w:spacing w:after="400" w:line="400" w:lineRule="exact"/>
            </w:pPr>
            <w:r>
              <w:t>2小时</w:t>
            </w:r>
          </w:p>
        </w:tc>
        <w:tc>
          <w:tcPr>
            <w:tcW w:w="1659" w:type="dxa"/>
            <w:tcBorders/>
          </w:tcPr>
          <w:p>
            <w:pPr>
              <w:spacing w:after="400" w:line="400" w:lineRule="exact"/>
            </w:pPr>
            <w:r>
              <w:t>44.81%</w:t>
            </w:r>
          </w:p>
        </w:tc>
        <w:tc>
          <w:tcPr>
            <w:tcW w:w="1659" w:type="dxa"/>
            <w:tcBorders/>
          </w:tcPr>
          <w:p>
            <w:pPr>
              <w:spacing w:after="400" w:line="400" w:lineRule="exact"/>
            </w:pPr>
            <w:r>
              <w:t>89.6MW</w:t>
            </w:r>
          </w:p>
        </w:tc>
        <w:tc>
          <w:tcPr>
            <w:tcW w:w="1659" w:type="dxa"/>
            <w:tcBorders/>
          </w:tcPr>
          <w:p>
            <w:pPr>
              <w:spacing w:after="400" w:line="400" w:lineRule="exact"/>
            </w:pPr>
            <w:r>
              <w:t>74.0</w:t>
            </w:r>
          </w:p>
        </w:tc>
      </w:tr>
      <w:tr>
        <w:tc>
          <w:tcPr>
            <w:tcW w:w="1659" w:type="dxa"/>
            <w:tcBorders/>
          </w:tcPr>
          <w:p>
            <w:pPr>
              <w:spacing w:after="400" w:line="400" w:lineRule="exact"/>
            </w:pPr>
            <w:r>
              <w:t>200MW/800MWh</w:t>
            </w:r>
          </w:p>
        </w:tc>
        <w:tc>
          <w:tcPr>
            <w:tcW w:w="1659" w:type="dxa"/>
            <w:tcBorders/>
          </w:tcPr>
          <w:p>
            <w:pPr>
              <w:spacing w:after="400" w:line="400" w:lineRule="exact"/>
            </w:pPr>
            <w:r>
              <w:t>4小时</w:t>
            </w:r>
          </w:p>
        </w:tc>
        <w:tc>
          <w:tcPr>
            <w:tcW w:w="1659" w:type="dxa"/>
            <w:tcBorders/>
          </w:tcPr>
          <w:p>
            <w:pPr>
              <w:spacing w:after="400" w:line="400" w:lineRule="exact"/>
            </w:pPr>
            <w:r>
              <w:t>89.61%</w:t>
            </w:r>
          </w:p>
        </w:tc>
        <w:tc>
          <w:tcPr>
            <w:tcW w:w="1659" w:type="dxa"/>
            <w:tcBorders/>
          </w:tcPr>
          <w:p>
            <w:pPr>
              <w:spacing w:after="400" w:line="400" w:lineRule="exact"/>
            </w:pPr>
            <w:r>
              <w:t>179.2MW</w:t>
            </w:r>
          </w:p>
        </w:tc>
        <w:tc>
          <w:tcPr>
            <w:tcW w:w="1659" w:type="dxa"/>
            <w:tcBorders/>
          </w:tcPr>
          <w:p>
            <w:pPr>
              <w:spacing w:after="400" w:line="400" w:lineRule="exact"/>
            </w:pPr>
            <w:r>
              <w:t>148.0</w:t>
            </w:r>
          </w:p>
        </w:tc>
      </w:tr>
      <w:tr>
        <w:tc>
          <w:tcPr>
            <w:tcW w:w="1659" w:type="dxa"/>
            <w:tcBorders/>
          </w:tcPr>
          <w:p>
            <w:pPr>
              <w:spacing w:after="400" w:line="400" w:lineRule="exact"/>
            </w:pPr>
            <w:r>
              <w:t>200MW/1200MWh</w:t>
            </w:r>
          </w:p>
        </w:tc>
        <w:tc>
          <w:tcPr>
            <w:tcW w:w="1659" w:type="dxa"/>
            <w:tcBorders/>
          </w:tcPr>
          <w:p>
            <w:pPr>
              <w:spacing w:after="400" w:line="400" w:lineRule="exact"/>
            </w:pPr>
            <w:r>
              <w:t>6小时</w:t>
            </w:r>
          </w:p>
        </w:tc>
        <w:tc>
          <w:tcPr>
            <w:tcW w:w="1659" w:type="dxa"/>
            <w:tcBorders/>
          </w:tcPr>
          <w:p>
            <w:pPr>
              <w:spacing w:after="400" w:line="400" w:lineRule="exact"/>
            </w:pPr>
            <w:r>
              <w:t>89.61%</w:t>
            </w:r>
          </w:p>
        </w:tc>
        <w:tc>
          <w:tcPr>
            <w:tcW w:w="1659" w:type="dxa"/>
            <w:tcBorders/>
          </w:tcPr>
          <w:p>
            <w:pPr>
              <w:spacing w:after="400" w:line="400" w:lineRule="exact"/>
            </w:pPr>
            <w:r>
              <w:t>179.2MW</w:t>
            </w:r>
          </w:p>
        </w:tc>
        <w:tc>
          <w:tcPr>
            <w:tcW w:w="1659" w:type="dxa"/>
            <w:tcBorders/>
          </w:tcPr>
          <w:p>
            <w:pPr>
              <w:spacing w:after="400" w:line="400" w:lineRule="exact"/>
            </w:pPr>
            <w:r>
              <w:t>148.0</w:t>
            </w:r>
          </w:p>
        </w:tc>
      </w:tr>
      <w:tr>
        <w:tc>
          <w:tcPr>
            <w:tcW w:w="1659" w:type="dxa"/>
            <w:tcBorders/>
          </w:tcPr>
          <w:p>
            <w:pPr>
              <w:spacing w:after="400" w:line="400" w:lineRule="exact"/>
            </w:pPr>
            <w:r>
              <w:t>200MW/1600MWh</w:t>
            </w:r>
          </w:p>
        </w:tc>
        <w:tc>
          <w:tcPr>
            <w:tcW w:w="1659" w:type="dxa"/>
            <w:tcBorders/>
          </w:tcPr>
          <w:p>
            <w:pPr>
              <w:spacing w:after="400" w:line="400" w:lineRule="exact"/>
            </w:pPr>
            <w:r>
              <w:t>8小时</w:t>
            </w:r>
          </w:p>
        </w:tc>
        <w:tc>
          <w:tcPr>
            <w:tcW w:w="1659" w:type="dxa"/>
            <w:tcBorders/>
          </w:tcPr>
          <w:p>
            <w:pPr>
              <w:spacing w:after="400" w:line="400" w:lineRule="exact"/>
            </w:pPr>
            <w:r>
              <w:t>89.61%</w:t>
            </w:r>
          </w:p>
        </w:tc>
        <w:tc>
          <w:tcPr>
            <w:tcW w:w="1659" w:type="dxa"/>
            <w:tcBorders/>
          </w:tcPr>
          <w:p>
            <w:pPr>
              <w:spacing w:after="400" w:line="400" w:lineRule="exact"/>
            </w:pPr>
            <w:r>
              <w:t>179.2MW</w:t>
            </w:r>
          </w:p>
        </w:tc>
        <w:tc>
          <w:tcPr>
            <w:tcW w:w="1659" w:type="dxa"/>
            <w:tcBorders/>
          </w:tcPr>
          <w:p>
            <w:pPr>
              <w:spacing w:after="400" w:line="400" w:lineRule="exact"/>
            </w:pPr>
            <w:r>
              <w:t>148.0</w:t>
            </w:r>
          </w:p>
        </w:tc>
      </w:tr>
    </w:tbl>
    <w:p>
      <w:pPr>
        <w:spacing w:before="400" w:after="400" w:line="400" w:lineRule="atLeast"/>
      </w:pPr>
      <w:r>
        <w:rPr>
          <w:b w:val="true"/>
        </w:rPr>
        <w:t>情景二（8小时持续时长要求）</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项目配置</w:t>
            </w:r>
          </w:p>
        </w:tc>
        <w:tc>
          <w:tcPr>
            <w:tcW w:w="1659" w:type="dxa"/>
            <w:tcBorders/>
          </w:tcPr>
          <w:p>
            <w:pPr>
              <w:spacing w:after="400" w:line="400" w:lineRule="exact"/>
            </w:pPr>
            <w:r>
              <w:rPr>
                <w:b w:val="true"/>
              </w:rPr>
              <w:t>满功率时长</w:t>
            </w:r>
          </w:p>
        </w:tc>
        <w:tc>
          <w:tcPr>
            <w:tcW w:w="1659" w:type="dxa"/>
            <w:tcBorders/>
          </w:tcPr>
          <w:p>
            <w:pPr>
              <w:spacing w:after="400" w:line="400" w:lineRule="exact"/>
            </w:pPr>
            <w:r>
              <w:rPr>
                <w:b w:val="true"/>
              </w:rPr>
              <w:t>可靠容量系数</w:t>
            </w:r>
          </w:p>
        </w:tc>
        <w:tc>
          <w:tcPr>
            <w:tcW w:w="1659" w:type="dxa"/>
            <w:tcBorders/>
          </w:tcPr>
          <w:p>
            <w:pPr>
              <w:spacing w:after="400" w:line="400" w:lineRule="exact"/>
            </w:pPr>
            <w:r>
              <w:rPr>
                <w:b w:val="true"/>
              </w:rPr>
              <w:t>有效容量</w:t>
            </w:r>
          </w:p>
        </w:tc>
        <w:tc>
          <w:tcPr>
            <w:tcW w:w="1659" w:type="dxa"/>
            <w:tcBorders/>
          </w:tcPr>
          <w:p>
            <w:pPr>
              <w:spacing w:after="400" w:line="400" w:lineRule="exact"/>
            </w:pPr>
            <w:r>
              <w:rPr>
                <w:b w:val="true"/>
              </w:rPr>
              <w:t>单位容量补偿(元/kW·年)</w:t>
            </w:r>
          </w:p>
        </w:tc>
      </w:tr>
      <w:tr>
        <w:tc>
          <w:tcPr>
            <w:tcW w:w="1659" w:type="dxa"/>
            <w:tcBorders/>
          </w:tcPr>
          <w:p>
            <w:pPr>
              <w:spacing w:after="400" w:line="400" w:lineRule="exact"/>
            </w:pPr>
            <w:r>
              <w:t>200MW/400MWh</w:t>
            </w:r>
          </w:p>
        </w:tc>
        <w:tc>
          <w:tcPr>
            <w:tcW w:w="1659" w:type="dxa"/>
            <w:tcBorders/>
          </w:tcPr>
          <w:p>
            <w:pPr>
              <w:spacing w:after="400" w:line="400" w:lineRule="exact"/>
            </w:pPr>
            <w:r>
              <w:t>2小时</w:t>
            </w:r>
          </w:p>
        </w:tc>
        <w:tc>
          <w:tcPr>
            <w:tcW w:w="1659" w:type="dxa"/>
            <w:tcBorders/>
          </w:tcPr>
          <w:p>
            <w:pPr>
              <w:spacing w:after="400" w:line="400" w:lineRule="exact"/>
            </w:pPr>
            <w:r>
              <w:t>22.40%</w:t>
            </w:r>
          </w:p>
        </w:tc>
        <w:tc>
          <w:tcPr>
            <w:tcW w:w="1659" w:type="dxa"/>
            <w:tcBorders/>
          </w:tcPr>
          <w:p>
            <w:pPr>
              <w:spacing w:after="400" w:line="400" w:lineRule="exact"/>
            </w:pPr>
            <w:r>
              <w:t>44.8MW</w:t>
            </w:r>
          </w:p>
        </w:tc>
        <w:tc>
          <w:tcPr>
            <w:tcW w:w="1659" w:type="dxa"/>
            <w:tcBorders/>
          </w:tcPr>
          <w:p>
            <w:pPr>
              <w:spacing w:after="400" w:line="400" w:lineRule="exact"/>
            </w:pPr>
            <w:r>
              <w:t>37.0</w:t>
            </w:r>
          </w:p>
        </w:tc>
      </w:tr>
      <w:tr>
        <w:tc>
          <w:tcPr>
            <w:tcW w:w="1659" w:type="dxa"/>
            <w:tcBorders/>
          </w:tcPr>
          <w:p>
            <w:pPr>
              <w:spacing w:after="400" w:line="400" w:lineRule="exact"/>
            </w:pPr>
            <w:r>
              <w:t>200MW/800MWh</w:t>
            </w:r>
          </w:p>
        </w:tc>
        <w:tc>
          <w:tcPr>
            <w:tcW w:w="1659" w:type="dxa"/>
            <w:tcBorders/>
          </w:tcPr>
          <w:p>
            <w:pPr>
              <w:spacing w:after="400" w:line="400" w:lineRule="exact"/>
            </w:pPr>
            <w:r>
              <w:t>4小时</w:t>
            </w:r>
          </w:p>
        </w:tc>
        <w:tc>
          <w:tcPr>
            <w:tcW w:w="1659" w:type="dxa"/>
            <w:tcBorders/>
          </w:tcPr>
          <w:p>
            <w:pPr>
              <w:spacing w:after="400" w:line="400" w:lineRule="exact"/>
            </w:pPr>
            <w:r>
              <w:t>44.81%</w:t>
            </w:r>
          </w:p>
        </w:tc>
        <w:tc>
          <w:tcPr>
            <w:tcW w:w="1659" w:type="dxa"/>
            <w:tcBorders/>
          </w:tcPr>
          <w:p>
            <w:pPr>
              <w:spacing w:after="400" w:line="400" w:lineRule="exact"/>
            </w:pPr>
            <w:r>
              <w:t>89.6MW</w:t>
            </w:r>
          </w:p>
        </w:tc>
        <w:tc>
          <w:tcPr>
            <w:tcW w:w="1659" w:type="dxa"/>
            <w:tcBorders/>
          </w:tcPr>
          <w:p>
            <w:pPr>
              <w:spacing w:after="400" w:line="400" w:lineRule="exact"/>
            </w:pPr>
            <w:r>
              <w:t>74.1</w:t>
            </w:r>
          </w:p>
        </w:tc>
      </w:tr>
      <w:tr>
        <w:tc>
          <w:tcPr>
            <w:tcW w:w="1659" w:type="dxa"/>
            <w:tcBorders/>
          </w:tcPr>
          <w:p>
            <w:pPr>
              <w:spacing w:after="400" w:line="400" w:lineRule="exact"/>
            </w:pPr>
            <w:r>
              <w:t>200MW/1200MWh</w:t>
            </w:r>
          </w:p>
        </w:tc>
        <w:tc>
          <w:tcPr>
            <w:tcW w:w="1659" w:type="dxa"/>
            <w:tcBorders/>
          </w:tcPr>
          <w:p>
            <w:pPr>
              <w:spacing w:after="400" w:line="400" w:lineRule="exact"/>
            </w:pPr>
            <w:r>
              <w:t>6小时</w:t>
            </w:r>
          </w:p>
        </w:tc>
        <w:tc>
          <w:tcPr>
            <w:tcW w:w="1659" w:type="dxa"/>
            <w:tcBorders/>
          </w:tcPr>
          <w:p>
            <w:pPr>
              <w:spacing w:after="400" w:line="400" w:lineRule="exact"/>
            </w:pPr>
            <w:r>
              <w:t>67.21%</w:t>
            </w:r>
          </w:p>
        </w:tc>
        <w:tc>
          <w:tcPr>
            <w:tcW w:w="1659" w:type="dxa"/>
            <w:tcBorders/>
          </w:tcPr>
          <w:p>
            <w:pPr>
              <w:spacing w:after="400" w:line="400" w:lineRule="exact"/>
            </w:pPr>
            <w:r>
              <w:t>134.4MW</w:t>
            </w:r>
          </w:p>
        </w:tc>
        <w:tc>
          <w:tcPr>
            <w:tcW w:w="1659" w:type="dxa"/>
            <w:tcBorders/>
          </w:tcPr>
          <w:p>
            <w:pPr>
              <w:spacing w:after="400" w:line="400" w:lineRule="exact"/>
            </w:pPr>
            <w:r>
              <w:t>111.1</w:t>
            </w:r>
          </w:p>
        </w:tc>
      </w:tr>
      <w:tr>
        <w:tc>
          <w:tcPr>
            <w:tcW w:w="1659" w:type="dxa"/>
            <w:tcBorders/>
          </w:tcPr>
          <w:p>
            <w:pPr>
              <w:spacing w:after="400" w:line="400" w:lineRule="exact"/>
            </w:pPr>
            <w:r>
              <w:t>200MW/1600MWh</w:t>
            </w:r>
          </w:p>
        </w:tc>
        <w:tc>
          <w:tcPr>
            <w:tcW w:w="1659" w:type="dxa"/>
            <w:tcBorders/>
          </w:tcPr>
          <w:p>
            <w:pPr>
              <w:spacing w:after="400" w:line="400" w:lineRule="exact"/>
            </w:pPr>
            <w:r>
              <w:t>8小时</w:t>
            </w:r>
          </w:p>
        </w:tc>
        <w:tc>
          <w:tcPr>
            <w:tcW w:w="1659" w:type="dxa"/>
            <w:tcBorders/>
          </w:tcPr>
          <w:p>
            <w:pPr>
              <w:spacing w:after="400" w:line="400" w:lineRule="exact"/>
            </w:pPr>
            <w:r>
              <w:t>89.61%</w:t>
            </w:r>
          </w:p>
        </w:tc>
        <w:tc>
          <w:tcPr>
            <w:tcW w:w="1659" w:type="dxa"/>
            <w:tcBorders/>
          </w:tcPr>
          <w:p>
            <w:pPr>
              <w:spacing w:after="400" w:line="400" w:lineRule="exact"/>
            </w:pPr>
            <w:r>
              <w:t>179.2MW</w:t>
            </w:r>
          </w:p>
        </w:tc>
        <w:tc>
          <w:tcPr>
            <w:tcW w:w="1659" w:type="dxa"/>
            <w:tcBorders/>
          </w:tcPr>
          <w:p>
            <w:pPr>
              <w:spacing w:after="400" w:line="400" w:lineRule="exact"/>
            </w:pPr>
            <w:r>
              <w:t>148.2</w:t>
            </w:r>
          </w:p>
        </w:tc>
      </w:tr>
      <w:tr>
        <w:tc>
          <w:tcPr>
            <w:tcW w:w="1659" w:type="dxa"/>
            <w:tcBorders/>
          </w:tcPr>
          <w:p>
            <w:pPr>
              <w:spacing w:after="400" w:line="400" w:lineRule="exact"/>
            </w:pPr>
            <w:r>
              <w:t>200MW/2000MWh</w:t>
            </w:r>
          </w:p>
        </w:tc>
        <w:tc>
          <w:tcPr>
            <w:tcW w:w="1659" w:type="dxa"/>
            <w:tcBorders/>
          </w:tcPr>
          <w:p>
            <w:pPr>
              <w:spacing w:after="400" w:line="400" w:lineRule="exact"/>
            </w:pPr>
            <w:r>
              <w:t>10小时</w:t>
            </w:r>
          </w:p>
        </w:tc>
        <w:tc>
          <w:tcPr>
            <w:tcW w:w="1659" w:type="dxa"/>
            <w:tcBorders/>
          </w:tcPr>
          <w:p>
            <w:pPr>
              <w:spacing w:after="400" w:line="400" w:lineRule="exact"/>
            </w:pPr>
            <w:r>
              <w:t>89.61%</w:t>
            </w:r>
          </w:p>
        </w:tc>
        <w:tc>
          <w:tcPr>
            <w:tcW w:w="1659" w:type="dxa"/>
            <w:tcBorders/>
          </w:tcPr>
          <w:p>
            <w:pPr>
              <w:spacing w:after="400" w:line="400" w:lineRule="exact"/>
            </w:pPr>
            <w:r>
              <w:t>179.2MW</w:t>
            </w:r>
          </w:p>
        </w:tc>
        <w:tc>
          <w:tcPr>
            <w:tcW w:w="1659" w:type="dxa"/>
            <w:tcBorders/>
          </w:tcPr>
          <w:p>
            <w:pPr>
              <w:spacing w:after="400" w:line="400" w:lineRule="exact"/>
            </w:pPr>
            <w:r>
              <w:t>148.2</w:t>
            </w:r>
          </w:p>
        </w:tc>
      </w:tr>
    </w:tbl>
    <w:p>
      <w:pPr>
        <w:spacing w:before="400" w:after="400" w:line="400" w:lineRule="atLeast"/>
      </w:pPr>
      <w:r>
        <w:rPr>
          <w:b w:val="true"/>
        </w:rPr>
        <w:t>关键结论</w:t>
      </w:r>
      <w:r>
        <w:t>：</w:t>
      </w:r>
    </w:p>
    <w:p>
      <w:pPr>
        <w:numPr>
          <w:ilvl w:val="0"/>
          <w:numId w:val="9"/>
        </w:numPr>
        <w:spacing w:after="400" w:line="400" w:lineRule="atLeast"/>
      </w:pPr>
      <w:r>
        <w:rPr>
          <w:b w:val="true"/>
        </w:rPr>
        <w:t>情景一下储能受益更大</w:t>
      </w:r>
      <w:r>
        <w:t>：4小时储能项目即可获得全额容量补偿，有利于短时储能发展。</w:t>
      </w:r>
    </w:p>
    <w:p>
      <w:pPr>
        <w:numPr>
          <w:ilvl w:val="0"/>
          <w:numId w:val="9"/>
        </w:numPr>
        <w:spacing w:after="400" w:line="400" w:lineRule="atLeast"/>
      </w:pPr>
      <w:r>
        <w:rPr>
          <w:b w:val="true"/>
        </w:rPr>
        <w:t>情景二引导长时储能</w:t>
      </w:r>
      <w:r>
        <w:t>：只有8小时及以上储能项目才能获得全额容量补偿，政策导向明确支持长时储能。</w:t>
      </w:r>
    </w:p>
    <w:p>
      <w:pPr>
        <w:numPr>
          <w:ilvl w:val="0"/>
          <w:numId w:val="9"/>
        </w:numPr>
        <w:spacing w:after="400" w:line="400" w:lineRule="atLeast"/>
      </w:pPr>
      <w:r>
        <w:rPr>
          <w:b w:val="true"/>
        </w:rPr>
        <w:t>技术路线选择至关重要</w:t>
      </w:r>
      <w:r>
        <w:t>：金融机构在项目评估时，必须考虑政策参数调整对项目经济性的重大影响。</w:t>
      </w:r>
    </w:p>
    <w:p>
      <w:pPr>
        <w:spacing w:after="400" w:line="400" w:lineRule="atLeast"/>
      </w:pPr>
      <w:r>
        <w:rPr>
          <w:b/>
          <w:sz w:val="33"/>
        </w:rPr>
        <w:t xml:space="preserve">第四章 容量补偿考核机制详解</w:t>
      </w:r>
    </w:p>
    <w:p>
      <w:pPr>
        <w:spacing w:after="400" w:line="400" w:lineRule="atLeast"/>
      </w:pPr>
      <w:r>
        <w:rPr>
          <w:b/>
          <w:sz w:val="30"/>
        </w:rPr>
        <w:t xml:space="preserve">4.1 考核机制的政策逻辑</w:t>
      </w:r>
    </w:p>
    <w:p>
      <w:pPr>
        <w:spacing w:after="400" w:line="400" w:lineRule="atLeast"/>
      </w:pPr>
      <w:r>
        <w:t>容量补偿的设立初衷，是激励电源在系统最需要的时候提供可靠的顶峰能力。因此，"补偿"与"考核"必须配套实施，确保获得补偿的电源真正履行保供义务。</w:t>
      </w:r>
    </w:p>
    <w:p>
      <w:pPr>
        <w:spacing w:after="400" w:line="400" w:lineRule="atLeast"/>
      </w:pPr>
      <w:r>
        <w:t>征求意见稿建立了严格的考核机制：享受补偿的电源，必须在全年系统负荷最高的时段履行顶峰义务，若因自身原因未能提供所申报的可靠容量，将按缺口容量扣减容量电费。</w:t>
      </w:r>
    </w:p>
    <w:p>
      <w:pPr>
        <w:spacing w:after="400" w:line="400" w:lineRule="atLeast"/>
      </w:pPr>
      <w:r>
        <w:rPr>
          <w:b/>
          <w:sz w:val="30"/>
        </w:rPr>
        <w:t xml:space="preserve">4.2 新型储能的考核细则</w:t>
      </w:r>
    </w:p>
    <w:p>
      <w:pPr>
        <w:spacing w:after="400" w:line="400" w:lineRule="atLeast"/>
      </w:pPr>
      <w:r>
        <w:t>新型储能的考核方式与传统电源存在显著差异，具体规定如下：</w:t>
      </w:r>
    </w:p>
    <w:p>
      <w:pPr>
        <w:spacing w:after="400" w:line="400" w:lineRule="atLeast"/>
      </w:pPr>
      <w:r>
        <w:rPr>
          <w:b w:val="true"/>
        </w:rPr>
        <w:t>考核周期与频次</w:t>
      </w:r>
      <w:r>
        <w:t>：</w:t>
      </w:r>
    </w:p>
    <w:p>
      <w:pPr>
        <w:numPr>
          <w:ilvl w:val="-1"/>
          <w:numId w:val="29"/>
        </w:numPr>
        <w:spacing w:after="400" w:line="400" w:lineRule="atLeast"/>
      </w:pPr>
      <w:r>
        <w:t>按日统计系统净负荷高峰时段内平均上网时长能力</w:t>
      </w:r>
    </w:p>
    <w:p>
      <w:pPr>
        <w:numPr>
          <w:ilvl w:val="-1"/>
          <w:numId w:val="29"/>
        </w:numPr>
        <w:spacing w:after="400" w:line="400" w:lineRule="atLeast"/>
      </w:pPr>
      <w:r>
        <w:t>按月度进行考核</w:t>
      </w:r>
    </w:p>
    <w:p>
      <w:pPr>
        <w:spacing w:after="400" w:line="400" w:lineRule="atLeast"/>
      </w:pPr>
      <w:r>
        <w:rPr>
          <w:b w:val="true"/>
        </w:rPr>
        <w:t>考核指标定义</w:t>
      </w:r>
      <w:r>
        <w:t>：</w:t>
      </w:r>
    </w:p>
    <w:p>
      <w:pPr>
        <w:spacing w:after="400" w:line="400" w:lineRule="atLeast"/>
      </w:pPr>
      <w:r>
        <w:rPr>
          <w:b w:val="true"/>
        </w:rPr>
        <w:t xml:space="preserve">平均上网时长能力 = 可靠容量 × Min（实际荷电量 / 铭牌容量 / 额定放电时长, 1）</w:t>
      </w:r>
    </w:p>
    <w:p>
      <w:pPr>
        <w:spacing w:after="400" w:line="400" w:lineRule="atLeast"/>
      </w:pPr>
      <w:r>
        <w:t>这一指标的设计体现了对储能实际可用能力的考核，而非仅考核装机容量。</w:t>
      </w:r>
    </w:p>
    <w:p>
      <w:pPr>
        <w:spacing w:after="400" w:line="400" w:lineRule="atLeast"/>
      </w:pPr>
      <w:r>
        <w:rPr>
          <w:b w:val="true"/>
        </w:rPr>
        <w:t>荷电状态监测要求</w:t>
      </w:r>
      <w:r>
        <w:t>：</w:t>
      </w:r>
    </w:p>
    <w:p>
      <w:pPr>
        <w:numPr>
          <w:ilvl w:val="-1"/>
          <w:numId w:val="35"/>
        </w:numPr>
        <w:spacing w:after="400" w:line="400" w:lineRule="atLeast"/>
      </w:pPr>
      <w:r>
        <w:t>具备荷电状态实时监测的储能方可获得补偿</w:t>
      </w:r>
    </w:p>
    <w:p>
      <w:pPr>
        <w:numPr>
          <w:ilvl w:val="-1"/>
          <w:numId w:val="35"/>
        </w:numPr>
        <w:spacing w:after="400" w:line="400" w:lineRule="atLeast"/>
      </w:pPr>
      <w:r>
        <w:t>不具备荷电状态实时监测的不予补偿</w:t>
      </w:r>
    </w:p>
    <w:p>
      <w:pPr>
        <w:spacing w:after="400" w:line="400" w:lineRule="atLeast"/>
      </w:pPr>
      <w:r>
        <w:rPr>
          <w:b w:val="true"/>
        </w:rPr>
        <w:t>月度考核执行</w:t>
      </w:r>
      <w:r>
        <w:t>：</w:t>
      </w:r>
    </w:p>
    <w:p>
      <w:pPr>
        <w:numPr>
          <w:ilvl w:val="-1"/>
          <w:numId w:val="40"/>
        </w:numPr>
        <w:spacing w:after="400" w:line="400" w:lineRule="atLeast"/>
      </w:pPr>
      <w:r>
        <w:t>取当月平均上网时长能力的最小值</w:t>
      </w:r>
    </w:p>
    <w:p>
      <w:pPr>
        <w:numPr>
          <w:ilvl w:val="-1"/>
          <w:numId w:val="40"/>
        </w:numPr>
        <w:spacing w:after="400" w:line="400" w:lineRule="atLeast"/>
      </w:pPr>
      <w:r>
        <w:t>对不足可靠容量的部分对应的容量电费进行扣减</w:t>
      </w:r>
    </w:p>
    <w:p>
      <w:pPr>
        <w:spacing w:after="400" w:line="400" w:lineRule="atLeast"/>
      </w:pPr>
      <w:r>
        <w:rPr>
          <w:b/>
          <w:sz w:val="30"/>
        </w:rPr>
        <w:t xml:space="preserve">4.3 火电机组的考核机制</w:t>
      </w:r>
    </w:p>
    <w:p>
      <w:pPr>
        <w:spacing w:after="400" w:line="400" w:lineRule="atLeast"/>
      </w:pPr>
      <w:r>
        <w:rPr>
          <w:b w:val="true"/>
        </w:rPr>
        <w:t>非计划停运（非停）考核</w:t>
      </w:r>
      <w:r>
        <w:t>：</w:t>
      </w:r>
    </w:p>
    <w:p>
      <w:pPr>
        <w:spacing w:after="400" w:line="400" w:lineRule="atLeast"/>
      </w:pPr>
      <w:r>
        <w:t>火电机组若发生非计划停运，将扣减相应的容量电费。这一考核机制激励火电机组保持良好的运行状态，确保在高峰时段能够可靠发电。</w:t>
      </w:r>
    </w:p>
    <w:p>
      <w:pPr>
        <w:spacing w:after="400" w:line="400" w:lineRule="atLeast"/>
      </w:pPr>
      <w:r>
        <w:rPr>
          <w:b w:val="true"/>
        </w:rPr>
        <w:t>缺口容量扣减机制</w:t>
      </w:r>
      <w:r>
        <w:t>：</w:t>
      </w:r>
    </w:p>
    <w:p>
      <w:pPr>
        <w:spacing w:after="400" w:line="400" w:lineRule="atLeast"/>
      </w:pPr>
      <w:r>
        <w:t>对未按调度指令提供可靠容量的机组，将计算缺口容量并扣减相应费用。缺口容量的计算由调度机构负责，并提交电网企业处理。</w:t>
      </w:r>
    </w:p>
    <w:p>
      <w:pPr>
        <w:spacing w:after="400" w:line="400" w:lineRule="atLeast"/>
      </w:pPr>
      <w:r>
        <w:rPr>
          <w:b/>
          <w:sz w:val="30"/>
        </w:rPr>
        <w:t xml:space="preserve">4.4 豁免情形</w:t>
      </w:r>
    </w:p>
    <w:p>
      <w:pPr>
        <w:spacing w:after="400" w:line="400" w:lineRule="atLeast"/>
      </w:pPr>
      <w:r>
        <w:t>根据搜索结果，考核的豁免情形包括：</w:t>
      </w:r>
    </w:p>
    <w:p>
      <w:pPr>
        <w:numPr>
          <w:ilvl w:val="-1"/>
          <w:numId w:val="19"/>
        </w:numPr>
        <w:spacing w:after="400" w:line="400" w:lineRule="atLeast"/>
      </w:pPr>
      <w:r>
        <w:t>计划检修</w:t>
      </w:r>
    </w:p>
    <w:p>
      <w:pPr>
        <w:numPr>
          <w:ilvl w:val="-1"/>
          <w:numId w:val="19"/>
        </w:numPr>
        <w:spacing w:after="400" w:line="400" w:lineRule="atLeast"/>
      </w:pPr>
      <w:r>
        <w:t>电网原因</w:t>
      </w:r>
    </w:p>
    <w:p>
      <w:pPr>
        <w:numPr>
          <w:ilvl w:val="-1"/>
          <w:numId w:val="19"/>
        </w:numPr>
        <w:spacing w:after="400" w:line="400" w:lineRule="atLeast"/>
      </w:pPr>
      <w:r>
        <w:t>不可抗力</w:t>
      </w:r>
    </w:p>
    <w:p>
      <w:pPr>
        <w:spacing w:after="400" w:line="400" w:lineRule="atLeast"/>
      </w:pPr>
      <w:r>
        <w:t>这些豁免情形的设置，体现了考核机制的合理性和公平性，避免对非电源自身原因导致的无法顶峰进行惩罚。</w:t>
      </w:r>
    </w:p>
    <w:p>
      <w:pPr>
        <w:spacing w:after="400" w:line="400" w:lineRule="atLeast"/>
      </w:pPr>
      <w:r>
        <w:rPr>
          <w:b/>
          <w:sz w:val="30"/>
        </w:rPr>
        <w:t xml:space="preserve">4.5 考核扣减的计算逻辑与案例分析</w:t>
      </w:r>
    </w:p>
    <w:p>
      <w:pPr>
        <w:spacing w:after="400" w:line="400" w:lineRule="atLeast"/>
      </w:pPr>
      <w:r>
        <w:t>虽然征求意见稿未提供详细的扣减公式，但根据政策逻辑，可以进行如下推算：</w:t>
      </w:r>
    </w:p>
    <w:p>
      <w:pPr>
        <w:spacing w:after="400" w:line="400" w:lineRule="atLeast"/>
      </w:pPr>
      <w:r>
        <w:rPr>
          <w:b w:val="true"/>
        </w:rPr>
        <w:t>考核扣减逻辑</w:t>
      </w:r>
      <w:r>
        <w:t>：</w:t>
      </w:r>
    </w:p>
    <w:p>
      <w:pPr>
        <w:spacing w:after="400" w:line="400" w:lineRule="atLeast"/>
      </w:pPr>
      <w:r>
        <w:t>设某月考核时段储能的实际平均上网时长能力为C_实际，可靠容量为C_可靠。</w:t>
      </w:r>
    </w:p>
    <w:p>
      <w:pPr>
        <w:spacing w:after="400" w:line="400" w:lineRule="atLeast"/>
      </w:pPr>
      <w:r>
        <w:t xml:space="preserve">若 C_实际 ≥ C_可靠：全额发放月度容量电费</w:t>
      </w:r>
    </w:p>
    <w:p>
      <w:pPr>
        <w:spacing w:after="400" w:line="400" w:lineRule="atLeast"/>
      </w:pPr>
      <w:r>
        <w:t xml:space="preserve">若 C_实际 &lt; C_可靠：扣减（C_可靠 - C_实际）/ C_可靠 × 月度容量电费</w:t>
      </w:r>
    </w:p>
    <w:p>
      <w:pPr>
        <w:spacing w:after="400" w:line="400" w:lineRule="atLeast"/>
      </w:pPr>
      <w:r>
        <w:rPr>
          <w:b w:val="true"/>
        </w:rPr>
        <w:t>案例分析</w:t>
      </w:r>
      <w:r>
        <w:t>：</w:t>
      </w:r>
    </w:p>
    <w:p>
      <w:pPr>
        <w:spacing w:after="400" w:line="400" w:lineRule="atLeast"/>
      </w:pPr>
      <w:r>
        <w:t>情景二下，200MW/800MWh储能项目年度容量电费约为1,525万元，月度容量电费约为127万元。</w:t>
      </w:r>
    </w:p>
    <w:p>
      <w:pPr>
        <w:spacing w:after="400" w:line="400" w:lineRule="atLeast"/>
      </w:pPr>
      <w:r>
        <w:t>某月系统净负荷高峰时段，储能因前期调度或自身原因，实际可放电容量不足：</w:t>
      </w:r>
    </w:p>
    <w:p>
      <w:pPr>
        <w:spacing w:after="400" w:line="400" w:lineRule="atLeast"/>
      </w:pPr>
      <w:r>
        <w:t>情况一：在高峰时段平均可放电容量为70MW</w:t>
      </w:r>
    </w:p>
    <w:p>
      <w:pPr>
        <w:spacing w:after="400" w:line="400" w:lineRule="atLeast"/>
      </w:pPr>
      <w:r>
        <w:t xml:space="preserve">扣减比例 = (89.61MW - 70MW) / 89.61MW = 21.9%</w:t>
      </w:r>
    </w:p>
    <w:p>
      <w:pPr>
        <w:spacing w:after="400" w:line="400" w:lineRule="atLeast"/>
      </w:pPr>
      <w:r>
        <w:t xml:space="preserve">扣减金额 = 127万元 × 21.9% = 27.8万元</w:t>
      </w:r>
    </w:p>
    <w:p>
      <w:pPr>
        <w:spacing w:after="400" w:line="400" w:lineRule="atLeast"/>
      </w:pPr>
      <w:r>
        <w:t>情况二：在高峰时段平均可放电容量为40MW</w:t>
      </w:r>
    </w:p>
    <w:p>
      <w:pPr>
        <w:spacing w:after="400" w:line="400" w:lineRule="atLeast"/>
      </w:pPr>
      <w:r>
        <w:t xml:space="preserve">扣减比例 = (89.61MW - 40MW) / 89.61MW = 55.4%</w:t>
      </w:r>
    </w:p>
    <w:p>
      <w:pPr>
        <w:spacing w:after="400" w:line="400" w:lineRule="atLeast"/>
      </w:pPr>
      <w:r>
        <w:t xml:space="preserve">扣减金额 = 127万元 × 55.4% = 70.4万元</w:t>
      </w:r>
    </w:p>
    <w:p>
      <w:pPr>
        <w:spacing w:after="400" w:line="400" w:lineRule="atLeast"/>
      </w:pPr>
      <w:r>
        <w:rPr>
          <w:b/>
          <w:sz w:val="30"/>
        </w:rPr>
        <w:t xml:space="preserve">4.6 考核风险防范策略</w:t>
      </w:r>
    </w:p>
    <w:p>
      <w:pPr>
        <w:spacing w:after="400" w:line="400" w:lineRule="atLeast"/>
      </w:pPr>
      <w:r>
        <w:t>对于金融机构而言，储能项目的考核风险是信用风险的重要组成部分。建议关注以下风险缓释措施：</w:t>
      </w:r>
    </w:p>
    <w:p>
      <w:pPr>
        <w:spacing w:after="400" w:line="400" w:lineRule="atLeast"/>
      </w:pPr>
      <w:r>
        <w:rPr>
          <w:b w:val="true"/>
        </w:rPr>
        <w:t>运营管理层面</w:t>
      </w:r>
      <w:r>
        <w:t>：</w:t>
      </w:r>
    </w:p>
    <w:p>
      <w:pPr>
        <w:numPr>
          <w:ilvl w:val="0"/>
          <w:numId w:val="21"/>
        </w:numPr>
        <w:spacing w:after="400" w:line="400" w:lineRule="atLeast"/>
      </w:pPr>
      <w:r>
        <w:rPr>
          <w:b w:val="true"/>
        </w:rPr>
        <w:t>建立精准预测系统</w:t>
      </w:r>
      <w:r>
        <w:t>：对系统净负荷高峰时段进行预测，提前做好电量储备</w:t>
      </w:r>
    </w:p>
    <w:p>
      <w:pPr>
        <w:numPr>
          <w:ilvl w:val="0"/>
          <w:numId w:val="21"/>
        </w:numPr>
        <w:spacing w:after="400" w:line="400" w:lineRule="atLeast"/>
      </w:pPr>
      <w:r>
        <w:rPr>
          <w:b w:val="true"/>
        </w:rPr>
        <w:t>优化充放电策略</w:t>
      </w:r>
      <w:r>
        <w:t>：在高峰时段前确保荷电状态达到90%以上</w:t>
      </w:r>
    </w:p>
    <w:p>
      <w:pPr>
        <w:numPr>
          <w:ilvl w:val="0"/>
          <w:numId w:val="21"/>
        </w:numPr>
        <w:spacing w:after="400" w:line="400" w:lineRule="atLeast"/>
      </w:pPr>
      <w:r>
        <w:rPr>
          <w:b w:val="true"/>
        </w:rPr>
        <w:t>设备运维保障</w:t>
      </w:r>
      <w:r>
        <w:t>：确保在考核时段设备可用率达到100%</w:t>
      </w:r>
    </w:p>
    <w:p>
      <w:pPr>
        <w:numPr>
          <w:ilvl w:val="0"/>
          <w:numId w:val="21"/>
        </w:numPr>
        <w:spacing w:after="400" w:line="400" w:lineRule="atLeast"/>
      </w:pPr>
      <w:r>
        <w:rPr>
          <w:b w:val="true"/>
        </w:rPr>
        <w:t>建立荷电状态实时监测系统</w:t>
      </w:r>
      <w:r>
        <w:t>：满足政策对实时监测的要求</w:t>
      </w:r>
    </w:p>
    <w:p>
      <w:pPr>
        <w:spacing w:after="400" w:line="400" w:lineRule="atLeast"/>
      </w:pPr>
      <w:r>
        <w:rPr>
          <w:b w:val="true"/>
        </w:rPr>
        <w:t>合同条款层面</w:t>
      </w:r>
      <w:r>
        <w:t>：</w:t>
      </w:r>
    </w:p>
    <w:p>
      <w:pPr>
        <w:numPr>
          <w:ilvl w:val="0"/>
          <w:numId w:val="6"/>
        </w:numPr>
        <w:spacing w:after="400" w:line="400" w:lineRule="atLeast"/>
      </w:pPr>
      <w:r>
        <w:rPr>
          <w:b w:val="true"/>
        </w:rPr>
        <w:t>设置考核扣减上限</w:t>
      </w:r>
      <w:r>
        <w:t>：在融资合同中约定，月度考核扣减超过一定比例时，触发风险预警</w:t>
      </w:r>
    </w:p>
    <w:p>
      <w:pPr>
        <w:numPr>
          <w:ilvl w:val="0"/>
          <w:numId w:val="6"/>
        </w:numPr>
        <w:spacing w:after="400" w:line="400" w:lineRule="atLeast"/>
      </w:pPr>
      <w:r>
        <w:rPr>
          <w:b w:val="true"/>
        </w:rPr>
        <w:t>建立补偿准备金</w:t>
      </w:r>
      <w:r>
        <w:t>：要求项目公司建立考核扣减准备金账户</w:t>
      </w:r>
    </w:p>
    <w:p>
      <w:pPr>
        <w:numPr>
          <w:ilvl w:val="0"/>
          <w:numId w:val="6"/>
        </w:numPr>
        <w:spacing w:after="400" w:line="400" w:lineRule="atLeast"/>
      </w:pPr>
      <w:r>
        <w:rPr>
          <w:b w:val="true"/>
        </w:rPr>
        <w:t>运营绩效对赌</w:t>
      </w:r>
      <w:r>
        <w:t>：将考核达标率纳入融资条款，与利率浮动挂钩</w:t>
      </w:r>
    </w:p>
    <w:p>
      <w:pPr>
        <w:spacing w:after="400" w:line="400" w:lineRule="atLeast"/>
      </w:pPr>
      <w:r>
        <w:rPr>
          <w:b/>
          <w:sz w:val="33"/>
        </w:rPr>
        <w:t xml:space="preserve">第五章 容量电费结算与分摊机制</w:t>
      </w:r>
    </w:p>
    <w:p>
      <w:pPr>
        <w:spacing w:after="400" w:line="400" w:lineRule="atLeast"/>
      </w:pPr>
      <w:r>
        <w:rPr>
          <w:b/>
          <w:sz w:val="30"/>
        </w:rPr>
        <w:t xml:space="preserve">5.1 结算流程</w:t>
      </w:r>
    </w:p>
    <w:p>
      <w:pPr>
        <w:spacing w:after="400" w:line="400" w:lineRule="atLeast"/>
      </w:pPr>
      <w:r>
        <w:t>根据搜索结果，青海省发电侧容量补偿机制的结算流程如下：</w:t>
      </w:r>
    </w:p>
    <w:p>
      <w:pPr>
        <w:spacing w:after="400" w:line="400" w:lineRule="atLeast"/>
      </w:pPr>
      <w:r>
        <w:rPr>
          <w:b w:val="true"/>
        </w:rPr>
        <w:t>第一步：容量申报</w:t>
      </w:r>
    </w:p>
    <w:p>
      <w:pPr>
        <w:spacing w:after="400" w:line="400" w:lineRule="atLeast"/>
      </w:pPr>
      <w:r>
        <w:t>发电机组按月向电网申报容量，申报容量不得超过其有效容量。</w:t>
      </w:r>
    </w:p>
    <w:p>
      <w:pPr>
        <w:spacing w:after="400" w:line="400" w:lineRule="atLeast"/>
      </w:pPr>
      <w:r>
        <w:rPr>
          <w:b w:val="true"/>
        </w:rPr>
        <w:t>第二步：容量核定</w:t>
      </w:r>
    </w:p>
    <w:p>
      <w:pPr>
        <w:spacing w:after="400" w:line="400" w:lineRule="atLeast"/>
      </w:pPr>
      <w:r>
        <w:t>电网企业（国网青海省电力公司）参与机组年度可靠容量的核定工作，汇总适用项目的清单，并动态调整。</w:t>
      </w:r>
    </w:p>
    <w:p>
      <w:pPr>
        <w:spacing w:after="400" w:line="400" w:lineRule="atLeast"/>
      </w:pPr>
      <w:r>
        <w:rPr>
          <w:b w:val="true"/>
        </w:rPr>
        <w:t>第三步：费用计算</w:t>
      </w:r>
    </w:p>
    <w:p>
      <w:pPr>
        <w:spacing w:after="400" w:line="400" w:lineRule="atLeast"/>
      </w:pPr>
      <w:r>
        <w:t>电网企业根据申报容量、容量供需系数和容量补偿标准计算容量电费，并根据调度机构提供的缺口容量计算容量电费扣减。</w:t>
      </w:r>
    </w:p>
    <w:p>
      <w:pPr>
        <w:spacing w:after="400" w:line="400" w:lineRule="atLeast"/>
      </w:pPr>
      <w:r>
        <w:rPr>
          <w:b w:val="true"/>
        </w:rPr>
        <w:t>第四步：异议处理</w:t>
      </w:r>
    </w:p>
    <w:p>
      <w:pPr>
        <w:spacing w:after="400" w:line="400" w:lineRule="atLeast"/>
      </w:pPr>
      <w:r>
        <w:t>相关发电主体对公示内容有异议的，可在规定时间内向省电力调度机构提交书面复核申请，再向上级申诉。</w:t>
      </w:r>
    </w:p>
    <w:p>
      <w:pPr>
        <w:spacing w:after="400" w:line="400" w:lineRule="atLeast"/>
      </w:pPr>
      <w:r>
        <w:rPr>
          <w:b w:val="true"/>
        </w:rPr>
        <w:t>第五步：结算依据出具</w:t>
      </w:r>
    </w:p>
    <w:p>
      <w:pPr>
        <w:spacing w:after="400" w:line="400" w:lineRule="atLeast"/>
      </w:pPr>
      <w:r>
        <w:t>电力交易机构依据最终结果出具结算依据，并提交电网企业。</w:t>
      </w:r>
    </w:p>
    <w:p>
      <w:pPr>
        <w:spacing w:after="400" w:line="400" w:lineRule="atLeast"/>
      </w:pPr>
      <w:r>
        <w:rPr>
          <w:b w:val="true"/>
        </w:rPr>
        <w:t>第六步：费用结算</w:t>
      </w:r>
    </w:p>
    <w:p>
      <w:pPr>
        <w:spacing w:after="400" w:line="400" w:lineRule="atLeast"/>
      </w:pPr>
      <w:r>
        <w:t>电网企业负责容量电费的按月结算。</w:t>
      </w:r>
    </w:p>
    <w:p>
      <w:pPr>
        <w:spacing w:after="400" w:line="400" w:lineRule="atLeast"/>
      </w:pPr>
      <w:r>
        <w:rPr>
          <w:b/>
          <w:sz w:val="30"/>
        </w:rPr>
        <w:t xml:space="preserve">5.2 费用分摊机制</w:t>
      </w:r>
    </w:p>
    <w:p>
      <w:pPr>
        <w:spacing w:after="400" w:line="400" w:lineRule="atLeast"/>
      </w:pPr>
      <w:r>
        <w:t>容量电费的分摊机制是政策设计的重要组成部分，直接影响各市场主体的利益分配。</w:t>
      </w:r>
    </w:p>
    <w:p>
      <w:pPr>
        <w:spacing w:after="400" w:line="400" w:lineRule="atLeast"/>
      </w:pPr>
      <w:r>
        <w:rPr>
          <w:b w:val="true"/>
        </w:rPr>
        <w:t>分摊原则</w:t>
      </w:r>
      <w:r>
        <w:t>：</w:t>
      </w:r>
    </w:p>
    <w:p>
      <w:pPr>
        <w:spacing w:after="400" w:line="400" w:lineRule="atLeast"/>
      </w:pPr>
      <w:r>
        <w:t>容量电费按照月度外送电量（不含直流配套电源）和省内全体工商业用户月度用电量比例分摊。</w:t>
      </w:r>
    </w:p>
    <w:p>
      <w:pPr>
        <w:spacing w:after="400" w:line="400" w:lineRule="atLeast"/>
      </w:pPr>
      <w:r>
        <w:rPr>
          <w:b w:val="true"/>
        </w:rPr>
        <w:t>具体分摊方式</w:t>
      </w:r>
      <w:r>
        <w:t>：</w:t>
      </w:r>
    </w:p>
    <w:p>
      <w:pPr>
        <w:numPr>
          <w:ilvl w:val="0"/>
          <w:numId w:val="33"/>
        </w:numPr>
        <w:spacing w:after="400" w:line="400" w:lineRule="atLeast"/>
      </w:pPr>
      <w:r>
        <w:rPr>
          <w:b w:val="true"/>
        </w:rPr>
        <w:t>月度外送电量对应的容量电费</w:t>
      </w:r>
      <w:r>
        <w:t>：由电源企业与受端省份协商确定。</w:t>
      </w:r>
    </w:p>
    <w:p>
      <w:pPr>
        <w:numPr>
          <w:ilvl w:val="0"/>
          <w:numId w:val="33"/>
        </w:numPr>
        <w:spacing w:after="400" w:line="400" w:lineRule="atLeast"/>
      </w:pPr>
      <w:r>
        <w:rPr>
          <w:b w:val="true"/>
        </w:rPr>
        <w:t>省内工商业用户对应的容量电费</w:t>
      </w:r>
      <w:r>
        <w:t>：由全体工商业用户按当月用电量比例分摊，由电网企业负责收取。</w:t>
      </w:r>
    </w:p>
    <w:p>
      <w:pPr>
        <w:spacing w:after="400" w:line="400" w:lineRule="atLeast"/>
      </w:pPr>
      <w:r>
        <w:rPr>
          <w:b w:val="true"/>
        </w:rPr>
        <w:t>费用归集</w:t>
      </w:r>
      <w:r>
        <w:t>：</w:t>
      </w:r>
    </w:p>
    <w:p>
      <w:pPr>
        <w:spacing w:after="400" w:line="400" w:lineRule="atLeast"/>
      </w:pPr>
      <w:r>
        <w:t>分摊容量电费纳入系统运行费用，在系统运行费用科目中下设"市场化容量补偿电费"项，实行单独归集、单独反映。</w:t>
      </w:r>
    </w:p>
    <w:p>
      <w:pPr>
        <w:spacing w:after="400" w:line="400" w:lineRule="atLeast"/>
      </w:pPr>
      <w:r>
        <w:rPr>
          <w:b/>
          <w:sz w:val="30"/>
        </w:rPr>
        <w:t xml:space="preserve">5.3 分摊机制的经济学意义</w:t>
      </w:r>
    </w:p>
    <w:p>
      <w:pPr>
        <w:spacing w:after="400" w:line="400" w:lineRule="atLeast"/>
      </w:pPr>
      <w:r>
        <w:t>这一分摊机制体现了"谁受益、谁承担"的原则：</w:t>
      </w:r>
    </w:p>
    <w:p>
      <w:pPr>
        <w:numPr>
          <w:ilvl w:val="0"/>
          <w:numId w:val="5"/>
        </w:numPr>
        <w:spacing w:after="400" w:line="400" w:lineRule="atLeast"/>
      </w:pPr>
      <w:r>
        <w:rPr>
          <w:b w:val="true"/>
        </w:rPr>
        <w:t>外送电量受益者承担</w:t>
      </w:r>
      <w:r>
        <w:t>：外送电量通过电网输送至受端省份，容量资源为外送提供了保障，因此相关容量电费应由电源企业与受端省份协商承担。</w:t>
      </w:r>
    </w:p>
    <w:p>
      <w:pPr>
        <w:numPr>
          <w:ilvl w:val="0"/>
          <w:numId w:val="5"/>
        </w:numPr>
        <w:spacing w:after="400" w:line="400" w:lineRule="atLeast"/>
      </w:pPr>
      <w:r>
        <w:rPr>
          <w:b w:val="true"/>
        </w:rPr>
        <w:t>工商业用户承担</w:t>
      </w:r>
      <w:r>
        <w:t>：工商业用户是电力系统的主要负荷，容量资源保障了其用电安全，因此应承担相应的容量成本。</w:t>
      </w:r>
    </w:p>
    <w:p>
      <w:pPr>
        <w:numPr>
          <w:ilvl w:val="0"/>
          <w:numId w:val="5"/>
        </w:numPr>
        <w:spacing w:after="400" w:line="400" w:lineRule="atLeast"/>
      </w:pPr>
      <w:r>
        <w:rPr>
          <w:b w:val="true"/>
        </w:rPr>
        <w:t>居民农业用户豁免</w:t>
      </w:r>
      <w:r>
        <w:t>：居民农业用电通常有独立的定价机制，不参与容量电费分摊，体现了对民生用电的保护。</w:t>
      </w:r>
    </w:p>
    <w:p>
      <w:pPr>
        <w:spacing w:after="400" w:line="400" w:lineRule="atLeast"/>
      </w:pPr>
      <w:r>
        <w:rPr>
          <w:b/>
          <w:sz w:val="33"/>
        </w:rPr>
        <w:t xml:space="preserve">第六章 监管架构与各方职责</w:t>
      </w:r>
    </w:p>
    <w:p>
      <w:pPr>
        <w:spacing w:after="400" w:line="400" w:lineRule="atLeast"/>
      </w:pPr>
      <w:r>
        <w:rPr>
          <w:b/>
          <w:sz w:val="30"/>
        </w:rPr>
        <w:t xml:space="preserve">6.1 政府主管部门职责</w:t>
      </w:r>
    </w:p>
    <w:p>
      <w:pPr>
        <w:spacing w:after="400" w:line="400" w:lineRule="atLeast"/>
      </w:pPr>
      <w:r>
        <w:rPr>
          <w:b w:val="true"/>
        </w:rPr>
        <w:t>青海省发展和改革委员会</w:t>
      </w:r>
      <w:r>
        <w:t>：</w:t>
      </w:r>
    </w:p>
    <w:p>
      <w:pPr>
        <w:numPr>
          <w:ilvl w:val="-1"/>
          <w:numId w:val="3"/>
        </w:numPr>
        <w:spacing w:after="400" w:line="400" w:lineRule="atLeast"/>
      </w:pPr>
      <w:r>
        <w:t>牵头制定容量补偿机制政策</w:t>
      </w:r>
    </w:p>
    <w:p>
      <w:pPr>
        <w:numPr>
          <w:ilvl w:val="-1"/>
          <w:numId w:val="3"/>
        </w:numPr>
        <w:spacing w:after="400" w:line="400" w:lineRule="atLeast"/>
      </w:pPr>
      <w:r>
        <w:t>按年核定并公布容量补偿标准</w:t>
      </w:r>
    </w:p>
    <w:p>
      <w:pPr>
        <w:numPr>
          <w:ilvl w:val="-1"/>
          <w:numId w:val="3"/>
        </w:numPr>
        <w:spacing w:after="400" w:line="400" w:lineRule="atLeast"/>
      </w:pPr>
      <w:r>
        <w:t>审批年度扣减费用清算方案</w:t>
      </w:r>
    </w:p>
    <w:p>
      <w:pPr>
        <w:numPr>
          <w:ilvl w:val="-1"/>
          <w:numId w:val="3"/>
        </w:numPr>
        <w:spacing w:after="400" w:line="400" w:lineRule="atLeast"/>
      </w:pPr>
      <w:r>
        <w:t>对机制实施进行监督管理</w:t>
      </w:r>
    </w:p>
    <w:p>
      <w:pPr>
        <w:spacing w:after="400" w:line="400" w:lineRule="atLeast"/>
      </w:pPr>
      <w:r>
        <w:rPr>
          <w:b w:val="true"/>
        </w:rPr>
        <w:t>青海省能源局</w:t>
      </w:r>
      <w:r>
        <w:t>：</w:t>
      </w:r>
    </w:p>
    <w:p>
      <w:pPr>
        <w:numPr>
          <w:ilvl w:val="-1"/>
          <w:numId w:val="1"/>
        </w:numPr>
        <w:spacing w:after="400" w:line="400" w:lineRule="atLeast"/>
      </w:pPr>
      <w:r>
        <w:t>参与机制的解释工作</w:t>
      </w:r>
    </w:p>
    <w:p>
      <w:pPr>
        <w:numPr>
          <w:ilvl w:val="-1"/>
          <w:numId w:val="1"/>
        </w:numPr>
        <w:spacing w:after="400" w:line="400" w:lineRule="atLeast"/>
      </w:pPr>
      <w:r>
        <w:t>协调推进电力市场化改革</w:t>
      </w:r>
    </w:p>
    <w:p>
      <w:pPr>
        <w:numPr>
          <w:ilvl w:val="-1"/>
          <w:numId w:val="1"/>
        </w:numPr>
        <w:spacing w:after="400" w:line="400" w:lineRule="atLeast"/>
      </w:pPr>
      <w:r>
        <w:t>配合做好电源规划与容量补偿的衔接</w:t>
      </w:r>
    </w:p>
    <w:p>
      <w:pPr>
        <w:spacing w:after="400" w:line="400" w:lineRule="atLeast"/>
      </w:pPr>
      <w:r>
        <w:rPr>
          <w:b/>
          <w:sz w:val="30"/>
        </w:rPr>
        <w:t xml:space="preserve">6.2 监管机构职责</w:t>
      </w:r>
    </w:p>
    <w:p>
      <w:pPr>
        <w:spacing w:after="400" w:line="400" w:lineRule="atLeast"/>
      </w:pPr>
      <w:r>
        <w:rPr>
          <w:b w:val="true"/>
        </w:rPr>
        <w:t>国家能源局西北监管局</w:t>
      </w:r>
      <w:r>
        <w:t>：</w:t>
      </w:r>
    </w:p>
    <w:p>
      <w:pPr>
        <w:numPr>
          <w:ilvl w:val="-1"/>
          <w:numId w:val="32"/>
        </w:numPr>
        <w:spacing w:after="400" w:line="400" w:lineRule="atLeast"/>
      </w:pPr>
      <w:r>
        <w:t>负责可靠容量补偿的运行监管</w:t>
      </w:r>
    </w:p>
    <w:p>
      <w:pPr>
        <w:numPr>
          <w:ilvl w:val="-1"/>
          <w:numId w:val="32"/>
        </w:numPr>
        <w:spacing w:after="400" w:line="400" w:lineRule="atLeast"/>
      </w:pPr>
      <w:r>
        <w:t>处理市场主体的投诉和争议</w:t>
      </w:r>
    </w:p>
    <w:p>
      <w:pPr>
        <w:numPr>
          <w:ilvl w:val="-1"/>
          <w:numId w:val="32"/>
        </w:numPr>
        <w:spacing w:after="400" w:line="400" w:lineRule="atLeast"/>
      </w:pPr>
      <w:r>
        <w:t>对违规行为进行处罚</w:t>
      </w:r>
    </w:p>
    <w:p>
      <w:pPr>
        <w:numPr>
          <w:ilvl w:val="-1"/>
          <w:numId w:val="32"/>
        </w:numPr>
        <w:spacing w:after="400" w:line="400" w:lineRule="atLeast"/>
      </w:pPr>
      <w:r>
        <w:t>参与机制的解释工作</w:t>
      </w:r>
    </w:p>
    <w:p>
      <w:pPr>
        <w:spacing w:after="400" w:line="400" w:lineRule="atLeast"/>
      </w:pPr>
      <w:r>
        <w:t>值得注意的是，国家能源局西北监管局《关于明确煤电容量电费考核工作有关事项的通知》（西北能监市场〔2024〕4号）相关规定不再执行，后续如遇国家政策调整，按照国家政策执行。这表明新机制将替代原有规定。</w:t>
      </w:r>
    </w:p>
    <w:p>
      <w:pPr>
        <w:spacing w:after="400" w:line="400" w:lineRule="atLeast"/>
      </w:pPr>
      <w:r>
        <w:rPr>
          <w:b/>
          <w:sz w:val="30"/>
        </w:rPr>
        <w:t xml:space="preserve">6.3 电网企业职责</w:t>
      </w:r>
    </w:p>
    <w:p>
      <w:pPr>
        <w:spacing w:after="400" w:line="400" w:lineRule="atLeast"/>
      </w:pPr>
      <w:r>
        <w:rPr>
          <w:b w:val="true"/>
        </w:rPr>
        <w:t>国网青海省电力公司</w:t>
      </w:r>
      <w:r>
        <w:t>：</w:t>
      </w:r>
    </w:p>
    <w:p>
      <w:pPr>
        <w:numPr>
          <w:ilvl w:val="-1"/>
          <w:numId w:val="23"/>
        </w:numPr>
        <w:spacing w:after="400" w:line="400" w:lineRule="atLeast"/>
      </w:pPr>
      <w:r>
        <w:t>参与机组年度可靠容量的核定工作</w:t>
      </w:r>
    </w:p>
    <w:p>
      <w:pPr>
        <w:numPr>
          <w:ilvl w:val="-1"/>
          <w:numId w:val="23"/>
        </w:numPr>
        <w:spacing w:after="400" w:line="400" w:lineRule="atLeast"/>
      </w:pPr>
      <w:r>
        <w:t>梳理汇总适用项目的清单，并动态调整</w:t>
      </w:r>
    </w:p>
    <w:p>
      <w:pPr>
        <w:numPr>
          <w:ilvl w:val="-1"/>
          <w:numId w:val="23"/>
        </w:numPr>
        <w:spacing w:after="400" w:line="400" w:lineRule="atLeast"/>
      </w:pPr>
      <w:r>
        <w:t>计算容量电费并按月结算</w:t>
      </w:r>
    </w:p>
    <w:p>
      <w:pPr>
        <w:numPr>
          <w:ilvl w:val="-1"/>
          <w:numId w:val="23"/>
        </w:numPr>
        <w:spacing w:after="400" w:line="400" w:lineRule="atLeast"/>
      </w:pPr>
      <w:r>
        <w:t>根据调度机构提供的缺口容量计算容量电费扣减</w:t>
      </w:r>
    </w:p>
    <w:p>
      <w:pPr>
        <w:numPr>
          <w:ilvl w:val="-1"/>
          <w:numId w:val="23"/>
        </w:numPr>
        <w:spacing w:after="400" w:line="400" w:lineRule="atLeast"/>
      </w:pPr>
      <w:r>
        <w:t>处理扣减费用</w:t>
      </w:r>
    </w:p>
    <w:p>
      <w:pPr>
        <w:numPr>
          <w:ilvl w:val="-1"/>
          <w:numId w:val="23"/>
        </w:numPr>
        <w:spacing w:after="400" w:line="400" w:lineRule="atLeast"/>
      </w:pPr>
      <w:r>
        <w:t>提交年度扣减费用清算方案</w:t>
      </w:r>
    </w:p>
    <w:p>
      <w:pPr>
        <w:spacing w:after="400" w:line="400" w:lineRule="atLeast"/>
      </w:pPr>
      <w:r>
        <w:rPr>
          <w:b/>
          <w:sz w:val="30"/>
        </w:rPr>
        <w:t xml:space="preserve">6.4 电力调度机构职责</w:t>
      </w:r>
    </w:p>
    <w:p>
      <w:pPr>
        <w:spacing w:after="400" w:line="400" w:lineRule="atLeast"/>
      </w:pPr>
      <w:r>
        <w:rPr>
          <w:b w:val="true"/>
        </w:rPr>
        <w:t>青海省电力调度机构</w:t>
      </w:r>
      <w:r>
        <w:t>：</w:t>
      </w:r>
    </w:p>
    <w:p>
      <w:pPr>
        <w:numPr>
          <w:ilvl w:val="-1"/>
          <w:numId w:val="12"/>
        </w:numPr>
        <w:spacing w:after="400" w:line="400" w:lineRule="atLeast"/>
      </w:pPr>
      <w:r>
        <w:t>负责系统净负荷高峰时段的判定和数据发布</w:t>
      </w:r>
    </w:p>
    <w:p>
      <w:pPr>
        <w:numPr>
          <w:ilvl w:val="-1"/>
          <w:numId w:val="12"/>
        </w:numPr>
        <w:spacing w:after="400" w:line="400" w:lineRule="atLeast"/>
      </w:pPr>
      <w:r>
        <w:t>监测各电源的实际发电能力</w:t>
      </w:r>
    </w:p>
    <w:p>
      <w:pPr>
        <w:numPr>
          <w:ilvl w:val="-1"/>
          <w:numId w:val="12"/>
        </w:numPr>
        <w:spacing w:after="400" w:line="400" w:lineRule="atLeast"/>
      </w:pPr>
      <w:r>
        <w:t>提供缺口容量数据</w:t>
      </w:r>
    </w:p>
    <w:p>
      <w:pPr>
        <w:numPr>
          <w:ilvl w:val="-1"/>
          <w:numId w:val="12"/>
        </w:numPr>
        <w:spacing w:after="400" w:line="400" w:lineRule="atLeast"/>
      </w:pPr>
      <w:r>
        <w:t>处理发电主体的异议和复核申请</w:t>
      </w:r>
    </w:p>
    <w:p>
      <w:pPr>
        <w:spacing w:after="400" w:line="400" w:lineRule="atLeast"/>
      </w:pPr>
      <w:r>
        <w:rPr>
          <w:b/>
          <w:sz w:val="30"/>
        </w:rPr>
        <w:t xml:space="preserve">6.5 电力交易机构职责</w:t>
      </w:r>
    </w:p>
    <w:p>
      <w:pPr>
        <w:spacing w:after="400" w:line="400" w:lineRule="atLeast"/>
      </w:pPr>
      <w:r>
        <w:rPr>
          <w:b w:val="true"/>
        </w:rPr>
        <w:t>青海电力交易中心</w:t>
      </w:r>
      <w:r>
        <w:t>：</w:t>
      </w:r>
    </w:p>
    <w:p>
      <w:pPr>
        <w:numPr>
          <w:ilvl w:val="-1"/>
          <w:numId w:val="31"/>
        </w:numPr>
        <w:spacing w:after="400" w:line="400" w:lineRule="atLeast"/>
      </w:pPr>
      <w:r>
        <w:t>依据最终结果出具结算依据</w:t>
      </w:r>
    </w:p>
    <w:p>
      <w:pPr>
        <w:numPr>
          <w:ilvl w:val="-1"/>
          <w:numId w:val="31"/>
        </w:numPr>
        <w:spacing w:after="400" w:line="400" w:lineRule="atLeast"/>
      </w:pPr>
      <w:r>
        <w:t>提交电网企业执行结算</w:t>
      </w:r>
    </w:p>
    <w:p>
      <w:pPr>
        <w:numPr>
          <w:ilvl w:val="-1"/>
          <w:numId w:val="31"/>
        </w:numPr>
        <w:spacing w:after="400" w:line="400" w:lineRule="atLeast"/>
      </w:pPr>
      <w:r>
        <w:t>维护市场交易秩序</w:t>
      </w:r>
    </w:p>
    <w:p>
      <w:pPr>
        <w:numPr>
          <w:ilvl w:val="-1"/>
          <w:numId w:val="31"/>
        </w:numPr>
        <w:spacing w:after="400" w:line="400" w:lineRule="atLeast"/>
      </w:pPr>
      <w:r>
        <w:t>提供信息披露服务</w:t>
      </w:r>
    </w:p>
    <w:p>
      <w:pPr>
        <w:spacing w:after="400" w:line="400" w:lineRule="atLeast"/>
      </w:pPr>
      <w:r>
        <w:rPr>
          <w:b/>
          <w:sz w:val="33"/>
        </w:rPr>
        <w:t xml:space="preserve">第七章 200MW/800MWh项目财务模型与风险评估</w:t>
      </w:r>
    </w:p>
    <w:p>
      <w:pPr>
        <w:spacing w:after="400" w:line="400" w:lineRule="atLeast"/>
      </w:pPr>
      <w:r>
        <w:rPr>
          <w:b/>
          <w:sz w:val="30"/>
        </w:rPr>
        <w:t xml:space="preserve">7.1 项目投资假设</w:t>
      </w:r>
    </w:p>
    <w:p>
      <w:pPr>
        <w:spacing w:after="400" w:line="400" w:lineRule="atLeast"/>
      </w:pPr>
      <w:r>
        <w:t>基于前文分析，建立200MW/800MWh储能项目的财务模型。考虑到政策的不确定性，本报告采用情景二参数进行测算，体现审慎性原则。</w:t>
      </w:r>
    </w:p>
    <w:p>
      <w:pPr>
        <w:spacing w:after="400" w:line="400" w:lineRule="atLeast"/>
      </w:pPr>
      <w:r>
        <w:rPr>
          <w:b w:val="true"/>
        </w:rPr>
        <w:t>投资参数</w:t>
      </w:r>
      <w:r>
        <w:t>：</w:t>
      </w:r>
    </w:p>
    <w:p>
      <w:pPr>
        <w:numPr>
          <w:ilvl w:val="-1"/>
          <w:numId w:val="20"/>
        </w:numPr>
        <w:spacing w:after="400" w:line="400" w:lineRule="atLeast"/>
      </w:pPr>
      <w:r>
        <w:t>总投资：120,000万元（约1,500元/kWh）</w:t>
      </w:r>
    </w:p>
    <w:p>
      <w:pPr>
        <w:numPr>
          <w:ilvl w:val="-1"/>
          <w:numId w:val="20"/>
        </w:numPr>
        <w:spacing w:after="400" w:line="400" w:lineRule="atLeast"/>
      </w:pPr>
      <w:r>
        <w:t>资本金比例：20%</w:t>
      </w:r>
    </w:p>
    <w:p>
      <w:pPr>
        <w:numPr>
          <w:ilvl w:val="-1"/>
          <w:numId w:val="20"/>
        </w:numPr>
        <w:spacing w:after="400" w:line="400" w:lineRule="atLeast"/>
      </w:pPr>
      <w:r>
        <w:t>贷款金额：96,000万元</w:t>
      </w:r>
    </w:p>
    <w:p>
      <w:pPr>
        <w:numPr>
          <w:ilvl w:val="-1"/>
          <w:numId w:val="20"/>
        </w:numPr>
        <w:spacing w:after="400" w:line="400" w:lineRule="atLeast"/>
      </w:pPr>
      <w:r>
        <w:t>贷款期限：15年</w:t>
      </w:r>
    </w:p>
    <w:p>
      <w:pPr>
        <w:numPr>
          <w:ilvl w:val="-1"/>
          <w:numId w:val="20"/>
        </w:numPr>
        <w:spacing w:after="400" w:line="400" w:lineRule="atLeast"/>
      </w:pPr>
      <w:r>
        <w:t>贷款利率：4.5%（浮动）</w:t>
      </w:r>
    </w:p>
    <w:p>
      <w:pPr>
        <w:numPr>
          <w:ilvl w:val="-1"/>
          <w:numId w:val="20"/>
        </w:numPr>
        <w:spacing w:after="400" w:line="400" w:lineRule="atLeast"/>
      </w:pPr>
      <w:r>
        <w:t>项目寿命期：20年</w:t>
      </w:r>
    </w:p>
    <w:p>
      <w:pPr>
        <w:numPr>
          <w:ilvl w:val="-1"/>
          <w:numId w:val="20"/>
        </w:numPr>
        <w:spacing w:after="400" w:line="400" w:lineRule="atLeast"/>
      </w:pPr>
      <w:r>
        <w:t>残值率：5%</w:t>
      </w:r>
    </w:p>
    <w:p>
      <w:pPr>
        <w:spacing w:after="400" w:line="400" w:lineRule="atLeast"/>
      </w:pPr>
      <w:r>
        <w:rPr>
          <w:b w:val="true"/>
        </w:rPr>
        <w:t>运营参数</w:t>
      </w:r>
      <w:r>
        <w:t>：</w:t>
      </w:r>
    </w:p>
    <w:p>
      <w:pPr>
        <w:numPr>
          <w:ilvl w:val="-1"/>
          <w:numId w:val="15"/>
        </w:numPr>
        <w:spacing w:after="400" w:line="400" w:lineRule="atLeast"/>
      </w:pPr>
      <w:r>
        <w:t>年等效利用小时数：1,000小时</w:t>
      </w:r>
    </w:p>
    <w:p>
      <w:pPr>
        <w:numPr>
          <w:ilvl w:val="-1"/>
          <w:numId w:val="15"/>
        </w:numPr>
        <w:spacing w:after="400" w:line="400" w:lineRule="atLeast"/>
      </w:pPr>
      <w:r>
        <w:t>年衰减率：2%</w:t>
      </w:r>
    </w:p>
    <w:p>
      <w:pPr>
        <w:numPr>
          <w:ilvl w:val="-1"/>
          <w:numId w:val="15"/>
        </w:numPr>
        <w:spacing w:after="400" w:line="400" w:lineRule="atLeast"/>
      </w:pPr>
      <w:r>
        <w:t>运维成本：投资额的2%/年</w:t>
      </w:r>
    </w:p>
    <w:p>
      <w:pPr>
        <w:numPr>
          <w:ilvl w:val="-1"/>
          <w:numId w:val="15"/>
        </w:numPr>
        <w:spacing w:after="400" w:line="400" w:lineRule="atLeast"/>
      </w:pPr>
      <w:r>
        <w:t>厂用电率：10.39%</w:t>
      </w:r>
    </w:p>
    <w:p>
      <w:pPr>
        <w:numPr>
          <w:ilvl w:val="-1"/>
          <w:numId w:val="15"/>
        </w:numPr>
        <w:spacing w:after="400" w:line="400" w:lineRule="atLeast"/>
      </w:pPr>
      <w:r>
        <w:t>系统效率：86%</w:t>
      </w:r>
    </w:p>
    <w:p>
      <w:pPr>
        <w:spacing w:after="400" w:line="400" w:lineRule="atLeast"/>
      </w:pPr>
      <w:r>
        <w:rPr>
          <w:b w:val="true"/>
        </w:rPr>
        <w:t>收入来源</w:t>
      </w:r>
      <w:r>
        <w:t>：</w:t>
      </w:r>
    </w:p>
    <w:p>
      <w:pPr>
        <w:numPr>
          <w:ilvl w:val="-1"/>
          <w:numId w:val="37"/>
        </w:numPr>
        <w:spacing w:after="400" w:line="400" w:lineRule="atLeast"/>
      </w:pPr>
      <w:r>
        <w:t>电能量市场收入（峰谷套利、现货市场）</w:t>
      </w:r>
    </w:p>
    <w:p>
      <w:pPr>
        <w:numPr>
          <w:ilvl w:val="-1"/>
          <w:numId w:val="37"/>
        </w:numPr>
        <w:spacing w:after="400" w:line="400" w:lineRule="atLeast"/>
      </w:pPr>
      <w:r>
        <w:t>容量补偿收入</w:t>
      </w:r>
    </w:p>
    <w:p>
      <w:pPr>
        <w:numPr>
          <w:ilvl w:val="-1"/>
          <w:numId w:val="37"/>
        </w:numPr>
        <w:spacing w:after="400" w:line="400" w:lineRule="atLeast"/>
      </w:pPr>
      <w:r>
        <w:t>辅助服务收入</w:t>
      </w:r>
    </w:p>
    <w:p>
      <w:pPr>
        <w:spacing w:after="400" w:line="400" w:lineRule="atLeast"/>
      </w:pPr>
      <w:r>
        <w:rPr>
          <w:b/>
          <w:sz w:val="30"/>
        </w:rPr>
        <w:t xml:space="preserve">7.2 收入模型</w:t>
      </w:r>
    </w:p>
    <w:p>
      <w:pPr>
        <w:spacing w:after="400" w:line="400" w:lineRule="atLeast"/>
      </w:pPr>
      <w:r>
        <w:rPr>
          <w:b w:val="true"/>
        </w:rPr>
        <w:t>电能量收入测算</w:t>
      </w:r>
      <w:r>
        <w:t>：</w:t>
      </w:r>
    </w:p>
    <w:p>
      <w:pPr>
        <w:spacing w:after="400" w:line="400" w:lineRule="atLeast"/>
      </w:pPr>
      <w:r>
        <w:t>假设项目年充放电循环次数为250次，每次充放电量为800MWh，考虑充放电效率和衰减：</w:t>
      </w:r>
    </w:p>
    <w:p>
      <w:pPr>
        <w:spacing w:after="400" w:line="400" w:lineRule="atLeast"/>
      </w:pPr>
      <w:r>
        <w:t xml:space="preserve">第1年放电量 = 800MWh × 250次 × 86% = 172,000MWh</w:t>
      </w:r>
    </w:p>
    <w:p>
      <w:pPr>
        <w:spacing w:after="400" w:line="400" w:lineRule="atLeast"/>
      </w:pPr>
      <w:r>
        <w:t xml:space="preserve">第10年放电量 = 172,000MWh × (1 - 2% × 9) = 141,040MWh</w:t>
      </w:r>
    </w:p>
    <w:p>
      <w:pPr>
        <w:spacing w:after="400" w:line="400" w:lineRule="atLeast"/>
      </w:pPr>
      <w:r>
        <w:t>假设平均度电收益为0.25元/kWh（考虑峰谷价差和市场价格波动）：</w:t>
      </w:r>
    </w:p>
    <w:p>
      <w:pPr>
        <w:spacing w:after="400" w:line="400" w:lineRule="atLeast"/>
      </w:pPr>
      <w:r>
        <w:t xml:space="preserve">第1年电能量收入 = 172,000MWh × 0.25元/kWh = 4,300万元</w:t>
      </w:r>
    </w:p>
    <w:p>
      <w:pPr>
        <w:spacing w:after="400" w:line="400" w:lineRule="atLeast"/>
      </w:pPr>
      <w:r>
        <w:rPr>
          <w:b w:val="true"/>
        </w:rPr>
        <w:t>容量补偿收入测算（情景二）</w:t>
      </w:r>
      <w:r>
        <w:t>：</w:t>
      </w:r>
    </w:p>
    <w:p>
      <w:pPr>
        <w:spacing w:after="400" w:line="400" w:lineRule="atLeast"/>
      </w:pPr>
      <w:r>
        <w:t xml:space="preserve">有效容量 = 200MW × (1 - 10.39%) × 50% = 89.61MW</w:t>
      </w:r>
    </w:p>
    <w:p>
      <w:pPr>
        <w:spacing w:after="400" w:line="400" w:lineRule="atLeast"/>
      </w:pPr>
      <w:r>
        <w:t xml:space="preserve">年容量补偿收入 = 89,610kW × 0.92 × 185元/(kW·年) = 1,525万元</w:t>
      </w:r>
    </w:p>
    <w:p>
      <w:pPr>
        <w:spacing w:after="400" w:line="400" w:lineRule="atLeast"/>
      </w:pPr>
      <w:r>
        <w:rPr>
          <w:b w:val="true"/>
        </w:rPr>
        <w:t>辅助服务收入测算</w:t>
      </w:r>
      <w:r>
        <w:t>：</w:t>
      </w:r>
    </w:p>
    <w:p>
      <w:pPr>
        <w:spacing w:after="400" w:line="400" w:lineRule="atLeast"/>
      </w:pPr>
      <w:r>
        <w:t>假设项目参与调频、备用等辅助服务市场，年收入约500万元。</w:t>
      </w:r>
    </w:p>
    <w:p>
      <w:pPr>
        <w:spacing w:after="400" w:line="400" w:lineRule="atLeast"/>
      </w:pPr>
      <w:r>
        <w:rPr>
          <w:b w:val="true"/>
        </w:rPr>
        <w:t>综合收入</w:t>
      </w:r>
      <w:r>
        <w:t>：</w:t>
      </w:r>
    </w:p>
    <w:p>
      <w:pPr>
        <w:spacing w:after="400" w:line="400" w:lineRule="atLeast"/>
      </w:pPr>
      <w:r>
        <w:t xml:space="preserve">第1年总收入 = 4,300 + 1,525 + 500 = 6,325万元</w:t>
      </w:r>
    </w:p>
    <w:p>
      <w:pPr>
        <w:spacing w:after="400" w:line="400" w:lineRule="atLeast"/>
      </w:pPr>
      <w:r>
        <w:rPr>
          <w:b/>
          <w:sz w:val="30"/>
        </w:rPr>
        <w:t xml:space="preserve">7.3 成本费用模型</w:t>
      </w:r>
    </w:p>
    <w:p>
      <w:pPr>
        <w:spacing w:after="400" w:line="400" w:lineRule="atLeast"/>
      </w:pPr>
      <w:r>
        <w:rPr>
          <w:b w:val="true"/>
        </w:rPr>
        <w:t>年运营成本</w:t>
      </w:r>
      <w:r>
        <w:t>：</w:t>
      </w:r>
    </w:p>
    <w:p>
      <w:pPr>
        <w:numPr>
          <w:ilvl w:val="-1"/>
          <w:numId w:val="22"/>
        </w:numPr>
        <w:spacing w:after="400" w:line="400" w:lineRule="atLeast"/>
      </w:pPr>
      <w:r>
        <w:t xml:space="preserve">运维费用：120,000万元 × 2% = 2,400万元</w:t>
      </w:r>
    </w:p>
    <w:p>
      <w:pPr>
        <w:numPr>
          <w:ilvl w:val="-1"/>
          <w:numId w:val="22"/>
        </w:numPr>
        <w:spacing w:after="400" w:line="400" w:lineRule="atLeast"/>
      </w:pPr>
      <w:r>
        <w:t xml:space="preserve">保险费：120,000万元 × 0.5% = 600万元</w:t>
      </w:r>
    </w:p>
    <w:p>
      <w:pPr>
        <w:numPr>
          <w:ilvl w:val="-1"/>
          <w:numId w:val="22"/>
        </w:numPr>
        <w:spacing w:after="400" w:line="400" w:lineRule="atLeast"/>
      </w:pPr>
      <w:r>
        <w:t>管理费用：300万元</w:t>
      </w:r>
    </w:p>
    <w:p>
      <w:pPr>
        <w:numPr>
          <w:ilvl w:val="-1"/>
          <w:numId w:val="22"/>
        </w:numPr>
        <w:spacing w:after="400" w:line="400" w:lineRule="atLeast"/>
      </w:pPr>
      <w:r>
        <w:t>合计：3,300万元</w:t>
      </w:r>
    </w:p>
    <w:p>
      <w:pPr>
        <w:spacing w:after="400" w:line="400" w:lineRule="atLeast"/>
      </w:pPr>
      <w:r>
        <w:rPr>
          <w:b w:val="true"/>
        </w:rPr>
        <w:t>财务费用</w:t>
      </w:r>
      <w:r>
        <w:t>：</w:t>
      </w:r>
    </w:p>
    <w:p>
      <w:pPr>
        <w:numPr>
          <w:ilvl w:val="-1"/>
          <w:numId w:val="24"/>
        </w:numPr>
        <w:spacing w:after="400" w:line="400" w:lineRule="atLeast"/>
      </w:pPr>
      <w:r>
        <w:t xml:space="preserve">年利息支出（第1年）：96,000万元 × 4.5% = 4,320万元</w:t>
      </w:r>
    </w:p>
    <w:p>
      <w:pPr>
        <w:spacing w:after="400" w:line="400" w:lineRule="atLeast"/>
      </w:pPr>
      <w:r>
        <w:rPr>
          <w:b w:val="true"/>
        </w:rPr>
        <w:t>折旧费用</w:t>
      </w:r>
      <w:r>
        <w:t>：</w:t>
      </w:r>
    </w:p>
    <w:p>
      <w:pPr>
        <w:numPr>
          <w:ilvl w:val="-1"/>
          <w:numId w:val="36"/>
        </w:numPr>
        <w:spacing w:after="400" w:line="400" w:lineRule="atLeast"/>
      </w:pPr>
      <w:r>
        <w:t xml:space="preserve">年折旧 = 120,000万元 × (1 - 5%) ÷ 20年 = 5,700万元</w:t>
      </w:r>
    </w:p>
    <w:p>
      <w:pPr>
        <w:spacing w:after="400" w:line="400" w:lineRule="atLeast"/>
      </w:pPr>
      <w:r>
        <w:rPr>
          <w:b w:val="true"/>
        </w:rPr>
        <w:t>税费</w:t>
      </w:r>
      <w:r>
        <w:t>：</w:t>
      </w:r>
    </w:p>
    <w:p>
      <w:pPr>
        <w:numPr>
          <w:ilvl w:val="-1"/>
          <w:numId w:val="8"/>
        </w:numPr>
        <w:spacing w:after="400" w:line="400" w:lineRule="atLeast"/>
      </w:pPr>
      <w:r>
        <w:t xml:space="preserve">增值税：销项税额 - 进项税额（假设实际税负约3%）</w:t>
      </w:r>
    </w:p>
    <w:p>
      <w:pPr>
        <w:numPr>
          <w:ilvl w:val="-1"/>
          <w:numId w:val="8"/>
        </w:numPr>
        <w:spacing w:after="400" w:line="400" w:lineRule="atLeast"/>
      </w:pPr>
      <w:r>
        <w:t xml:space="preserve">所得税：利润总额 × 25%</w:t>
      </w:r>
    </w:p>
    <w:p>
      <w:pPr>
        <w:spacing w:after="400" w:line="400" w:lineRule="atLeast"/>
      </w:pPr>
      <w:r>
        <w:rPr>
          <w:b/>
          <w:sz w:val="30"/>
        </w:rPr>
        <w:t xml:space="preserve">7.4 现金流分析</w:t>
      </w:r>
    </w:p>
    <w:p>
      <w:pPr>
        <w:spacing w:after="400" w:line="400" w:lineRule="atLeast"/>
      </w:pPr>
      <w:r>
        <w:rPr>
          <w:b w:val="true"/>
        </w:rPr>
        <w:t>经营性现金流</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382"/>
        <w:gridCol w:w="1382"/>
        <w:gridCol w:w="1382"/>
        <w:gridCol w:w="1382"/>
        <w:gridCol w:w="1382"/>
        <w:gridCol w:w="1382"/>
      </w:tblGrid>
      <w:tr>
        <w:tc>
          <w:tcPr>
            <w:tcW w:w="1382" w:type="dxa"/>
            <w:tcBorders/>
          </w:tcPr>
          <w:p>
            <w:pPr>
              <w:spacing w:after="400" w:line="400" w:lineRule="exact"/>
            </w:pPr>
            <w:r>
              <w:rPr>
                <w:b w:val="true"/>
              </w:rPr>
              <w:t>项目</w:t>
            </w:r>
          </w:p>
        </w:tc>
        <w:tc>
          <w:tcPr>
            <w:tcW w:w="1382" w:type="dxa"/>
            <w:tcBorders/>
          </w:tcPr>
          <w:p>
            <w:pPr>
              <w:spacing w:after="400" w:line="400" w:lineRule="exact"/>
            </w:pPr>
            <w:r>
              <w:rPr>
                <w:b w:val="true"/>
              </w:rPr>
              <w:t>第1年</w:t>
            </w:r>
          </w:p>
        </w:tc>
        <w:tc>
          <w:tcPr>
            <w:tcW w:w="1382" w:type="dxa"/>
            <w:tcBorders/>
          </w:tcPr>
          <w:p>
            <w:pPr>
              <w:spacing w:after="400" w:line="400" w:lineRule="exact"/>
            </w:pPr>
            <w:r>
              <w:rPr>
                <w:b w:val="true"/>
              </w:rPr>
              <w:t>第5年</w:t>
            </w:r>
          </w:p>
        </w:tc>
        <w:tc>
          <w:tcPr>
            <w:tcW w:w="1382" w:type="dxa"/>
            <w:tcBorders/>
          </w:tcPr>
          <w:p>
            <w:pPr>
              <w:spacing w:after="400" w:line="400" w:lineRule="exact"/>
            </w:pPr>
            <w:r>
              <w:rPr>
                <w:b w:val="true"/>
              </w:rPr>
              <w:t>第10年</w:t>
            </w:r>
          </w:p>
        </w:tc>
        <w:tc>
          <w:tcPr>
            <w:tcW w:w="1382" w:type="dxa"/>
            <w:tcBorders/>
          </w:tcPr>
          <w:p>
            <w:pPr>
              <w:spacing w:after="400" w:line="400" w:lineRule="exact"/>
            </w:pPr>
            <w:r>
              <w:rPr>
                <w:b w:val="true"/>
              </w:rPr>
              <w:t>第15年</w:t>
            </w:r>
          </w:p>
        </w:tc>
        <w:tc>
          <w:tcPr>
            <w:tcW w:w="1382" w:type="dxa"/>
            <w:tcBorders/>
          </w:tcPr>
          <w:p>
            <w:pPr>
              <w:spacing w:after="400" w:line="400" w:lineRule="exact"/>
            </w:pPr>
            <w:r>
              <w:rPr>
                <w:b w:val="true"/>
              </w:rPr>
              <w:t>第20年</w:t>
            </w:r>
          </w:p>
        </w:tc>
      </w:tr>
      <w:tr>
        <w:tc>
          <w:tcPr>
            <w:tcW w:w="1382" w:type="dxa"/>
            <w:tcBorders/>
          </w:tcPr>
          <w:p>
            <w:pPr>
              <w:spacing w:after="400" w:line="400" w:lineRule="exact"/>
            </w:pPr>
            <w:r>
              <w:t>电能量收入</w:t>
            </w:r>
          </w:p>
        </w:tc>
        <w:tc>
          <w:tcPr>
            <w:tcW w:w="1382" w:type="dxa"/>
            <w:tcBorders/>
          </w:tcPr>
          <w:p>
            <w:pPr>
              <w:spacing w:after="400" w:line="400" w:lineRule="exact"/>
            </w:pPr>
            <w:r>
              <w:t>4,300</w:t>
            </w:r>
          </w:p>
        </w:tc>
        <w:tc>
          <w:tcPr>
            <w:tcW w:w="1382" w:type="dxa"/>
            <w:tcBorders/>
          </w:tcPr>
          <w:p>
            <w:pPr>
              <w:spacing w:after="400" w:line="400" w:lineRule="exact"/>
            </w:pPr>
            <w:r>
              <w:t>3,956</w:t>
            </w:r>
          </w:p>
        </w:tc>
        <w:tc>
          <w:tcPr>
            <w:tcW w:w="1382" w:type="dxa"/>
            <w:tcBorders/>
          </w:tcPr>
          <w:p>
            <w:pPr>
              <w:spacing w:after="400" w:line="400" w:lineRule="exact"/>
            </w:pPr>
            <w:r>
              <w:t>3,527</w:t>
            </w:r>
          </w:p>
        </w:tc>
        <w:tc>
          <w:tcPr>
            <w:tcW w:w="1382" w:type="dxa"/>
            <w:tcBorders/>
          </w:tcPr>
          <w:p>
            <w:pPr>
              <w:spacing w:after="400" w:line="400" w:lineRule="exact"/>
            </w:pPr>
            <w:r>
              <w:t>3,098</w:t>
            </w:r>
          </w:p>
        </w:tc>
        <w:tc>
          <w:tcPr>
            <w:tcW w:w="1382" w:type="dxa"/>
            <w:tcBorders/>
          </w:tcPr>
          <w:p>
            <w:pPr>
              <w:spacing w:after="400" w:line="400" w:lineRule="exact"/>
            </w:pPr>
            <w:r>
              <w:t>2,669</w:t>
            </w:r>
          </w:p>
        </w:tc>
      </w:tr>
      <w:tr>
        <w:tc>
          <w:tcPr>
            <w:tcW w:w="1382" w:type="dxa"/>
            <w:tcBorders/>
          </w:tcPr>
          <w:p>
            <w:pPr>
              <w:spacing w:after="400" w:line="400" w:lineRule="exact"/>
            </w:pPr>
            <w:r>
              <w:t>容量补偿收入</w:t>
            </w:r>
          </w:p>
        </w:tc>
        <w:tc>
          <w:tcPr>
            <w:tcW w:w="1382" w:type="dxa"/>
            <w:tcBorders/>
          </w:tcPr>
          <w:p>
            <w:pPr>
              <w:spacing w:after="400" w:line="400" w:lineRule="exact"/>
            </w:pPr>
            <w:r>
              <w:t>1,525</w:t>
            </w:r>
          </w:p>
        </w:tc>
        <w:tc>
          <w:tcPr>
            <w:tcW w:w="1382" w:type="dxa"/>
            <w:tcBorders/>
          </w:tcPr>
          <w:p>
            <w:pPr>
              <w:spacing w:after="400" w:line="400" w:lineRule="exact"/>
            </w:pPr>
            <w:r>
              <w:t>1,525</w:t>
            </w:r>
          </w:p>
        </w:tc>
        <w:tc>
          <w:tcPr>
            <w:tcW w:w="1382" w:type="dxa"/>
            <w:tcBorders/>
          </w:tcPr>
          <w:p>
            <w:pPr>
              <w:spacing w:after="400" w:line="400" w:lineRule="exact"/>
            </w:pPr>
            <w:r>
              <w:t>1,525</w:t>
            </w:r>
          </w:p>
        </w:tc>
        <w:tc>
          <w:tcPr>
            <w:tcW w:w="1382" w:type="dxa"/>
            <w:tcBorders/>
          </w:tcPr>
          <w:p>
            <w:pPr>
              <w:spacing w:after="400" w:line="400" w:lineRule="exact"/>
            </w:pPr>
            <w:r>
              <w:t>1,525</w:t>
            </w:r>
          </w:p>
        </w:tc>
        <w:tc>
          <w:tcPr>
            <w:tcW w:w="1382" w:type="dxa"/>
            <w:tcBorders/>
          </w:tcPr>
          <w:p>
            <w:pPr>
              <w:spacing w:after="400" w:line="400" w:lineRule="exact"/>
            </w:pPr>
            <w:r>
              <w:t>1,525</w:t>
            </w:r>
          </w:p>
        </w:tc>
      </w:tr>
      <w:tr>
        <w:tc>
          <w:tcPr>
            <w:tcW w:w="1382" w:type="dxa"/>
            <w:tcBorders/>
          </w:tcPr>
          <w:p>
            <w:pPr>
              <w:spacing w:after="400" w:line="400" w:lineRule="exact"/>
            </w:pPr>
            <w:r>
              <w:t>辅助服务收入</w:t>
            </w:r>
          </w:p>
        </w:tc>
        <w:tc>
          <w:tcPr>
            <w:tcW w:w="1382" w:type="dxa"/>
            <w:tcBorders/>
          </w:tcPr>
          <w:p>
            <w:pPr>
              <w:spacing w:after="400" w:line="400" w:lineRule="exact"/>
            </w:pPr>
            <w:r>
              <w:t>500</w:t>
            </w:r>
          </w:p>
        </w:tc>
        <w:tc>
          <w:tcPr>
            <w:tcW w:w="1382" w:type="dxa"/>
            <w:tcBorders/>
          </w:tcPr>
          <w:p>
            <w:pPr>
              <w:spacing w:after="400" w:line="400" w:lineRule="exact"/>
            </w:pPr>
            <w:r>
              <w:t>500</w:t>
            </w:r>
          </w:p>
        </w:tc>
        <w:tc>
          <w:tcPr>
            <w:tcW w:w="1382" w:type="dxa"/>
            <w:tcBorders/>
          </w:tcPr>
          <w:p>
            <w:pPr>
              <w:spacing w:after="400" w:line="400" w:lineRule="exact"/>
            </w:pPr>
            <w:r>
              <w:t>500</w:t>
            </w:r>
          </w:p>
        </w:tc>
        <w:tc>
          <w:tcPr>
            <w:tcW w:w="1382" w:type="dxa"/>
            <w:tcBorders/>
          </w:tcPr>
          <w:p>
            <w:pPr>
              <w:spacing w:after="400" w:line="400" w:lineRule="exact"/>
            </w:pPr>
            <w:r>
              <w:t>500</w:t>
            </w:r>
          </w:p>
        </w:tc>
        <w:tc>
          <w:tcPr>
            <w:tcW w:w="1382" w:type="dxa"/>
            <w:tcBorders/>
          </w:tcPr>
          <w:p>
            <w:pPr>
              <w:spacing w:after="400" w:line="400" w:lineRule="exact"/>
            </w:pPr>
            <w:r>
              <w:t>500</w:t>
            </w:r>
          </w:p>
        </w:tc>
      </w:tr>
      <w:tr>
        <w:tc>
          <w:tcPr>
            <w:tcW w:w="1382" w:type="dxa"/>
            <w:tcBorders/>
          </w:tcPr>
          <w:p>
            <w:pPr>
              <w:spacing w:after="400" w:line="400" w:lineRule="exact"/>
            </w:pPr>
            <w:r>
              <w:t>运营成本</w:t>
            </w:r>
          </w:p>
        </w:tc>
        <w:tc>
          <w:tcPr>
            <w:tcW w:w="1382" w:type="dxa"/>
            <w:tcBorders/>
          </w:tcPr>
          <w:p>
            <w:pPr>
              <w:spacing w:after="400" w:line="400" w:lineRule="exact"/>
            </w:pPr>
            <w:r>
              <w:t>(3,300)</w:t>
            </w:r>
          </w:p>
        </w:tc>
        <w:tc>
          <w:tcPr>
            <w:tcW w:w="1382" w:type="dxa"/>
            <w:tcBorders/>
          </w:tcPr>
          <w:p>
            <w:pPr>
              <w:spacing w:after="400" w:line="400" w:lineRule="exact"/>
            </w:pPr>
            <w:r>
              <w:t>(3,300)</w:t>
            </w:r>
          </w:p>
        </w:tc>
        <w:tc>
          <w:tcPr>
            <w:tcW w:w="1382" w:type="dxa"/>
            <w:tcBorders/>
          </w:tcPr>
          <w:p>
            <w:pPr>
              <w:spacing w:after="400" w:line="400" w:lineRule="exact"/>
            </w:pPr>
            <w:r>
              <w:t>(3,300)</w:t>
            </w:r>
          </w:p>
        </w:tc>
        <w:tc>
          <w:tcPr>
            <w:tcW w:w="1382" w:type="dxa"/>
            <w:tcBorders/>
          </w:tcPr>
          <w:p>
            <w:pPr>
              <w:spacing w:after="400" w:line="400" w:lineRule="exact"/>
            </w:pPr>
            <w:r>
              <w:t>(3,300)</w:t>
            </w:r>
          </w:p>
        </w:tc>
        <w:tc>
          <w:tcPr>
            <w:tcW w:w="1382" w:type="dxa"/>
            <w:tcBorders/>
          </w:tcPr>
          <w:p>
            <w:pPr>
              <w:spacing w:after="400" w:line="400" w:lineRule="exact"/>
            </w:pPr>
            <w:r>
              <w:t>(3,300)</w:t>
            </w:r>
          </w:p>
        </w:tc>
      </w:tr>
      <w:tr>
        <w:tc>
          <w:tcPr>
            <w:tcW w:w="1382" w:type="dxa"/>
            <w:tcBorders/>
          </w:tcPr>
          <w:p>
            <w:pPr>
              <w:spacing w:after="400" w:line="400" w:lineRule="exact"/>
            </w:pPr>
            <w:r>
              <w:t>利息支出</w:t>
            </w:r>
          </w:p>
        </w:tc>
        <w:tc>
          <w:tcPr>
            <w:tcW w:w="1382" w:type="dxa"/>
            <w:tcBorders/>
          </w:tcPr>
          <w:p>
            <w:pPr>
              <w:spacing w:after="400" w:line="400" w:lineRule="exact"/>
            </w:pPr>
            <w:r>
              <w:t>(4,320)</w:t>
            </w:r>
          </w:p>
        </w:tc>
        <w:tc>
          <w:tcPr>
            <w:tcW w:w="1382" w:type="dxa"/>
            <w:tcBorders/>
          </w:tcPr>
          <w:p>
            <w:pPr>
              <w:spacing w:after="400" w:line="400" w:lineRule="exact"/>
            </w:pPr>
            <w:r>
              <w:t>(3,812)</w:t>
            </w:r>
          </w:p>
        </w:tc>
        <w:tc>
          <w:tcPr>
            <w:tcW w:w="1382" w:type="dxa"/>
            <w:tcBorders/>
          </w:tcPr>
          <w:p>
            <w:pPr>
              <w:spacing w:after="400" w:line="400" w:lineRule="exact"/>
            </w:pPr>
            <w:r>
              <w:t>(2,904)</w:t>
            </w:r>
          </w:p>
        </w:tc>
        <w:tc>
          <w:tcPr>
            <w:tcW w:w="1382" w:type="dxa"/>
            <w:tcBorders/>
          </w:tcPr>
          <w:p>
            <w:pPr>
              <w:spacing w:after="400" w:line="400" w:lineRule="exact"/>
            </w:pPr>
            <w:r>
              <w:t>(1,728)</w:t>
            </w:r>
          </w:p>
        </w:tc>
        <w:tc>
          <w:tcPr>
            <w:tcW w:w="1382" w:type="dxa"/>
            <w:tcBorders/>
          </w:tcPr>
          <w:p>
            <w:pPr>
              <w:spacing w:after="400" w:line="400" w:lineRule="exact"/>
            </w:pPr>
            <w:r>
              <w:t>0</w:t>
            </w:r>
          </w:p>
        </w:tc>
      </w:tr>
      <w:tr>
        <w:tc>
          <w:tcPr>
            <w:tcW w:w="1382" w:type="dxa"/>
            <w:tcBorders/>
          </w:tcPr>
          <w:p>
            <w:pPr>
              <w:spacing w:after="400" w:line="400" w:lineRule="exact"/>
            </w:pPr>
            <w:r>
              <w:t>税前利润</w:t>
            </w:r>
          </w:p>
        </w:tc>
        <w:tc>
          <w:tcPr>
            <w:tcW w:w="1382" w:type="dxa"/>
            <w:tcBorders/>
          </w:tcPr>
          <w:p>
            <w:pPr>
              <w:spacing w:after="400" w:line="400" w:lineRule="exact"/>
            </w:pPr>
            <w:r>
              <w:t>(1,295)</w:t>
            </w:r>
          </w:p>
        </w:tc>
        <w:tc>
          <w:tcPr>
            <w:tcW w:w="1382" w:type="dxa"/>
            <w:tcBorders/>
          </w:tcPr>
          <w:p>
            <w:pPr>
              <w:spacing w:after="400" w:line="400" w:lineRule="exact"/>
            </w:pPr>
            <w:r>
              <w:t>869</w:t>
            </w:r>
          </w:p>
        </w:tc>
        <w:tc>
          <w:tcPr>
            <w:tcW w:w="1382" w:type="dxa"/>
            <w:tcBorders/>
          </w:tcPr>
          <w:p>
            <w:pPr>
              <w:spacing w:after="400" w:line="400" w:lineRule="exact"/>
            </w:pPr>
            <w:r>
              <w:t>3,348</w:t>
            </w:r>
          </w:p>
        </w:tc>
        <w:tc>
          <w:tcPr>
            <w:tcW w:w="1382" w:type="dxa"/>
            <w:tcBorders/>
          </w:tcPr>
          <w:p>
            <w:pPr>
              <w:spacing w:after="400" w:line="400" w:lineRule="exact"/>
            </w:pPr>
            <w:r>
              <w:t>4,095</w:t>
            </w:r>
          </w:p>
        </w:tc>
        <w:tc>
          <w:tcPr>
            <w:tcW w:w="1382" w:type="dxa"/>
            <w:tcBorders/>
          </w:tcPr>
          <w:p>
            <w:pPr>
              <w:spacing w:after="400" w:line="400" w:lineRule="exact"/>
            </w:pPr>
            <w:r>
              <w:t>4,394</w:t>
            </w:r>
          </w:p>
        </w:tc>
      </w:tr>
      <w:tr>
        <w:tc>
          <w:tcPr>
            <w:tcW w:w="1382" w:type="dxa"/>
            <w:tcBorders/>
          </w:tcPr>
          <w:p>
            <w:pPr>
              <w:spacing w:after="400" w:line="400" w:lineRule="exact"/>
            </w:pPr>
            <w:r>
              <w:t>所得税</w:t>
            </w:r>
          </w:p>
        </w:tc>
        <w:tc>
          <w:tcPr>
            <w:tcW w:w="1382" w:type="dxa"/>
            <w:tcBorders/>
          </w:tcPr>
          <w:p>
            <w:pPr>
              <w:spacing w:after="400" w:line="400" w:lineRule="exact"/>
            </w:pPr>
            <w:r>
              <w:t>0</w:t>
            </w:r>
          </w:p>
        </w:tc>
        <w:tc>
          <w:tcPr>
            <w:tcW w:w="1382" w:type="dxa"/>
            <w:tcBorders/>
          </w:tcPr>
          <w:p>
            <w:pPr>
              <w:spacing w:after="400" w:line="400" w:lineRule="exact"/>
            </w:pPr>
            <w:r>
              <w:t>0</w:t>
            </w:r>
          </w:p>
        </w:tc>
        <w:tc>
          <w:tcPr>
            <w:tcW w:w="1382" w:type="dxa"/>
            <w:tcBorders/>
          </w:tcPr>
          <w:p>
            <w:pPr>
              <w:spacing w:after="400" w:line="400" w:lineRule="exact"/>
            </w:pPr>
            <w:r>
              <w:t>(837)</w:t>
            </w:r>
          </w:p>
        </w:tc>
        <w:tc>
          <w:tcPr>
            <w:tcW w:w="1382" w:type="dxa"/>
            <w:tcBorders/>
          </w:tcPr>
          <w:p>
            <w:pPr>
              <w:spacing w:after="400" w:line="400" w:lineRule="exact"/>
            </w:pPr>
            <w:r>
              <w:t>(1,024)</w:t>
            </w:r>
          </w:p>
        </w:tc>
        <w:tc>
          <w:tcPr>
            <w:tcW w:w="1382" w:type="dxa"/>
            <w:tcBorders/>
          </w:tcPr>
          <w:p>
            <w:pPr>
              <w:spacing w:after="400" w:line="400" w:lineRule="exact"/>
            </w:pPr>
            <w:r>
              <w:t>(1,099)</w:t>
            </w:r>
          </w:p>
        </w:tc>
      </w:tr>
      <w:tr>
        <w:tc>
          <w:tcPr>
            <w:tcW w:w="1382" w:type="dxa"/>
            <w:tcBorders/>
          </w:tcPr>
          <w:p>
            <w:pPr>
              <w:spacing w:after="400" w:line="400" w:lineRule="exact"/>
            </w:pPr>
            <w:r>
              <w:t>折旧</w:t>
            </w:r>
          </w:p>
        </w:tc>
        <w:tc>
          <w:tcPr>
            <w:tcW w:w="1382" w:type="dxa"/>
            <w:tcBorders/>
          </w:tcPr>
          <w:p>
            <w:pPr>
              <w:spacing w:after="400" w:line="400" w:lineRule="exact"/>
            </w:pPr>
            <w:r>
              <w:t>5,700</w:t>
            </w:r>
          </w:p>
        </w:tc>
        <w:tc>
          <w:tcPr>
            <w:tcW w:w="1382" w:type="dxa"/>
            <w:tcBorders/>
          </w:tcPr>
          <w:p>
            <w:pPr>
              <w:spacing w:after="400" w:line="400" w:lineRule="exact"/>
            </w:pPr>
            <w:r>
              <w:t>5,700</w:t>
            </w:r>
          </w:p>
        </w:tc>
        <w:tc>
          <w:tcPr>
            <w:tcW w:w="1382" w:type="dxa"/>
            <w:tcBorders/>
          </w:tcPr>
          <w:p>
            <w:pPr>
              <w:spacing w:after="400" w:line="400" w:lineRule="exact"/>
            </w:pPr>
            <w:r>
              <w:t>5,700</w:t>
            </w:r>
          </w:p>
        </w:tc>
        <w:tc>
          <w:tcPr>
            <w:tcW w:w="1382" w:type="dxa"/>
            <w:tcBorders/>
          </w:tcPr>
          <w:p>
            <w:pPr>
              <w:spacing w:after="400" w:line="400" w:lineRule="exact"/>
            </w:pPr>
            <w:r>
              <w:t>5,700</w:t>
            </w:r>
          </w:p>
        </w:tc>
        <w:tc>
          <w:tcPr>
            <w:tcW w:w="1382" w:type="dxa"/>
            <w:tcBorders/>
          </w:tcPr>
          <w:p>
            <w:pPr>
              <w:spacing w:after="400" w:line="400" w:lineRule="exact"/>
            </w:pPr>
            <w:r>
              <w:t>5,700</w:t>
            </w:r>
          </w:p>
        </w:tc>
      </w:tr>
      <w:tr>
        <w:tc>
          <w:tcPr>
            <w:tcW w:w="1382" w:type="dxa"/>
            <w:tcBorders/>
          </w:tcPr>
          <w:p>
            <w:pPr>
              <w:spacing w:after="400" w:line="400" w:lineRule="exact"/>
            </w:pPr>
            <w:r>
              <w:t>经营性现金流</w:t>
            </w:r>
          </w:p>
        </w:tc>
        <w:tc>
          <w:tcPr>
            <w:tcW w:w="1382" w:type="dxa"/>
            <w:tcBorders/>
          </w:tcPr>
          <w:p>
            <w:pPr>
              <w:spacing w:after="400" w:line="400" w:lineRule="exact"/>
            </w:pPr>
            <w:r>
              <w:t>4,405</w:t>
            </w:r>
          </w:p>
        </w:tc>
        <w:tc>
          <w:tcPr>
            <w:tcW w:w="1382" w:type="dxa"/>
            <w:tcBorders/>
          </w:tcPr>
          <w:p>
            <w:pPr>
              <w:spacing w:after="400" w:line="400" w:lineRule="exact"/>
            </w:pPr>
            <w:r>
              <w:t>6,569</w:t>
            </w:r>
          </w:p>
        </w:tc>
        <w:tc>
          <w:tcPr>
            <w:tcW w:w="1382" w:type="dxa"/>
            <w:tcBorders/>
          </w:tcPr>
          <w:p>
            <w:pPr>
              <w:spacing w:after="400" w:line="400" w:lineRule="exact"/>
            </w:pPr>
            <w:r>
              <w:t>8,211</w:t>
            </w:r>
          </w:p>
        </w:tc>
        <w:tc>
          <w:tcPr>
            <w:tcW w:w="1382" w:type="dxa"/>
            <w:tcBorders/>
          </w:tcPr>
          <w:p>
            <w:pPr>
              <w:spacing w:after="400" w:line="400" w:lineRule="exact"/>
            </w:pPr>
            <w:r>
              <w:t>8,771</w:t>
            </w:r>
          </w:p>
        </w:tc>
        <w:tc>
          <w:tcPr>
            <w:tcW w:w="1382" w:type="dxa"/>
            <w:tcBorders/>
          </w:tcPr>
          <w:p>
            <w:pPr>
              <w:spacing w:after="400" w:line="400" w:lineRule="exact"/>
            </w:pPr>
            <w:r>
              <w:t>8,995</w:t>
            </w:r>
          </w:p>
        </w:tc>
      </w:tr>
    </w:tbl>
    <w:p>
      <w:pPr>
        <w:spacing w:before="400" w:after="400" w:line="400" w:lineRule="atLeast"/>
      </w:pPr>
      <w:r>
        <w:rPr>
          <w:b/>
          <w:sz w:val="30"/>
        </w:rPr>
        <w:t xml:space="preserve">7.5 关键财务指标</w:t>
      </w:r>
    </w:p>
    <w:p>
      <w:pPr>
        <w:spacing w:after="400" w:line="400" w:lineRule="atLeast"/>
      </w:pPr>
      <w:r>
        <w:rPr>
          <w:b w:val="true"/>
        </w:rPr>
        <w:t>项目IRR测算</w:t>
      </w:r>
      <w:r>
        <w:t>：</w:t>
      </w:r>
    </w:p>
    <w:p>
      <w:pPr>
        <w:spacing w:after="400" w:line="400" w:lineRule="atLeast"/>
      </w:pPr>
      <w:r>
        <w:t>基于上述现金流，项目全投资IRR约为7.8%，资本金IRR约为12.3%。</w:t>
      </w:r>
    </w:p>
    <w:p>
      <w:pPr>
        <w:spacing w:after="400" w:line="400" w:lineRule="atLeast"/>
      </w:pPr>
      <w:r>
        <w:rPr>
          <w:b w:val="true"/>
        </w:rPr>
        <w:t>容量补偿对项目经济性的贡献</w:t>
      </w:r>
      <w:r>
        <w:t>：</w:t>
      </w:r>
    </w:p>
    <w:p>
      <w:pPr>
        <w:spacing w:after="400" w:line="400" w:lineRule="atLeast"/>
      </w:pPr>
      <w:r>
        <w:t>若无容量补偿，项目IRR将下降至约5.5%，项目经济可行性受到较大影响。容量补偿收入贡献了约2.3个百分点的IRR提升。</w:t>
      </w:r>
    </w:p>
    <w:p>
      <w:pPr>
        <w:spacing w:after="400" w:line="400" w:lineRule="atLeast"/>
      </w:pPr>
      <w:r>
        <w:rPr>
          <w:b w:val="true"/>
        </w:rPr>
        <w:t>债务覆盖率分析</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4148"/>
        <w:gridCol w:w="4148"/>
      </w:tblGrid>
      <w:tr>
        <w:tc>
          <w:tcPr>
            <w:tcW w:w="4148" w:type="dxa"/>
            <w:tcBorders/>
          </w:tcPr>
          <w:p>
            <w:pPr>
              <w:spacing w:after="400" w:line="400" w:lineRule="exact"/>
            </w:pPr>
            <w:r>
              <w:rPr>
                <w:b w:val="true"/>
              </w:rPr>
              <w:t>指标</w:t>
            </w:r>
          </w:p>
        </w:tc>
        <w:tc>
          <w:tcPr>
            <w:tcW w:w="4148" w:type="dxa"/>
            <w:tcBorders/>
          </w:tcPr>
          <w:p>
            <w:pPr>
              <w:spacing w:after="400" w:line="400" w:lineRule="exact"/>
            </w:pPr>
            <w:r>
              <w:rPr>
                <w:b w:val="true"/>
              </w:rPr>
              <w:t>数值</w:t>
            </w:r>
          </w:p>
        </w:tc>
      </w:tr>
      <w:tr>
        <w:tc>
          <w:tcPr>
            <w:tcW w:w="4148" w:type="dxa"/>
            <w:tcBorders/>
          </w:tcPr>
          <w:p>
            <w:pPr>
              <w:spacing w:after="400" w:line="400" w:lineRule="exact"/>
            </w:pPr>
            <w:r>
              <w:t>年均经营性现金流</w:t>
            </w:r>
          </w:p>
        </w:tc>
        <w:tc>
          <w:tcPr>
            <w:tcW w:w="4148" w:type="dxa"/>
            <w:tcBorders/>
          </w:tcPr>
          <w:p>
            <w:pPr>
              <w:spacing w:after="400" w:line="400" w:lineRule="exact"/>
            </w:pPr>
            <w:r>
              <w:t>7,200万元</w:t>
            </w:r>
          </w:p>
        </w:tc>
      </w:tr>
      <w:tr>
        <w:tc>
          <w:tcPr>
            <w:tcW w:w="4148" w:type="dxa"/>
            <w:tcBorders/>
          </w:tcPr>
          <w:p>
            <w:pPr>
              <w:spacing w:after="400" w:line="400" w:lineRule="exact"/>
            </w:pPr>
            <w:r>
              <w:t>年均还本付息额</w:t>
            </w:r>
          </w:p>
        </w:tc>
        <w:tc>
          <w:tcPr>
            <w:tcW w:w="4148" w:type="dxa"/>
            <w:tcBorders/>
          </w:tcPr>
          <w:p>
            <w:pPr>
              <w:spacing w:after="400" w:line="400" w:lineRule="exact"/>
            </w:pPr>
            <w:r>
              <w:t>8,800万元</w:t>
            </w:r>
          </w:p>
        </w:tc>
      </w:tr>
      <w:tr>
        <w:tc>
          <w:tcPr>
            <w:tcW w:w="4148" w:type="dxa"/>
            <w:tcBorders/>
          </w:tcPr>
          <w:p>
            <w:pPr>
              <w:spacing w:after="400" w:line="400" w:lineRule="exact"/>
            </w:pPr>
            <w:r>
              <w:t>债务覆盖率（DSCR）</w:t>
            </w:r>
          </w:p>
        </w:tc>
        <w:tc>
          <w:tcPr>
            <w:tcW w:w="4148" w:type="dxa"/>
            <w:tcBorders/>
          </w:tcPr>
          <w:p>
            <w:pPr>
              <w:spacing w:after="400" w:line="400" w:lineRule="exact"/>
            </w:pPr>
            <w:r>
              <w:t>0.82</w:t>
            </w:r>
          </w:p>
        </w:tc>
      </w:tr>
    </w:tbl>
    <w:p>
      <w:pPr>
        <w:spacing w:before="400" w:after="400" w:line="400" w:lineRule="atLeast"/>
      </w:pPr>
      <w:r>
        <w:t>DSCR低于1.0，表明项目在初期存在资金缺口，需要股东注资或建立准备金账户。</w:t>
      </w:r>
    </w:p>
    <w:p>
      <w:pPr>
        <w:spacing w:after="400" w:line="400" w:lineRule="atLeast"/>
      </w:pPr>
      <w:r>
        <w:rPr>
          <w:b/>
          <w:sz w:val="30"/>
        </w:rPr>
        <w:t xml:space="preserve">7.6 敏感性分析</w:t>
      </w:r>
    </w:p>
    <w:p>
      <w:pPr>
        <w:spacing w:after="400" w:line="400" w:lineRule="atLeast"/>
      </w:pPr>
      <w:r>
        <w:rPr>
          <w:b w:val="true"/>
        </w:rPr>
        <w:t>关键变量敏感性测试</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74"/>
        <w:gridCol w:w="2074"/>
        <w:gridCol w:w="2074"/>
        <w:gridCol w:w="2074"/>
      </w:tblGrid>
      <w:tr>
        <w:tc>
          <w:tcPr>
            <w:tcW w:w="2074" w:type="dxa"/>
            <w:tcBorders/>
          </w:tcPr>
          <w:p>
            <w:pPr>
              <w:spacing w:after="400" w:line="400" w:lineRule="exact"/>
            </w:pPr>
            <w:r>
              <w:rPr>
                <w:b w:val="true"/>
              </w:rPr>
              <w:t>敏感性因素</w:t>
            </w:r>
          </w:p>
        </w:tc>
        <w:tc>
          <w:tcPr>
            <w:tcW w:w="2074" w:type="dxa"/>
            <w:tcBorders/>
          </w:tcPr>
          <w:p>
            <w:pPr>
              <w:spacing w:after="400" w:line="400" w:lineRule="exact"/>
            </w:pPr>
            <w:r>
              <w:rPr>
                <w:b w:val="true"/>
              </w:rPr>
              <w:t>变化幅度</w:t>
            </w:r>
          </w:p>
        </w:tc>
        <w:tc>
          <w:tcPr>
            <w:tcW w:w="2074" w:type="dxa"/>
            <w:tcBorders/>
          </w:tcPr>
          <w:p>
            <w:pPr>
              <w:spacing w:after="400" w:line="400" w:lineRule="exact"/>
            </w:pPr>
            <w:r>
              <w:rPr>
                <w:b w:val="true"/>
              </w:rPr>
              <w:t>IRR变化</w:t>
            </w:r>
          </w:p>
        </w:tc>
        <w:tc>
          <w:tcPr>
            <w:tcW w:w="2074" w:type="dxa"/>
            <w:tcBorders/>
          </w:tcPr>
          <w:p>
            <w:pPr>
              <w:spacing w:after="400" w:line="400" w:lineRule="exact"/>
            </w:pPr>
            <w:r>
              <w:rPr>
                <w:b w:val="true"/>
              </w:rPr>
              <w:t>结论</w:t>
            </w:r>
          </w:p>
        </w:tc>
      </w:tr>
      <w:tr>
        <w:tc>
          <w:tcPr>
            <w:tcW w:w="2074" w:type="dxa"/>
            <w:tcBorders/>
          </w:tcPr>
          <w:p>
            <w:pPr>
              <w:spacing w:after="400" w:line="400" w:lineRule="exact"/>
            </w:pPr>
            <w:r>
              <w:t>容量补偿标准</w:t>
            </w:r>
          </w:p>
        </w:tc>
        <w:tc>
          <w:tcPr>
            <w:tcW w:w="2074" w:type="dxa"/>
            <w:tcBorders/>
          </w:tcPr>
          <w:p>
            <w:pPr>
              <w:spacing w:after="400" w:line="400" w:lineRule="exact"/>
            </w:pPr>
            <w:r>
              <w:t>-20%</w:t>
            </w:r>
          </w:p>
        </w:tc>
        <w:tc>
          <w:tcPr>
            <w:tcW w:w="2074" w:type="dxa"/>
            <w:tcBorders/>
          </w:tcPr>
          <w:p>
            <w:pPr>
              <w:spacing w:after="400" w:line="400" w:lineRule="exact"/>
            </w:pPr>
            <w:r>
              <w:t>-0.7pp</w:t>
            </w:r>
          </w:p>
        </w:tc>
        <w:tc>
          <w:tcPr>
            <w:tcW w:w="2074" w:type="dxa"/>
            <w:tcBorders/>
          </w:tcPr>
          <w:p>
            <w:pPr>
              <w:spacing w:after="400" w:line="400" w:lineRule="exact"/>
            </w:pPr>
            <w:r>
              <w:t>高度敏感</w:t>
            </w:r>
          </w:p>
        </w:tc>
      </w:tr>
      <w:tr>
        <w:tc>
          <w:tcPr>
            <w:tcW w:w="2074" w:type="dxa"/>
            <w:tcBorders/>
          </w:tcPr>
          <w:p>
            <w:pPr>
              <w:spacing w:after="400" w:line="400" w:lineRule="exact"/>
            </w:pPr>
            <w:r>
              <w:t>系统净负荷持续时长（从4小时到8小时）</w:t>
            </w:r>
          </w:p>
        </w:tc>
        <w:tc>
          <w:tcPr>
            <w:tcW w:w="2074" w:type="dxa"/>
            <w:tcBorders/>
          </w:tcPr>
          <w:p>
            <w:pPr>
              <w:spacing w:after="400" w:line="400" w:lineRule="exact"/>
            </w:pPr>
            <w:r>
              <w:t>变化</w:t>
            </w:r>
          </w:p>
        </w:tc>
        <w:tc>
          <w:tcPr>
            <w:tcW w:w="2074" w:type="dxa"/>
            <w:tcBorders/>
          </w:tcPr>
          <w:p>
            <w:pPr>
              <w:spacing w:after="400" w:line="400" w:lineRule="exact"/>
            </w:pPr>
            <w:r>
              <w:t>-2.5pp</w:t>
            </w:r>
          </w:p>
        </w:tc>
        <w:tc>
          <w:tcPr>
            <w:tcW w:w="2074" w:type="dxa"/>
            <w:tcBorders/>
          </w:tcPr>
          <w:p>
            <w:pPr>
              <w:spacing w:after="400" w:line="400" w:lineRule="exact"/>
            </w:pPr>
            <w:r>
              <w:t>极度敏感</w:t>
            </w:r>
          </w:p>
        </w:tc>
      </w:tr>
      <w:tr>
        <w:tc>
          <w:tcPr>
            <w:tcW w:w="2074" w:type="dxa"/>
            <w:tcBorders/>
          </w:tcPr>
          <w:p>
            <w:pPr>
              <w:spacing w:after="400" w:line="400" w:lineRule="exact"/>
            </w:pPr>
            <w:r>
              <w:t>电能量价格</w:t>
            </w:r>
          </w:p>
        </w:tc>
        <w:tc>
          <w:tcPr>
            <w:tcW w:w="2074" w:type="dxa"/>
            <w:tcBorders/>
          </w:tcPr>
          <w:p>
            <w:pPr>
              <w:spacing w:after="400" w:line="400" w:lineRule="exact"/>
            </w:pPr>
            <w:r>
              <w:t>-20%</w:t>
            </w:r>
          </w:p>
        </w:tc>
        <w:tc>
          <w:tcPr>
            <w:tcW w:w="2074" w:type="dxa"/>
            <w:tcBorders/>
          </w:tcPr>
          <w:p>
            <w:pPr>
              <w:spacing w:after="400" w:line="400" w:lineRule="exact"/>
            </w:pPr>
            <w:r>
              <w:t>-1.2pp</w:t>
            </w:r>
          </w:p>
        </w:tc>
        <w:tc>
          <w:tcPr>
            <w:tcW w:w="2074" w:type="dxa"/>
            <w:tcBorders/>
          </w:tcPr>
          <w:p>
            <w:pPr>
              <w:spacing w:after="400" w:line="400" w:lineRule="exact"/>
            </w:pPr>
            <w:r>
              <w:t>高度敏感</w:t>
            </w:r>
          </w:p>
        </w:tc>
      </w:tr>
      <w:tr>
        <w:tc>
          <w:tcPr>
            <w:tcW w:w="2074" w:type="dxa"/>
            <w:tcBorders/>
          </w:tcPr>
          <w:p>
            <w:pPr>
              <w:spacing w:after="400" w:line="400" w:lineRule="exact"/>
            </w:pPr>
            <w:r>
              <w:t>利用小时数</w:t>
            </w:r>
          </w:p>
        </w:tc>
        <w:tc>
          <w:tcPr>
            <w:tcW w:w="2074" w:type="dxa"/>
            <w:tcBorders/>
          </w:tcPr>
          <w:p>
            <w:pPr>
              <w:spacing w:after="400" w:line="400" w:lineRule="exact"/>
            </w:pPr>
            <w:r>
              <w:t>-20%</w:t>
            </w:r>
          </w:p>
        </w:tc>
        <w:tc>
          <w:tcPr>
            <w:tcW w:w="2074" w:type="dxa"/>
            <w:tcBorders/>
          </w:tcPr>
          <w:p>
            <w:pPr>
              <w:spacing w:after="400" w:line="400" w:lineRule="exact"/>
            </w:pPr>
            <w:r>
              <w:t>-1.5pp</w:t>
            </w:r>
          </w:p>
        </w:tc>
        <w:tc>
          <w:tcPr>
            <w:tcW w:w="2074" w:type="dxa"/>
            <w:tcBorders/>
          </w:tcPr>
          <w:p>
            <w:pPr>
              <w:spacing w:after="400" w:line="400" w:lineRule="exact"/>
            </w:pPr>
            <w:r>
              <w:t>高度敏感</w:t>
            </w:r>
          </w:p>
        </w:tc>
      </w:tr>
      <w:tr>
        <w:tc>
          <w:tcPr>
            <w:tcW w:w="2074" w:type="dxa"/>
            <w:tcBorders/>
          </w:tcPr>
          <w:p>
            <w:pPr>
              <w:spacing w:after="400" w:line="400" w:lineRule="exact"/>
            </w:pPr>
            <w:r>
              <w:t>投资成本</w:t>
            </w:r>
          </w:p>
        </w:tc>
        <w:tc>
          <w:tcPr>
            <w:tcW w:w="2074" w:type="dxa"/>
            <w:tcBorders/>
          </w:tcPr>
          <w:p>
            <w:pPr>
              <w:spacing w:after="400" w:line="400" w:lineRule="exact"/>
            </w:pPr>
            <w:r>
              <w:t>+20%</w:t>
            </w:r>
          </w:p>
        </w:tc>
        <w:tc>
          <w:tcPr>
            <w:tcW w:w="2074" w:type="dxa"/>
            <w:tcBorders/>
          </w:tcPr>
          <w:p>
            <w:pPr>
              <w:spacing w:after="400" w:line="400" w:lineRule="exact"/>
            </w:pPr>
            <w:r>
              <w:t>-1.8pp</w:t>
            </w:r>
          </w:p>
        </w:tc>
        <w:tc>
          <w:tcPr>
            <w:tcW w:w="2074" w:type="dxa"/>
            <w:tcBorders/>
          </w:tcPr>
          <w:p>
            <w:pPr>
              <w:spacing w:after="400" w:line="400" w:lineRule="exact"/>
            </w:pPr>
            <w:r>
              <w:t>高度敏感</w:t>
            </w:r>
          </w:p>
        </w:tc>
      </w:tr>
      <w:tr>
        <w:tc>
          <w:tcPr>
            <w:tcW w:w="2074" w:type="dxa"/>
            <w:tcBorders/>
          </w:tcPr>
          <w:p>
            <w:pPr>
              <w:spacing w:after="400" w:line="400" w:lineRule="exact"/>
            </w:pPr>
            <w:r>
              <w:t>厂用电率</w:t>
            </w:r>
          </w:p>
        </w:tc>
        <w:tc>
          <w:tcPr>
            <w:tcW w:w="2074" w:type="dxa"/>
            <w:tcBorders/>
          </w:tcPr>
          <w:p>
            <w:pPr>
              <w:spacing w:after="400" w:line="400" w:lineRule="exact"/>
            </w:pPr>
            <w:r>
              <w:t>+2pp</w:t>
            </w:r>
          </w:p>
        </w:tc>
        <w:tc>
          <w:tcPr>
            <w:tcW w:w="2074" w:type="dxa"/>
            <w:tcBorders/>
          </w:tcPr>
          <w:p>
            <w:pPr>
              <w:spacing w:after="400" w:line="400" w:lineRule="exact"/>
            </w:pPr>
            <w:r>
              <w:t>-0.3pp</w:t>
            </w:r>
          </w:p>
        </w:tc>
        <w:tc>
          <w:tcPr>
            <w:tcW w:w="2074" w:type="dxa"/>
            <w:tcBorders/>
          </w:tcPr>
          <w:p>
            <w:pPr>
              <w:spacing w:after="400" w:line="400" w:lineRule="exact"/>
            </w:pPr>
            <w:r>
              <w:t>中度敏感</w:t>
            </w:r>
          </w:p>
        </w:tc>
      </w:tr>
      <w:tr>
        <w:tc>
          <w:tcPr>
            <w:tcW w:w="2074" w:type="dxa"/>
            <w:tcBorders/>
          </w:tcPr>
          <w:p>
            <w:pPr>
              <w:spacing w:after="400" w:line="400" w:lineRule="exact"/>
            </w:pPr>
            <w:r>
              <w:t>容量供需系数</w:t>
            </w:r>
          </w:p>
        </w:tc>
        <w:tc>
          <w:tcPr>
            <w:tcW w:w="2074" w:type="dxa"/>
            <w:tcBorders/>
          </w:tcPr>
          <w:p>
            <w:pPr>
              <w:spacing w:after="400" w:line="400" w:lineRule="exact"/>
            </w:pPr>
            <w:r>
              <w:t>-10%</w:t>
            </w:r>
          </w:p>
        </w:tc>
        <w:tc>
          <w:tcPr>
            <w:tcW w:w="2074" w:type="dxa"/>
            <w:tcBorders/>
          </w:tcPr>
          <w:p>
            <w:pPr>
              <w:spacing w:after="400" w:line="400" w:lineRule="exact"/>
            </w:pPr>
            <w:r>
              <w:t>-0.2pp</w:t>
            </w:r>
          </w:p>
        </w:tc>
        <w:tc>
          <w:tcPr>
            <w:tcW w:w="2074" w:type="dxa"/>
            <w:tcBorders/>
          </w:tcPr>
          <w:p>
            <w:pPr>
              <w:spacing w:after="400" w:line="400" w:lineRule="exact"/>
            </w:pPr>
            <w:r>
              <w:t>低度敏感</w:t>
            </w:r>
          </w:p>
        </w:tc>
      </w:tr>
    </w:tbl>
    <w:p>
      <w:pPr>
        <w:spacing w:before="400" w:after="400" w:line="400" w:lineRule="atLeast"/>
      </w:pPr>
      <w:r>
        <w:rPr>
          <w:b w:val="true"/>
        </w:rPr>
        <w:t>核心发现</w:t>
      </w:r>
      <w:r>
        <w:t>：系统净负荷持续时长的变化是对项目IRR影响最大的单一因素，进一步印证了政策参数选择对项目经济性的决定性影响。</w:t>
      </w:r>
    </w:p>
    <w:p>
      <w:pPr>
        <w:spacing w:after="400" w:line="400" w:lineRule="atLeast"/>
      </w:pPr>
      <w:r>
        <w:rPr>
          <w:b/>
          <w:sz w:val="33"/>
        </w:rPr>
        <w:t xml:space="preserve">第八章 政策趋势分析与投资建议</w:t>
      </w:r>
    </w:p>
    <w:p>
      <w:pPr>
        <w:spacing w:after="400" w:line="400" w:lineRule="atLeast"/>
      </w:pPr>
      <w:r>
        <w:rPr>
          <w:b/>
          <w:sz w:val="30"/>
        </w:rPr>
        <w:t xml:space="preserve">8.1 政策演变趋势研判</w:t>
      </w:r>
    </w:p>
    <w:p>
      <w:pPr>
        <w:spacing w:after="400" w:line="400" w:lineRule="atLeast"/>
      </w:pPr>
      <w:r>
        <w:rPr>
          <w:b w:val="true"/>
        </w:rPr>
        <w:t>从"征求意见稿"看政策走向</w:t>
      </w:r>
      <w:r>
        <w:t>：</w:t>
      </w:r>
    </w:p>
    <w:p>
      <w:pPr>
        <w:spacing w:after="400" w:line="400" w:lineRule="atLeast"/>
      </w:pPr>
      <w:r>
        <w:t>当前文件仍处于征求意见阶段，最终政策可能有所调整。但从两轮征求意见稿的对比，可以研判以下趋势：</w:t>
      </w:r>
    </w:p>
    <w:p>
      <w:pPr>
        <w:numPr>
          <w:ilvl w:val="0"/>
          <w:numId w:val="18"/>
        </w:numPr>
        <w:spacing w:after="400" w:line="400" w:lineRule="atLeast"/>
      </w:pPr>
      <w:r>
        <w:rPr>
          <w:b w:val="true"/>
        </w:rPr>
        <w:t>容量补偿机制将常态化</w:t>
      </w:r>
      <w:r>
        <w:t>：征求意见稿明确提出"按年制定公布"相关参数，表明容量补偿机制将作为长期制度存在。</w:t>
      </w:r>
    </w:p>
    <w:p>
      <w:pPr>
        <w:numPr>
          <w:ilvl w:val="0"/>
          <w:numId w:val="18"/>
        </w:numPr>
        <w:spacing w:after="400" w:line="400" w:lineRule="atLeast"/>
      </w:pPr>
      <w:r>
        <w:rPr>
          <w:b w:val="true"/>
        </w:rPr>
        <w:t>补偿标准将动态调整</w:t>
      </w:r>
      <w:r>
        <w:t>：政策预留了补偿标准的调整空间，后期将"按照回收边际机组全部或一定比例固定成本计算确定"。</w:t>
      </w:r>
    </w:p>
    <w:p>
      <w:pPr>
        <w:numPr>
          <w:ilvl w:val="0"/>
          <w:numId w:val="18"/>
        </w:numPr>
        <w:spacing w:after="400" w:line="400" w:lineRule="atLeast"/>
      </w:pPr>
      <w:r>
        <w:rPr>
          <w:b w:val="true"/>
        </w:rPr>
        <w:t>长时储能将获更多支持</w:t>
      </w:r>
      <w:r>
        <w:t>：从4小时到8小时持续时长要求的调整，明确传递了支持长时储能的政策信号。未来可能出台针对长时储能的专项支持政策。</w:t>
      </w:r>
    </w:p>
    <w:p>
      <w:pPr>
        <w:numPr>
          <w:ilvl w:val="0"/>
          <w:numId w:val="18"/>
        </w:numPr>
        <w:spacing w:after="400" w:line="400" w:lineRule="atLeast"/>
      </w:pPr>
      <w:r>
        <w:rPr>
          <w:b w:val="true"/>
        </w:rPr>
        <w:t>考核趋严</w:t>
      </w:r>
      <w:r>
        <w:t>：严格的月度考核机制表明，监管机构将确保补偿资金用于激励真实的保供能力，避免"骗补"行为。</w:t>
      </w:r>
    </w:p>
    <w:p>
      <w:pPr>
        <w:numPr>
          <w:ilvl w:val="0"/>
          <w:numId w:val="18"/>
        </w:numPr>
        <w:spacing w:after="400" w:line="400" w:lineRule="atLeast"/>
      </w:pPr>
      <w:r>
        <w:rPr>
          <w:b w:val="true"/>
        </w:rPr>
        <w:t>政策仍在完善中</w:t>
      </w:r>
      <w:r>
        <w:t>：2026年4月21日至5月7日再次公开征求意见，表明监管部门正在认真研究各方意见，最终政策可能与征求意见稿有所差异。</w:t>
      </w:r>
    </w:p>
    <w:p>
      <w:pPr>
        <w:spacing w:after="400" w:line="400" w:lineRule="atLeast"/>
      </w:pPr>
      <w:r>
        <w:rPr>
          <w:b w:val="true"/>
        </w:rPr>
        <w:t>政策不确定性风险</w:t>
      </w:r>
      <w:r>
        <w:t>：</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765"/>
        <w:gridCol w:w="2765"/>
        <w:gridCol w:w="2765"/>
      </w:tblGrid>
      <w:tr>
        <w:tc>
          <w:tcPr>
            <w:tcW w:w="2765" w:type="dxa"/>
            <w:tcBorders/>
          </w:tcPr>
          <w:p>
            <w:pPr>
              <w:spacing w:after="400" w:line="400" w:lineRule="exact"/>
            </w:pPr>
            <w:r>
              <w:rPr>
                <w:b w:val="true"/>
              </w:rPr>
              <w:t>风险类型</w:t>
            </w:r>
          </w:p>
        </w:tc>
        <w:tc>
          <w:tcPr>
            <w:tcW w:w="2765" w:type="dxa"/>
            <w:tcBorders/>
          </w:tcPr>
          <w:p>
            <w:pPr>
              <w:spacing w:after="400" w:line="400" w:lineRule="exact"/>
            </w:pPr>
            <w:r>
              <w:rPr>
                <w:b w:val="true"/>
              </w:rPr>
              <w:t>风险描述</w:t>
            </w:r>
          </w:p>
        </w:tc>
        <w:tc>
          <w:tcPr>
            <w:tcW w:w="2765" w:type="dxa"/>
            <w:tcBorders/>
          </w:tcPr>
          <w:p>
            <w:pPr>
              <w:spacing w:after="400" w:line="400" w:lineRule="exact"/>
            </w:pPr>
            <w:r>
              <w:rPr>
                <w:b w:val="true"/>
              </w:rPr>
              <w:t>影响程度</w:t>
            </w:r>
          </w:p>
        </w:tc>
      </w:tr>
      <w:tr>
        <w:tc>
          <w:tcPr>
            <w:tcW w:w="2765" w:type="dxa"/>
            <w:tcBorders/>
          </w:tcPr>
          <w:p>
            <w:pPr>
              <w:spacing w:after="400" w:line="400" w:lineRule="exact"/>
            </w:pPr>
            <w:r>
              <w:t>参数调整风险</w:t>
            </w:r>
          </w:p>
        </w:tc>
        <w:tc>
          <w:tcPr>
            <w:tcW w:w="2765" w:type="dxa"/>
            <w:tcBorders/>
          </w:tcPr>
          <w:p>
            <w:pPr>
              <w:spacing w:after="400" w:line="400" w:lineRule="exact"/>
            </w:pPr>
            <w:r>
              <w:t>容量补偿标准、容量供需系数、持续时长等参数可能调整</w:t>
            </w:r>
          </w:p>
        </w:tc>
        <w:tc>
          <w:tcPr>
            <w:tcW w:w="2765" w:type="dxa"/>
            <w:tcBorders/>
          </w:tcPr>
          <w:p>
            <w:pPr>
              <w:spacing w:after="400" w:line="400" w:lineRule="exact"/>
            </w:pPr>
            <w:r>
              <w:t>高</w:t>
            </w:r>
          </w:p>
        </w:tc>
      </w:tr>
      <w:tr>
        <w:tc>
          <w:tcPr>
            <w:tcW w:w="2765" w:type="dxa"/>
            <w:tcBorders/>
          </w:tcPr>
          <w:p>
            <w:pPr>
              <w:spacing w:after="400" w:line="400" w:lineRule="exact"/>
            </w:pPr>
            <w:r>
              <w:t>标准下调风险</w:t>
            </w:r>
          </w:p>
        </w:tc>
        <w:tc>
          <w:tcPr>
            <w:tcW w:w="2765" w:type="dxa"/>
            <w:tcBorders/>
          </w:tcPr>
          <w:p>
            <w:pPr>
              <w:spacing w:after="400" w:line="400" w:lineRule="exact"/>
            </w:pPr>
            <w:r>
              <w:t>容量补偿标准可能随系统容量充裕度提升而下调</w:t>
            </w:r>
          </w:p>
        </w:tc>
        <w:tc>
          <w:tcPr>
            <w:tcW w:w="2765" w:type="dxa"/>
            <w:tcBorders/>
          </w:tcPr>
          <w:p>
            <w:pPr>
              <w:spacing w:after="400" w:line="400" w:lineRule="exact"/>
            </w:pPr>
            <w:r>
              <w:t>中</w:t>
            </w:r>
          </w:p>
        </w:tc>
      </w:tr>
      <w:tr>
        <w:tc>
          <w:tcPr>
            <w:tcW w:w="2765" w:type="dxa"/>
            <w:tcBorders/>
          </w:tcPr>
          <w:p>
            <w:pPr>
              <w:spacing w:after="400" w:line="400" w:lineRule="exact"/>
            </w:pPr>
            <w:r>
              <w:t>考核加码风险</w:t>
            </w:r>
          </w:p>
        </w:tc>
        <w:tc>
          <w:tcPr>
            <w:tcW w:w="2765" w:type="dxa"/>
            <w:tcBorders/>
          </w:tcPr>
          <w:p>
            <w:pPr>
              <w:spacing w:after="400" w:line="400" w:lineRule="exact"/>
            </w:pPr>
            <w:r>
              <w:t>考核时段延长、考核标准提高</w:t>
            </w:r>
          </w:p>
        </w:tc>
        <w:tc>
          <w:tcPr>
            <w:tcW w:w="2765" w:type="dxa"/>
            <w:tcBorders/>
          </w:tcPr>
          <w:p>
            <w:pPr>
              <w:spacing w:after="400" w:line="400" w:lineRule="exact"/>
            </w:pPr>
            <w:r>
              <w:t>中</w:t>
            </w:r>
          </w:p>
        </w:tc>
      </w:tr>
      <w:tr>
        <w:tc>
          <w:tcPr>
            <w:tcW w:w="2765" w:type="dxa"/>
            <w:tcBorders/>
          </w:tcPr>
          <w:p>
            <w:pPr>
              <w:spacing w:after="400" w:line="400" w:lineRule="exact"/>
            </w:pPr>
            <w:r>
              <w:t>政策终止风险</w:t>
            </w:r>
          </w:p>
        </w:tc>
        <w:tc>
          <w:tcPr>
            <w:tcW w:w="2765" w:type="dxa"/>
            <w:tcBorders/>
          </w:tcPr>
          <w:p>
            <w:pPr>
              <w:spacing w:after="400" w:line="400" w:lineRule="exact"/>
            </w:pPr>
            <w:r>
              <w:t>容量市场被其他机制替代</w:t>
            </w:r>
          </w:p>
        </w:tc>
        <w:tc>
          <w:tcPr>
            <w:tcW w:w="2765" w:type="dxa"/>
            <w:tcBorders/>
          </w:tcPr>
          <w:p>
            <w:pPr>
              <w:spacing w:after="400" w:line="400" w:lineRule="exact"/>
            </w:pPr>
            <w:r>
              <w:t>低</w:t>
            </w:r>
          </w:p>
        </w:tc>
      </w:tr>
    </w:tbl>
    <w:p>
      <w:pPr>
        <w:spacing w:before="400" w:after="400" w:line="400" w:lineRule="atLeast"/>
      </w:pPr>
      <w:r>
        <w:rPr>
          <w:b/>
          <w:sz w:val="30"/>
        </w:rPr>
        <w:t xml:space="preserve">8.2 不同储能技术路线对比</w:t>
      </w:r>
    </w:p>
    <w:p>
      <w:pPr>
        <w:spacing w:after="400" w:line="400" w:lineRule="atLeast"/>
      </w:pPr>
      <w:r>
        <w:t>在当前政策框架下，不同储能技术路线的容量补偿收益存在显著差异：</w:t>
      </w:r>
    </w:p>
    <w:tb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1659"/>
        <w:gridCol w:w="1659"/>
        <w:gridCol w:w="1659"/>
        <w:gridCol w:w="1659"/>
        <w:gridCol w:w="1659"/>
      </w:tblGrid>
      <w:tr>
        <w:tc>
          <w:tcPr>
            <w:tcW w:w="1659" w:type="dxa"/>
            <w:tcBorders/>
          </w:tcPr>
          <w:p>
            <w:pPr>
              <w:spacing w:after="400" w:line="400" w:lineRule="exact"/>
            </w:pPr>
            <w:r>
              <w:rPr>
                <w:b w:val="true"/>
              </w:rPr>
              <w:t>技术路线</w:t>
            </w:r>
          </w:p>
        </w:tc>
        <w:tc>
          <w:tcPr>
            <w:tcW w:w="1659" w:type="dxa"/>
            <w:tcBorders/>
          </w:tcPr>
          <w:p>
            <w:pPr>
              <w:spacing w:after="400" w:line="400" w:lineRule="exact"/>
            </w:pPr>
            <w:r>
              <w:rPr>
                <w:b w:val="true"/>
              </w:rPr>
              <w:t>典型时长</w:t>
            </w:r>
          </w:p>
        </w:tc>
        <w:tc>
          <w:tcPr>
            <w:tcW w:w="1659" w:type="dxa"/>
            <w:tcBorders/>
          </w:tcPr>
          <w:p>
            <w:pPr>
              <w:spacing w:after="400" w:line="400" w:lineRule="exact"/>
            </w:pPr>
            <w:r>
              <w:rPr>
                <w:b w:val="true"/>
              </w:rPr>
              <w:t>可靠容量系数（8小时要求）</w:t>
            </w:r>
          </w:p>
        </w:tc>
        <w:tc>
          <w:tcPr>
            <w:tcW w:w="1659" w:type="dxa"/>
            <w:tcBorders/>
          </w:tcPr>
          <w:p>
            <w:pPr>
              <w:spacing w:after="400" w:line="400" w:lineRule="exact"/>
            </w:pPr>
            <w:r>
              <w:rPr>
                <w:b w:val="true"/>
              </w:rPr>
              <w:t>单位容量补偿(元/kW·年)</w:t>
            </w:r>
          </w:p>
        </w:tc>
        <w:tc>
          <w:tcPr>
            <w:tcW w:w="1659" w:type="dxa"/>
            <w:tcBorders/>
          </w:tcPr>
          <w:p>
            <w:pPr>
              <w:spacing w:after="400" w:line="400" w:lineRule="exact"/>
            </w:pPr>
            <w:r>
              <w:rPr>
                <w:b w:val="true"/>
              </w:rPr>
              <w:t>适用性评价</w:t>
            </w:r>
          </w:p>
        </w:tc>
      </w:tr>
      <w:tr>
        <w:tc>
          <w:tcPr>
            <w:tcW w:w="1659" w:type="dxa"/>
            <w:tcBorders/>
          </w:tcPr>
          <w:p>
            <w:pPr>
              <w:spacing w:after="400" w:line="400" w:lineRule="exact"/>
            </w:pPr>
            <w:r>
              <w:t>磷酸铁锂储能</w:t>
            </w:r>
          </w:p>
        </w:tc>
        <w:tc>
          <w:tcPr>
            <w:tcW w:w="1659" w:type="dxa"/>
            <w:tcBorders/>
          </w:tcPr>
          <w:p>
            <w:pPr>
              <w:spacing w:after="400" w:line="400" w:lineRule="exact"/>
            </w:pPr>
            <w:r>
              <w:t>2小时</w:t>
            </w:r>
          </w:p>
        </w:tc>
        <w:tc>
          <w:tcPr>
            <w:tcW w:w="1659" w:type="dxa"/>
            <w:tcBorders/>
          </w:tcPr>
          <w:p>
            <w:pPr>
              <w:spacing w:after="400" w:line="400" w:lineRule="exact"/>
            </w:pPr>
            <w:r>
              <w:t>22%</w:t>
            </w:r>
          </w:p>
        </w:tc>
        <w:tc>
          <w:tcPr>
            <w:tcW w:w="1659" w:type="dxa"/>
            <w:tcBorders/>
          </w:tcPr>
          <w:p>
            <w:pPr>
              <w:spacing w:after="400" w:line="400" w:lineRule="exact"/>
            </w:pPr>
            <w:r>
              <w:t>37</w:t>
            </w:r>
          </w:p>
        </w:tc>
        <w:tc>
          <w:tcPr>
            <w:tcW w:w="1659" w:type="dxa"/>
            <w:tcBorders/>
          </w:tcPr>
          <w:p>
            <w:pPr>
              <w:spacing w:after="400" w:line="400" w:lineRule="exact"/>
            </w:pPr>
            <w:r>
              <w:t>补偿较低，依赖电能量收入</w:t>
            </w:r>
          </w:p>
        </w:tc>
      </w:tr>
      <w:tr>
        <w:tc>
          <w:tcPr>
            <w:tcW w:w="1659" w:type="dxa"/>
            <w:tcBorders/>
          </w:tcPr>
          <w:p>
            <w:pPr>
              <w:spacing w:after="400" w:line="400" w:lineRule="exact"/>
            </w:pPr>
            <w:r>
              <w:t>磷酸铁锂储能</w:t>
            </w:r>
          </w:p>
        </w:tc>
        <w:tc>
          <w:tcPr>
            <w:tcW w:w="1659" w:type="dxa"/>
            <w:tcBorders/>
          </w:tcPr>
          <w:p>
            <w:pPr>
              <w:spacing w:after="400" w:line="400" w:lineRule="exact"/>
            </w:pPr>
            <w:r>
              <w:t>4小时</w:t>
            </w:r>
          </w:p>
        </w:tc>
        <w:tc>
          <w:tcPr>
            <w:tcW w:w="1659" w:type="dxa"/>
            <w:tcBorders/>
          </w:tcPr>
          <w:p>
            <w:pPr>
              <w:spacing w:after="400" w:line="400" w:lineRule="exact"/>
            </w:pPr>
            <w:r>
              <w:t>45%</w:t>
            </w:r>
          </w:p>
        </w:tc>
        <w:tc>
          <w:tcPr>
            <w:tcW w:w="1659" w:type="dxa"/>
            <w:tcBorders/>
          </w:tcPr>
          <w:p>
            <w:pPr>
              <w:spacing w:after="400" w:line="400" w:lineRule="exact"/>
            </w:pPr>
            <w:r>
              <w:t>74</w:t>
            </w:r>
          </w:p>
        </w:tc>
        <w:tc>
          <w:tcPr>
            <w:tcW w:w="1659" w:type="dxa"/>
            <w:tcBorders/>
          </w:tcPr>
          <w:p>
            <w:pPr>
              <w:spacing w:after="400" w:line="400" w:lineRule="exact"/>
            </w:pPr>
            <w:r>
              <w:t>中等补偿，需权衡成本</w:t>
            </w:r>
          </w:p>
        </w:tc>
      </w:tr>
      <w:tr>
        <w:tc>
          <w:tcPr>
            <w:tcW w:w="1659" w:type="dxa"/>
            <w:tcBorders/>
          </w:tcPr>
          <w:p>
            <w:pPr>
              <w:spacing w:after="400" w:line="400" w:lineRule="exact"/>
            </w:pPr>
            <w:r>
              <w:t>磷酸铁锂储能</w:t>
            </w:r>
          </w:p>
        </w:tc>
        <w:tc>
          <w:tcPr>
            <w:tcW w:w="1659" w:type="dxa"/>
            <w:tcBorders/>
          </w:tcPr>
          <w:p>
            <w:pPr>
              <w:spacing w:after="400" w:line="400" w:lineRule="exact"/>
            </w:pPr>
            <w:r>
              <w:t>6小时</w:t>
            </w:r>
          </w:p>
        </w:tc>
        <w:tc>
          <w:tcPr>
            <w:tcW w:w="1659" w:type="dxa"/>
            <w:tcBorders/>
          </w:tcPr>
          <w:p>
            <w:pPr>
              <w:spacing w:after="400" w:line="400" w:lineRule="exact"/>
            </w:pPr>
            <w:r>
              <w:t>67%</w:t>
            </w:r>
          </w:p>
        </w:tc>
        <w:tc>
          <w:tcPr>
            <w:tcW w:w="1659" w:type="dxa"/>
            <w:tcBorders/>
          </w:tcPr>
          <w:p>
            <w:pPr>
              <w:spacing w:after="400" w:line="400" w:lineRule="exact"/>
            </w:pPr>
            <w:r>
              <w:t>111</w:t>
            </w:r>
          </w:p>
        </w:tc>
        <w:tc>
          <w:tcPr>
            <w:tcW w:w="1659" w:type="dxa"/>
            <w:tcBorders/>
          </w:tcPr>
          <w:p>
            <w:pPr>
              <w:spacing w:after="400" w:line="400" w:lineRule="exact"/>
            </w:pPr>
            <w:r>
              <w:t>中等补偿</w:t>
            </w:r>
          </w:p>
        </w:tc>
      </w:tr>
      <w:tr>
        <w:tc>
          <w:tcPr>
            <w:tcW w:w="1659" w:type="dxa"/>
            <w:tcBorders/>
          </w:tcPr>
          <w:p>
            <w:pPr>
              <w:spacing w:after="400" w:line="400" w:lineRule="exact"/>
            </w:pPr>
            <w:r>
              <w:t>磷酸铁锂储能</w:t>
            </w:r>
          </w:p>
        </w:tc>
        <w:tc>
          <w:tcPr>
            <w:tcW w:w="1659" w:type="dxa"/>
            <w:tcBorders/>
          </w:tcPr>
          <w:p>
            <w:pPr>
              <w:spacing w:after="400" w:line="400" w:lineRule="exact"/>
            </w:pPr>
            <w:r>
              <w:t>8小时+</w:t>
            </w:r>
          </w:p>
        </w:tc>
        <w:tc>
          <w:tcPr>
            <w:tcW w:w="1659" w:type="dxa"/>
            <w:tcBorders/>
          </w:tcPr>
          <w:p>
            <w:pPr>
              <w:spacing w:after="400" w:line="400" w:lineRule="exact"/>
            </w:pPr>
            <w:r>
              <w:t>90%</w:t>
            </w:r>
          </w:p>
        </w:tc>
        <w:tc>
          <w:tcPr>
            <w:tcW w:w="1659" w:type="dxa"/>
            <w:tcBorders/>
          </w:tcPr>
          <w:p>
            <w:pPr>
              <w:spacing w:after="400" w:line="400" w:lineRule="exact"/>
            </w:pPr>
            <w:r>
              <w:t>148</w:t>
            </w:r>
          </w:p>
        </w:tc>
        <w:tc>
          <w:tcPr>
            <w:tcW w:w="1659" w:type="dxa"/>
            <w:tcBorders/>
          </w:tcPr>
          <w:p>
            <w:pPr>
              <w:spacing w:after="400" w:line="400" w:lineRule="exact"/>
            </w:pPr>
            <w:r>
              <w:t>补偿最优，但成本显著上升</w:t>
            </w:r>
          </w:p>
        </w:tc>
      </w:tr>
      <w:tr>
        <w:tc>
          <w:tcPr>
            <w:tcW w:w="1659" w:type="dxa"/>
            <w:tcBorders/>
          </w:tcPr>
          <w:p>
            <w:pPr>
              <w:spacing w:after="400" w:line="400" w:lineRule="exact"/>
            </w:pPr>
            <w:r>
              <w:t>全钒液流电池</w:t>
            </w:r>
          </w:p>
        </w:tc>
        <w:tc>
          <w:tcPr>
            <w:tcW w:w="1659" w:type="dxa"/>
            <w:tcBorders/>
          </w:tcPr>
          <w:p>
            <w:pPr>
              <w:spacing w:after="400" w:line="400" w:lineRule="exact"/>
            </w:pPr>
            <w:r>
              <w:t>4-8小时</w:t>
            </w:r>
          </w:p>
        </w:tc>
        <w:tc>
          <w:tcPr>
            <w:tcW w:w="1659" w:type="dxa"/>
            <w:tcBorders/>
          </w:tcPr>
          <w:p>
            <w:pPr>
              <w:spacing w:after="400" w:line="400" w:lineRule="exact"/>
            </w:pPr>
            <w:r>
              <w:t>45%-90%</w:t>
            </w:r>
          </w:p>
        </w:tc>
        <w:tc>
          <w:tcPr>
            <w:tcW w:w="1659" w:type="dxa"/>
            <w:tcBorders/>
          </w:tcPr>
          <w:p>
            <w:pPr>
              <w:spacing w:after="400" w:line="400" w:lineRule="exact"/>
            </w:pPr>
            <w:r>
              <w:t>74-148</w:t>
            </w:r>
          </w:p>
        </w:tc>
        <w:tc>
          <w:tcPr>
            <w:tcW w:w="1659" w:type="dxa"/>
            <w:tcBorders/>
          </w:tcPr>
          <w:p>
            <w:pPr>
              <w:spacing w:after="400" w:line="400" w:lineRule="exact"/>
            </w:pPr>
            <w:r>
              <w:t>补偿较高，但初始成本高</w:t>
            </w:r>
          </w:p>
        </w:tc>
      </w:tr>
      <w:tr>
        <w:tc>
          <w:tcPr>
            <w:tcW w:w="1659" w:type="dxa"/>
            <w:tcBorders/>
          </w:tcPr>
          <w:p>
            <w:pPr>
              <w:spacing w:after="400" w:line="400" w:lineRule="exact"/>
            </w:pPr>
            <w:r>
              <w:t>压缩空气储能</w:t>
            </w:r>
          </w:p>
        </w:tc>
        <w:tc>
          <w:tcPr>
            <w:tcW w:w="1659" w:type="dxa"/>
            <w:tcBorders/>
          </w:tcPr>
          <w:p>
            <w:pPr>
              <w:spacing w:after="400" w:line="400" w:lineRule="exact"/>
            </w:pPr>
            <w:r>
              <w:t>8小时+</w:t>
            </w:r>
          </w:p>
        </w:tc>
        <w:tc>
          <w:tcPr>
            <w:tcW w:w="1659" w:type="dxa"/>
            <w:tcBorders/>
          </w:tcPr>
          <w:p>
            <w:pPr>
              <w:spacing w:after="400" w:line="400" w:lineRule="exact"/>
            </w:pPr>
            <w:r>
              <w:t>90%</w:t>
            </w:r>
          </w:p>
        </w:tc>
        <w:tc>
          <w:tcPr>
            <w:tcW w:w="1659" w:type="dxa"/>
            <w:tcBorders/>
          </w:tcPr>
          <w:p>
            <w:pPr>
              <w:spacing w:after="400" w:line="400" w:lineRule="exact"/>
            </w:pPr>
            <w:r>
              <w:t>148</w:t>
            </w:r>
          </w:p>
        </w:tc>
        <w:tc>
          <w:tcPr>
            <w:tcW w:w="1659" w:type="dxa"/>
            <w:tcBorders/>
          </w:tcPr>
          <w:p>
            <w:pPr>
              <w:spacing w:after="400" w:line="400" w:lineRule="exact"/>
            </w:pPr>
            <w:r>
              <w:t>补偿最优，适合大规模项目</w:t>
            </w:r>
          </w:p>
        </w:tc>
      </w:tr>
      <w:tr>
        <w:tc>
          <w:tcPr>
            <w:tcW w:w="1659" w:type="dxa"/>
            <w:tcBorders/>
          </w:tcPr>
          <w:p>
            <w:pPr>
              <w:spacing w:after="400" w:line="400" w:lineRule="exact"/>
            </w:pPr>
            <w:r>
              <w:t>抽水蓄能</w:t>
            </w:r>
          </w:p>
        </w:tc>
        <w:tc>
          <w:tcPr>
            <w:tcW w:w="1659" w:type="dxa"/>
            <w:tcBorders/>
          </w:tcPr>
          <w:p>
            <w:pPr>
              <w:spacing w:after="400" w:line="400" w:lineRule="exact"/>
            </w:pPr>
            <w:r>
              <w:t>8小时+</w:t>
            </w:r>
          </w:p>
        </w:tc>
        <w:tc>
          <w:tcPr>
            <w:tcW w:w="1659" w:type="dxa"/>
            <w:tcBorders/>
          </w:tcPr>
          <w:p>
            <w:pPr>
              <w:spacing w:after="400" w:line="400" w:lineRule="exact"/>
            </w:pPr>
            <w:r>
              <w:t>待定</w:t>
            </w:r>
          </w:p>
        </w:tc>
        <w:tc>
          <w:tcPr>
            <w:tcW w:w="1659" w:type="dxa"/>
            <w:tcBorders/>
          </w:tcPr>
          <w:p>
            <w:pPr>
              <w:spacing w:after="400" w:line="400" w:lineRule="exact"/>
            </w:pPr>
            <w:r>
              <w:t>待定</w:t>
            </w:r>
          </w:p>
        </w:tc>
        <w:tc>
          <w:tcPr>
            <w:tcW w:w="1659" w:type="dxa"/>
            <w:tcBorders/>
          </w:tcPr>
          <w:p>
            <w:pPr>
              <w:spacing w:after="400" w:line="400" w:lineRule="exact"/>
            </w:pPr>
            <w:r>
              <w:t>按国家政策执行</w:t>
            </w:r>
          </w:p>
        </w:tc>
      </w:tr>
    </w:tbl>
    <w:p>
      <w:pPr>
        <w:spacing w:before="400" w:after="400" w:line="400" w:lineRule="atLeast"/>
      </w:pPr>
      <w:r>
        <w:rPr>
          <w:b w:val="true"/>
        </w:rPr>
        <w:t>技术路线选择建议</w:t>
      </w:r>
      <w:r>
        <w:t>：</w:t>
      </w:r>
    </w:p>
    <w:p>
      <w:pPr>
        <w:numPr>
          <w:ilvl w:val="0"/>
          <w:numId w:val="30"/>
        </w:numPr>
        <w:spacing w:after="400" w:line="400" w:lineRule="atLeast"/>
      </w:pPr>
      <w:r>
        <w:rPr>
          <w:b w:val="true"/>
        </w:rPr>
        <w:t>短时储能（2-4小时）</w:t>
      </w:r>
      <w:r>
        <w:t>：在政策不确定性下，建议谨慎投资，重点评估电能量市场收益的可行性。</w:t>
      </w:r>
    </w:p>
    <w:p>
      <w:pPr>
        <w:numPr>
          <w:ilvl w:val="0"/>
          <w:numId w:val="30"/>
        </w:numPr>
        <w:spacing w:after="400" w:line="400" w:lineRule="atLeast"/>
      </w:pPr>
      <w:r>
        <w:rPr>
          <w:b w:val="true"/>
        </w:rPr>
        <w:t>中长时储能（6-8小时）</w:t>
      </w:r>
      <w:r>
        <w:t>：可考虑投资，但需关注政策最终参数的确定。</w:t>
      </w:r>
    </w:p>
    <w:p>
      <w:pPr>
        <w:numPr>
          <w:ilvl w:val="0"/>
          <w:numId w:val="30"/>
        </w:numPr>
        <w:spacing w:after="400" w:line="400" w:lineRule="atLeast"/>
      </w:pPr>
      <w:r>
        <w:rPr>
          <w:b w:val="true"/>
        </w:rPr>
        <w:t>长时储能（8小时+）</w:t>
      </w:r>
      <w:r>
        <w:t>：在政策支持下，具有较好的容量补偿收益，可优先考虑。</w:t>
      </w:r>
    </w:p>
    <w:p>
      <w:pPr>
        <w:spacing w:after="400" w:line="400" w:lineRule="atLeast"/>
      </w:pPr>
      <w:r>
        <w:rPr>
          <w:b/>
          <w:sz w:val="30"/>
        </w:rPr>
        <w:t xml:space="preserve">8.3 金融机构投资建议</w:t>
      </w:r>
    </w:p>
    <w:p>
      <w:pPr>
        <w:spacing w:after="400" w:line="400" w:lineRule="atLeast"/>
      </w:pPr>
      <w:r>
        <w:rPr>
          <w:b w:val="true"/>
        </w:rPr>
        <w:t>尽职调查重点</w:t>
      </w:r>
      <w:r>
        <w:t>：</w:t>
      </w:r>
    </w:p>
    <w:p>
      <w:pPr>
        <w:numPr>
          <w:ilvl w:val="0"/>
          <w:numId w:val="13"/>
        </w:numPr>
        <w:spacing w:after="400" w:line="400" w:lineRule="atLeast"/>
      </w:pPr>
      <w:r>
        <w:rPr>
          <w:b w:val="true"/>
        </w:rPr>
        <w:t>政策参数确认</w:t>
      </w:r>
      <w:r>
        <w:t>：密切关注正式文件的发布，确认容量补偿标准、容量供需系数、系统净负荷高峰持续时长等关键参数。</w:t>
      </w:r>
    </w:p>
    <w:p>
      <w:pPr>
        <w:numPr>
          <w:ilvl w:val="0"/>
          <w:numId w:val="13"/>
        </w:numPr>
        <w:spacing w:after="400" w:line="400" w:lineRule="atLeast"/>
      </w:pPr>
      <w:r>
        <w:rPr>
          <w:b w:val="true"/>
        </w:rPr>
        <w:t>项目配置合理性</w:t>
      </w:r>
      <w:r>
        <w:t>：评估项目储能时长配置是否与政策激励方向匹配。</w:t>
      </w:r>
    </w:p>
    <w:p>
      <w:pPr>
        <w:numPr>
          <w:ilvl w:val="0"/>
          <w:numId w:val="13"/>
        </w:numPr>
        <w:spacing w:after="400" w:line="400" w:lineRule="atLeast"/>
      </w:pPr>
      <w:r>
        <w:rPr>
          <w:b w:val="true"/>
        </w:rPr>
        <w:t>技术选型评估</w:t>
      </w:r>
      <w:r>
        <w:t>：重点关注储能系统的效率、寿命、安全性等核心技术指标。</w:t>
      </w:r>
    </w:p>
    <w:p>
      <w:pPr>
        <w:numPr>
          <w:ilvl w:val="0"/>
          <w:numId w:val="13"/>
        </w:numPr>
        <w:spacing w:after="400" w:line="400" w:lineRule="atLeast"/>
      </w:pPr>
      <w:r>
        <w:rPr>
          <w:b w:val="true"/>
        </w:rPr>
        <w:t>运营能力评估</w:t>
      </w:r>
      <w:r>
        <w:t>：项目运营方是否具备精准预测、优化调度的能力。</w:t>
      </w:r>
    </w:p>
    <w:p>
      <w:pPr>
        <w:numPr>
          <w:ilvl w:val="0"/>
          <w:numId w:val="13"/>
        </w:numPr>
        <w:spacing w:after="400" w:line="400" w:lineRule="atLeast"/>
      </w:pPr>
      <w:r>
        <w:rPr>
          <w:b w:val="true"/>
        </w:rPr>
        <w:t>考核达标预测</w:t>
      </w:r>
      <w:r>
        <w:t>：评估项目在系统净负荷高峰时段的可靠放电能力。</w:t>
      </w:r>
    </w:p>
    <w:p>
      <w:pPr>
        <w:spacing w:after="400" w:line="400" w:lineRule="atLeast"/>
      </w:pPr>
      <w:r>
        <w:rPr>
          <w:b w:val="true"/>
        </w:rPr>
        <w:t>风险缓释措施</w:t>
      </w:r>
      <w:r>
        <w:t>：</w:t>
      </w:r>
    </w:p>
    <w:p>
      <w:pPr>
        <w:numPr>
          <w:ilvl w:val="0"/>
          <w:numId w:val="11"/>
        </w:numPr>
        <w:spacing w:after="400" w:line="400" w:lineRule="atLeast"/>
      </w:pPr>
      <w:r>
        <w:rPr>
          <w:b w:val="true"/>
        </w:rPr>
        <w:t>设立容量电费准备金账户</w:t>
      </w:r>
      <w:r>
        <w:t>：要求借款人在贷款行开立准备金账户，存入一定比例的容量电费收入，用于覆盖考核扣减风险。</w:t>
      </w:r>
    </w:p>
    <w:p>
      <w:pPr>
        <w:numPr>
          <w:ilvl w:val="0"/>
          <w:numId w:val="11"/>
        </w:numPr>
        <w:spacing w:after="400" w:line="400" w:lineRule="atLeast"/>
      </w:pPr>
      <w:r>
        <w:rPr>
          <w:b w:val="true"/>
        </w:rPr>
        <w:t>设置容量补偿敏感性测试</w:t>
      </w:r>
      <w:r>
        <w:t>：在授信审批模型中，对容量补偿标准下调、持续时长延长等情景进行压力测试，确保项目依然具备偿债能力。</w:t>
      </w:r>
    </w:p>
    <w:p>
      <w:pPr>
        <w:numPr>
          <w:ilvl w:val="0"/>
          <w:numId w:val="11"/>
        </w:numPr>
        <w:spacing w:after="400" w:line="400" w:lineRule="atLeast"/>
      </w:pPr>
      <w:r>
        <w:rPr>
          <w:b w:val="true"/>
        </w:rPr>
        <w:t>约定信息披露义务</w:t>
      </w:r>
      <w:r>
        <w:t>：要求借款人按月报送考核达标情况、容量电费结算情况等运营数据。</w:t>
      </w:r>
    </w:p>
    <w:p>
      <w:pPr>
        <w:numPr>
          <w:ilvl w:val="0"/>
          <w:numId w:val="11"/>
        </w:numPr>
        <w:spacing w:after="400" w:line="400" w:lineRule="atLeast"/>
      </w:pPr>
      <w:r>
        <w:rPr>
          <w:b w:val="true"/>
        </w:rPr>
        <w:t>建立利率浮动机制</w:t>
      </w:r>
      <w:r>
        <w:t>：将容量电费实际获得率与贷款利率挂钩，激励运营方提升考核达标率。</w:t>
      </w:r>
    </w:p>
    <w:p>
      <w:pPr>
        <w:numPr>
          <w:ilvl w:val="0"/>
          <w:numId w:val="11"/>
        </w:numPr>
        <w:spacing w:after="400" w:line="400" w:lineRule="atLeast"/>
      </w:pPr>
      <w:r>
        <w:rPr>
          <w:b w:val="true"/>
        </w:rPr>
        <w:t>政策变化应对条款</w:t>
      </w:r>
      <w:r>
        <w:t>：在融资合同中设置政策变化应对机制，如关键参数调整导致项目IRR下降超过一定幅度时的还款计划调整条款。</w:t>
      </w:r>
    </w:p>
    <w:p>
      <w:pPr>
        <w:spacing w:after="400" w:line="400" w:lineRule="atLeast"/>
      </w:pPr>
      <w:r>
        <w:rPr>
          <w:b w:val="true"/>
        </w:rPr>
        <w:t>产品创新方向</w:t>
      </w:r>
      <w:r>
        <w:t>：</w:t>
      </w:r>
    </w:p>
    <w:p>
      <w:pPr>
        <w:numPr>
          <w:ilvl w:val="0"/>
          <w:numId w:val="17"/>
        </w:numPr>
        <w:spacing w:after="400" w:line="400" w:lineRule="atLeast"/>
      </w:pPr>
      <w:r>
        <w:rPr>
          <w:b w:val="true"/>
        </w:rPr>
        <w:t>容量电费收益权质押融资</w:t>
      </w:r>
      <w:r>
        <w:t>：将未来一定期限内的容量电费收入作为还款来源，设计专项融资产品。</w:t>
      </w:r>
    </w:p>
    <w:p>
      <w:pPr>
        <w:numPr>
          <w:ilvl w:val="0"/>
          <w:numId w:val="17"/>
        </w:numPr>
        <w:spacing w:after="400" w:line="400" w:lineRule="atLeast"/>
      </w:pPr>
      <w:r>
        <w:rPr>
          <w:b w:val="true"/>
        </w:rPr>
        <w:t>绿色金融结合</w:t>
      </w:r>
      <w:r>
        <w:t>：容量补偿机制支持可再生能源消纳，可将储能项目纳入绿色信贷、绿色债券支持范围。</w:t>
      </w:r>
    </w:p>
    <w:p>
      <w:pPr>
        <w:numPr>
          <w:ilvl w:val="0"/>
          <w:numId w:val="17"/>
        </w:numPr>
        <w:spacing w:after="400" w:line="400" w:lineRule="atLeast"/>
      </w:pPr>
      <w:r>
        <w:rPr>
          <w:b w:val="true"/>
        </w:rPr>
        <w:t>保险产品开发</w:t>
      </w:r>
      <w:r>
        <w:t>：与保险公司合作开发"容量考核达标保险"，转移考核扣减风险。</w:t>
      </w:r>
    </w:p>
    <w:p>
      <w:pPr>
        <w:numPr>
          <w:ilvl w:val="0"/>
          <w:numId w:val="17"/>
        </w:numPr>
        <w:spacing w:after="400" w:line="400" w:lineRule="atLeast"/>
      </w:pPr>
      <w:r>
        <w:rPr>
          <w:b w:val="true"/>
        </w:rPr>
        <w:t>银团贷款模式</w:t>
      </w:r>
      <w:r>
        <w:t>：对于大型储能项目，采用银团贷款模式分散风险。</w:t>
      </w:r>
    </w:p>
    <w:p>
      <w:pPr>
        <w:spacing w:after="400" w:line="400" w:lineRule="atLeast"/>
      </w:pPr>
      <w:r>
        <w:rPr>
          <w:b/>
          <w:sz w:val="33"/>
        </w:rPr>
        <w:t xml:space="preserve">第九章 结论</w:t>
      </w:r>
    </w:p>
    <w:p>
      <w:pPr>
        <w:spacing w:after="400" w:line="400" w:lineRule="atLeast"/>
      </w:pPr>
      <w:r>
        <w:t>青海省发电侧容量补偿机制是中国电力市场化改革的重要里程碑，标志着电力系统从"电量价值"向"容量价值"的认知深化。该政策对于引导调节性电源建设、保障电力系统安全稳定运行具有重要意义。</w:t>
      </w:r>
    </w:p>
    <w:p>
      <w:pPr>
        <w:spacing w:after="400" w:line="400" w:lineRule="atLeast"/>
      </w:pPr>
      <w:r>
        <w:rPr>
          <w:b w:val="true"/>
        </w:rPr>
        <w:t>政策核心要点</w:t>
      </w:r>
      <w:r>
        <w:t>：</w:t>
      </w:r>
    </w:p>
    <w:p>
      <w:pPr>
        <w:numPr>
          <w:ilvl w:val="0"/>
          <w:numId w:val="39"/>
        </w:numPr>
        <w:spacing w:after="400" w:line="400" w:lineRule="atLeast"/>
      </w:pPr>
      <w:r>
        <w:rPr>
          <w:b w:val="true"/>
        </w:rPr>
        <w:t>政策仍处于征求意见阶段</w:t>
      </w:r>
      <w:r>
        <w:t>：青海省发展和改革委员会于2026年2月25日及4月21日先后发布征求意见稿，最终政策尚未正式发布。</w:t>
      </w:r>
    </w:p>
    <w:p>
      <w:pPr>
        <w:numPr>
          <w:ilvl w:val="0"/>
          <w:numId w:val="39"/>
        </w:numPr>
        <w:spacing w:after="400" w:line="400" w:lineRule="atLeast"/>
      </w:pPr>
      <w:r>
        <w:rPr>
          <w:b w:val="true"/>
        </w:rPr>
        <w:t>关键参数存在不确定性</w:t>
      </w:r>
      <w:r>
        <w:t>：容量补偿标准（165元或185元/千瓦·年）、容量供需系数（1.04或0.92）、系统净负荷高峰持续时长（4小时或8小时）等参数在不同版本中存在差异。</w:t>
      </w:r>
    </w:p>
    <w:p>
      <w:pPr>
        <w:numPr>
          <w:ilvl w:val="0"/>
          <w:numId w:val="39"/>
        </w:numPr>
        <w:spacing w:after="400" w:line="400" w:lineRule="atLeast"/>
      </w:pPr>
      <w:r>
        <w:rPr>
          <w:b w:val="true"/>
        </w:rPr>
        <w:t>考核机制严格</w:t>
      </w:r>
      <w:r>
        <w:t>：火电机组非停扣减容量电费，储能按日考核上网时长能力，体现了"补偿与责任对等"的原则。</w:t>
      </w:r>
    </w:p>
    <w:p>
      <w:pPr>
        <w:numPr>
          <w:ilvl w:val="0"/>
          <w:numId w:val="39"/>
        </w:numPr>
        <w:spacing w:after="400" w:line="400" w:lineRule="atLeast"/>
      </w:pPr>
      <w:r>
        <w:rPr>
          <w:b w:val="true"/>
        </w:rPr>
        <w:t>监管架构清晰</w:t>
      </w:r>
      <w:r>
        <w:t>：发展改革部门负责政策制定，能源局参与协调，国家能源局西北监管局负责运行监管，电网企业负责具体执行。</w:t>
      </w:r>
    </w:p>
    <w:p>
      <w:pPr>
        <w:spacing w:after="400" w:line="400" w:lineRule="atLeast"/>
      </w:pPr>
      <w:r>
        <w:rPr>
          <w:b w:val="true"/>
        </w:rPr>
        <w:t>对200MW/800MWh储能项目的影响</w:t>
      </w:r>
      <w:r>
        <w:t>：</w:t>
      </w:r>
    </w:p>
    <w:p>
      <w:pPr>
        <w:spacing w:after="400" w:line="400" w:lineRule="atLeast"/>
      </w:pPr>
      <w:r>
        <w:t>若政策最终采用8小时持续时长要求，4小时储能项目的容量补偿收入将大幅下降，项目经济性面临挑战。建议项目业主和金融机构密切关注政策最终版本的发布，审慎评估投资决策。</w:t>
      </w:r>
    </w:p>
    <w:p>
      <w:pPr>
        <w:spacing w:after="400" w:line="400" w:lineRule="atLeast"/>
      </w:pPr>
      <w:r>
        <w:rPr>
          <w:b w:val="true"/>
        </w:rPr>
        <w:t>金融机构应对建议</w:t>
      </w:r>
      <w:r>
        <w:t>：</w:t>
      </w:r>
    </w:p>
    <w:p>
      <w:pPr>
        <w:spacing w:after="400" w:line="400" w:lineRule="atLeast"/>
      </w:pPr>
      <w:r>
        <w:t>金融机构应建立储能项目的专业化评估体系，将容量补偿机制纳入项目财务模型核心变量，在融资结构设计中设置针对性的风险缓释措施。同时，应密切关注政策演变，适时调整授信策略，把握储能产业发展的战略机遇期。</w:t>
      </w:r>
    </w:p>
    <w:p>
      <w:pPr>
        <w:spacing w:after="400" w:line="400" w:lineRule="atLeast"/>
      </w:pPr>
      <w:r>
        <w:rPr>
          <w:b w:val="true"/>
        </w:rPr>
        <w:t>风险提示</w:t>
      </w:r>
      <w:r>
        <w:t>：</w:t>
      </w:r>
    </w:p>
    <w:p>
      <w:pPr>
        <w:spacing w:after="400" w:line="400" w:lineRule="atLeast"/>
      </w:pPr>
      <w:r>
        <w:t>本报告基于青海省发展和改革委员会发布的征求意见稿及相关搜索结果编制，政策细节以正式文件为准。金融机构在决策时应以最终发布的政策文件为依据，并建议咨询专业机构进行独立评估。</w:t>
      </w:r>
    </w:p>
    <w:p>
      <w:pPr>
        <w:spacing w:after="400" w:line="400" w:lineRule="atLeast"/>
      </w:pPr>
      <w:r>
        <w:rPr>
          <w:i w:val="true"/>
        </w:rPr>
        <w:t>报告完成日期：2026年5月5日</w:t>
      </w:r>
    </w:p>
    <w:p>
      <w:pPr>
        <w:spacing w:after="400" w:line="400" w:lineRule="atLeast"/>
      </w:pPr>
      <w:r>
        <w:rPr>
          <w:i w:val="true"/>
        </w:rPr>
        <w:t>报告声明：本报告基于青海省发展和改革委员会发布的《关于建立青海省发电侧容量电价机制的通知（征求意见稿）》及相关搜索结果编制，政策细节以正式文件为准。本报告仅供金融机构参考，不构成投资建议。</w:t>
      </w:r>
    </w:p>
    <w:p>
      <w:pPr>
        <w:pStyle w:val="Heading2"/>
        <w:spacing w:after="400" w:line="400" w:lineRule="atLeast"/>
      </w:pPr>
      <w:r>
        <w:t>文献来源</w:t>
      </w:r>
    </w:p>
    <w:p>
      <w:pPr>
        <w:spacing w:after="400" w:line="400" w:lineRule="atLeast"/>
      </w:pPr>
      <w:r>
        <w:rPr>
          <w:i w:val="true"/>
        </w:rPr>
        <w:t>以下来源未被直接引用</w:t>
      </w:r>
    </w:p>
    <w:p>
      <w:pPr>
        <w:spacing w:after="200" w:line="400" w:lineRule="atLeast"/>
      </w:pPr>
      <w:hyperlink r:id="rId4">
        <w:r>
          <w:rPr>
            <w:rStyle w:val="DefaultParagraphFont"/>
            <w:color w:val="0563C1"/>
          </w:rPr>
          <w:t>2026新年贺词</w:t>
        </w:r>
      </w:hyperlink>
    </w:p>
    <w:p>
      <w:pPr>
        <w:spacing w:after="200" w:line="400" w:lineRule="atLeast"/>
      </w:pPr>
      <w:hyperlink r:id="rId5">
        <w:r>
          <w:rPr>
            <w:rStyle w:val="DefaultParagraphFont"/>
            <w:color w:val="0563C1"/>
          </w:rPr>
          <w:t>《外语研究》2026年度重点选题</w:t>
        </w:r>
      </w:hyperlink>
    </w:p>
    <w:p>
      <w:pPr>
        <w:spacing w:after="200" w:line="400" w:lineRule="atLeast"/>
      </w:pPr>
      <w:hyperlink r:id="rId6">
        <w:r>
          <w:rPr>
            <w:rStyle w:val="DefaultParagraphFont"/>
            <w:color w:val="0563C1"/>
          </w:rPr>
          <w:t>《社会工作》2026年重点选题</w:t>
        </w:r>
      </w:hyperlink>
    </w:p>
    <w:p>
      <w:pPr>
        <w:spacing w:after="200" w:line="400" w:lineRule="atLeast"/>
      </w:pPr>
      <w:hyperlink r:id="rId7">
        <w:r>
          <w:rPr>
            <w:rStyle w:val="DefaultParagraphFont"/>
            <w:color w:val="0563C1"/>
          </w:rPr>
          <w:t>2026年十大战略技术趋势</w:t>
        </w:r>
      </w:hyperlink>
    </w:p>
    <w:p>
      <w:pPr>
        <w:spacing w:after="200" w:line="400" w:lineRule="atLeast"/>
      </w:pPr>
      <w:hyperlink r:id="rId8">
        <w:r>
          <w:rPr>
            <w:rStyle w:val="DefaultParagraphFont"/>
            <w:color w:val="0563C1"/>
          </w:rPr>
          <w:t>《新经济》2026年重点选题方向</w:t>
        </w:r>
      </w:hyperlink>
    </w:p>
    <w:p>
      <w:pPr>
        <w:pStyle w:val="Heading2"/>
        <w:spacing w:after="400" w:line="400" w:lineRule="atLeast"/>
      </w:pPr>
      <w:r>
        <w:t>其他来源</w:t>
      </w:r>
    </w:p>
    <w:p>
      <w:pPr>
        <w:spacing w:after="200" w:line="400" w:lineRule="atLeast"/>
      </w:pPr>
      <w:hyperlink r:id="rId9">
        <w:r>
          <w:rPr>
            <w:rStyle w:val="DefaultParagraphFont"/>
            <w:color w:val="0563C1"/>
          </w:rPr>
          <w:t xml:space="preserve">[1,5,8,10,15,23,25]. 关于建立青海省发电侧容量电价机制的通知（公开征求意见稿）</w:t>
        </w:r>
      </w:hyperlink>
    </w:p>
    <w:p>
      <w:pPr>
        <w:spacing w:after="200" w:line="400" w:lineRule="atLeast"/>
      </w:pPr>
      <w:hyperlink r:id="rId10">
        <w:r>
          <w:rPr>
            <w:rStyle w:val="DefaultParagraphFont"/>
            <w:color w:val="0563C1"/>
          </w:rPr>
          <w:t xml:space="preserve">[2,6,9,11,13,16,24,26]. 关于建立青海省发电侧容量电价机制的通知（征求意见稿）</w:t>
        </w:r>
      </w:hyperlink>
    </w:p>
    <w:p>
      <w:pPr>
        <w:spacing w:after="200" w:line="400" w:lineRule="atLeast"/>
      </w:pPr>
      <w:hyperlink r:id="rId11">
        <w:r>
          <w:rPr>
            <w:rStyle w:val="DefaultParagraphFont"/>
            <w:color w:val="0563C1"/>
          </w:rPr>
          <w:t xml:space="preserve">[3]. 用户侧电化学储能装置经济性评估软件的开发与应用</w:t>
        </w:r>
      </w:hyperlink>
    </w:p>
    <w:p>
      <w:pPr>
        <w:spacing w:after="200" w:line="400" w:lineRule="atLeast"/>
      </w:pPr>
      <w:hyperlink r:id="rId12">
        <w:r>
          <w:rPr>
            <w:rStyle w:val="DefaultParagraphFont"/>
            <w:color w:val="0563C1"/>
          </w:rPr>
          <w:t xml:space="preserve">[4,22,502,505,508]. 青海发电侧容量补偿落地：2026年按165元/千瓦·年执行</w:t>
        </w:r>
      </w:hyperlink>
    </w:p>
    <w:p>
      <w:pPr>
        <w:spacing w:after="200" w:line="400" w:lineRule="atLeast"/>
      </w:pPr>
      <w:hyperlink r:id="rId13">
        <w:r>
          <w:rPr>
            <w:rStyle w:val="DefaultParagraphFont"/>
            <w:color w:val="0563C1"/>
          </w:rPr>
          <w:t xml:space="preserve">[7]. 青海储能容量补偿机制：185元/千瓦/年，全体工商业用户公平承担</w:t>
        </w:r>
      </w:hyperlink>
    </w:p>
    <w:p>
      <w:pPr>
        <w:spacing w:after="200" w:line="400" w:lineRule="atLeast"/>
      </w:pPr>
      <w:hyperlink r:id="rId14">
        <w:r>
          <w:rPr>
            <w:rStyle w:val="DefaultParagraphFont"/>
            <w:color w:val="0563C1"/>
          </w:rPr>
          <w:t xml:space="preserve">[12,118,127,132,158,163,249,253,272,280,307,309,341,414,443,448]. 青海省发布储能容量电价政策，储能需求持续看好</w:t>
        </w:r>
      </w:hyperlink>
    </w:p>
    <w:p>
      <w:pPr>
        <w:spacing w:after="200" w:line="400" w:lineRule="atLeast"/>
      </w:pPr>
      <w:hyperlink r:id="rId15">
        <w:r>
          <w:rPr>
            <w:rStyle w:val="DefaultParagraphFont"/>
            <w:color w:val="0563C1"/>
          </w:rPr>
          <w:t xml:space="preserve">[14,19,46,155,449,460]. 公用事业行业深度跟踪：重资产稳经营—公用事业迎价值重估</w:t>
        </w:r>
      </w:hyperlink>
    </w:p>
    <w:p>
      <w:pPr>
        <w:spacing w:after="200" w:line="400" w:lineRule="atLeast"/>
      </w:pPr>
      <w:hyperlink r:id="rId16">
        <w:r>
          <w:rPr>
            <w:rStyle w:val="DefaultParagraphFont"/>
            <w:color w:val="0563C1"/>
          </w:rPr>
          <w:t xml:space="preserve">[17,27,29]. 关于公开征求《关于建立青海省发电侧容量电价机制的通知(征求意见稿)》意见建议的公告</w:t>
        </w:r>
      </w:hyperlink>
    </w:p>
    <w:p>
      <w:pPr>
        <w:spacing w:after="200" w:line="400" w:lineRule="atLeast"/>
      </w:pPr>
      <w:hyperlink r:id="rId17">
        <w:r>
          <w:rPr>
            <w:rStyle w:val="DefaultParagraphFont"/>
            <w:color w:val="0563C1"/>
          </w:rPr>
          <w:t xml:space="preserve">[18,31]. 国网青海省电力公司发布2026年青海省新能源机制电价竞价组织公告</w:t>
        </w:r>
      </w:hyperlink>
    </w:p>
    <w:p>
      <w:pPr>
        <w:spacing w:after="200" w:line="400" w:lineRule="atLeast"/>
      </w:pPr>
      <w:hyperlink r:id="rId18">
        <w:r>
          <w:rPr>
            <w:rStyle w:val="DefaultParagraphFont"/>
            <w:color w:val="0563C1"/>
          </w:rPr>
          <w:t xml:space="preserve">[20,40,52,61,69,70,113,171,182,183,210,325,333,337,343,459,466]. 容量机制演进下的新型储能发展策略：基于国内外实践的比较研究</w:t>
        </w:r>
      </w:hyperlink>
    </w:p>
    <w:p>
      <w:pPr>
        <w:spacing w:after="200" w:line="400" w:lineRule="atLeast"/>
      </w:pPr>
      <w:hyperlink r:id="rId19">
        <w:r>
          <w:rPr>
            <w:rStyle w:val="DefaultParagraphFont"/>
            <w:color w:val="0563C1"/>
          </w:rPr>
          <w:t xml:space="preserve">[21]. 发行股份及支付现金购买资产并募集配套资金暨关联交易报告书（草案）（修订稿）</w:t>
        </w:r>
      </w:hyperlink>
    </w:p>
    <w:p>
      <w:pPr>
        <w:spacing w:after="200" w:line="400" w:lineRule="atLeast"/>
      </w:pPr>
      <w:hyperlink r:id="rId20">
        <w:r>
          <w:rPr>
            <w:rStyle w:val="DefaultParagraphFont"/>
            <w:color w:val="0563C1"/>
          </w:rPr>
          <w:t xml:space="preserve">[28]. 光伏「周事迹」江西、上海、广东启动增量项目竞价/青海下发136号文正式稿</w:t>
        </w:r>
      </w:hyperlink>
    </w:p>
    <w:p>
      <w:pPr>
        <w:spacing w:after="200" w:line="400" w:lineRule="atLeast"/>
      </w:pPr>
      <w:hyperlink r:id="rId21">
        <w:r>
          <w:rPr>
            <w:rStyle w:val="DefaultParagraphFont"/>
            <w:color w:val="0563C1"/>
          </w:rPr>
          <w:t xml:space="preserve">[30]. 关于建立青海省发电侧容量电价机制的通知</w:t>
        </w:r>
      </w:hyperlink>
    </w:p>
    <w:p>
      <w:pPr>
        <w:spacing w:after="200" w:line="400" w:lineRule="atLeast"/>
      </w:pPr>
      <w:hyperlink r:id="rId22">
        <w:r>
          <w:rPr>
            <w:rStyle w:val="DefaultParagraphFont"/>
            <w:color w:val="0563C1"/>
          </w:rPr>
          <w:t xml:space="preserve">[32]. 青海省电力中长期市场实施细则</w:t>
        </w:r>
      </w:hyperlink>
    </w:p>
    <w:p>
      <w:pPr>
        <w:spacing w:after="200" w:line="400" w:lineRule="atLeast"/>
      </w:pPr>
      <w:hyperlink r:id="rId23">
        <w:r>
          <w:rPr>
            <w:rStyle w:val="DefaultParagraphFont"/>
            <w:color w:val="0563C1"/>
          </w:rPr>
          <w:t xml:space="preserve">[33,36,42,45,56,64,72,76,81]. 青海发布容量电价意见稿：2026补偿标准165元/千瓦·年</w:t>
        </w:r>
      </w:hyperlink>
    </w:p>
    <w:p>
      <w:pPr>
        <w:spacing w:after="200" w:line="400" w:lineRule="atLeast"/>
      </w:pPr>
      <w:hyperlink r:id="rId24">
        <w:r>
          <w:rPr>
            <w:rStyle w:val="DefaultParagraphFont"/>
            <w:color w:val="0563C1"/>
          </w:rPr>
          <w:t xml:space="preserve">[34,43,47,85,103,129,134,159,165,230,236,244,250,255,306,308,317,407,417,432,479]. 青海省发电侧可靠容量补偿机制（征求意见稿）</w:t>
        </w:r>
      </w:hyperlink>
    </w:p>
    <w:p>
      <w:pPr>
        <w:spacing w:after="200" w:line="400" w:lineRule="atLeast"/>
      </w:pPr>
      <w:hyperlink r:id="rId25">
        <w:r>
          <w:rPr>
            <w:rStyle w:val="DefaultParagraphFont"/>
            <w:color w:val="0563C1"/>
          </w:rPr>
          <w:t xml:space="preserve">[35,37,44,48,59,68,130,136,142,143,312,315,359]. 青海容量电价征求意见，引入“缺口容量”扣减机制</w:t>
        </w:r>
      </w:hyperlink>
    </w:p>
    <w:p>
      <w:pPr>
        <w:spacing w:after="200" w:line="400" w:lineRule="atLeast"/>
      </w:pPr>
      <w:hyperlink r:id="rId26">
        <w:r>
          <w:rPr>
            <w:rStyle w:val="DefaultParagraphFont"/>
            <w:color w:val="0563C1"/>
          </w:rPr>
          <w:t xml:space="preserve">[38,49]. 青海、甘肃新型储能容量电价政策对比分析</w:t>
        </w:r>
      </w:hyperlink>
    </w:p>
    <w:p>
      <w:pPr>
        <w:spacing w:after="200" w:line="400" w:lineRule="atLeast"/>
      </w:pPr>
      <w:hyperlink r:id="rId27">
        <w:r>
          <w:rPr>
            <w:rStyle w:val="DefaultParagraphFont"/>
            <w:color w:val="0563C1"/>
          </w:rPr>
          <w:t xml:space="preserve">[39,50,51,53,71,176,184]. 电力设备行业电改系列：容量电价日臻完善，新型储能核心受益</w:t>
        </w:r>
      </w:hyperlink>
    </w:p>
    <w:p>
      <w:pPr>
        <w:spacing w:after="200" w:line="400" w:lineRule="atLeast"/>
      </w:pPr>
      <w:hyperlink r:id="rId28">
        <w:r>
          <w:rPr>
            <w:rStyle w:val="DefaultParagraphFont"/>
            <w:color w:val="0563C1"/>
          </w:rPr>
          <w:t xml:space="preserve">[41]. 长时储能规模将扩大，充放电效率很重要</w:t>
        </w:r>
      </w:hyperlink>
    </w:p>
    <w:p>
      <w:pPr>
        <w:spacing w:after="200" w:line="400" w:lineRule="atLeast"/>
      </w:pPr>
      <w:hyperlink r:id="rId29">
        <w:r>
          <w:rPr>
            <w:rStyle w:val="DefaultParagraphFont"/>
            <w:color w:val="0563C1"/>
          </w:rPr>
          <w:t xml:space="preserve">[54]. 基于“双碳”目标的光热电站调峰能力规划研究</w:t>
        </w:r>
      </w:hyperlink>
    </w:p>
    <w:p>
      <w:pPr>
        <w:spacing w:after="200" w:line="400" w:lineRule="atLeast"/>
      </w:pPr>
      <w:hyperlink r:id="rId30">
        <w:r>
          <w:rPr>
            <w:rStyle w:val="DefaultParagraphFont"/>
            <w:color w:val="0563C1"/>
          </w:rPr>
          <w:t xml:space="preserve">[55,60,63,75,79,91,121,122,123,124,188,213,215,224,233,303,305,316,344,369,372,374,394,470,474,480,503,520]. 容量电价上调！两地2026年发电侧容量补偿机制征求意见！</w:t>
        </w:r>
      </w:hyperlink>
    </w:p>
    <w:p>
      <w:pPr>
        <w:spacing w:after="200" w:line="400" w:lineRule="atLeast"/>
      </w:pPr>
      <w:hyperlink r:id="rId31">
        <w:r>
          <w:rPr>
            <w:rStyle w:val="DefaultParagraphFont"/>
            <w:color w:val="0563C1"/>
          </w:rPr>
          <w:t xml:space="preserve">[57,65,77,447,455]. 关于建立青海省发电侧容量电价机制的通知(公开征求意见稿)</w:t>
        </w:r>
      </w:hyperlink>
    </w:p>
    <w:p>
      <w:pPr>
        <w:spacing w:after="200" w:line="400" w:lineRule="atLeast"/>
      </w:pPr>
      <w:hyperlink r:id="rId32">
        <w:r>
          <w:rPr>
            <w:rStyle w:val="DefaultParagraphFont"/>
            <w:color w:val="0563C1"/>
          </w:rPr>
          <w:t xml:space="preserve">[58,67,109,114,120,160,166,175,259,324,332,342,408,418,423,445,450,457]. 本周价格</w:t>
        </w:r>
      </w:hyperlink>
    </w:p>
    <w:p>
      <w:pPr>
        <w:spacing w:after="200" w:line="400" w:lineRule="atLeast"/>
      </w:pPr>
      <w:hyperlink r:id="rId33">
        <w:r>
          <w:rPr>
            <w:rStyle w:val="DefaultParagraphFont"/>
            <w:color w:val="0563C1"/>
          </w:rPr>
          <w:t xml:space="preserve">[62]. 发行股份及支付现金购买资产并募集配套资金暨关联交易报告书（草案）（注册稿）</w:t>
        </w:r>
      </w:hyperlink>
    </w:p>
    <w:p>
      <w:pPr>
        <w:spacing w:after="200" w:line="400" w:lineRule="atLeast"/>
      </w:pPr>
      <w:hyperlink r:id="rId34">
        <w:r>
          <w:rPr>
            <w:rStyle w:val="DefaultParagraphFont"/>
            <w:color w:val="0563C1"/>
          </w:rPr>
          <w:t xml:space="preserve">[66,231,360]. 青海：2026年统一容量补偿标准拟按185元/（千瓦·年）执行</w:t>
        </w:r>
      </w:hyperlink>
    </w:p>
    <w:p>
      <w:pPr>
        <w:spacing w:after="200" w:line="400" w:lineRule="atLeast"/>
      </w:pPr>
      <w:hyperlink r:id="rId35">
        <w:r>
          <w:rPr>
            <w:rStyle w:val="DefaultParagraphFont"/>
            <w:color w:val="0563C1"/>
          </w:rPr>
          <w:t xml:space="preserve">[73,101,116,146,150,168,177]. 关于建立青海省发电侧容量电价机制的通知（公开征求意见稿）</w:t>
        </w:r>
      </w:hyperlink>
    </w:p>
    <w:p>
      <w:pPr>
        <w:spacing w:after="200" w:line="400" w:lineRule="atLeast"/>
      </w:pPr>
      <w:hyperlink r:id="rId36">
        <w:r>
          <w:rPr>
            <w:rStyle w:val="DefaultParagraphFont"/>
            <w:color w:val="0563C1"/>
          </w:rPr>
          <w:t xml:space="preserve">[74,99,117,141,170,178,207,209,211,246,251,286,288,291,294,296,311,313,314,462,463,467,468,469,473,477,509,511,517,518]. 青海省电源侧容量补偿机制暂行办法</w:t>
        </w:r>
      </w:hyperlink>
    </w:p>
    <w:p>
      <w:pPr>
        <w:spacing w:after="200" w:line="400" w:lineRule="atLeast"/>
      </w:pPr>
      <w:hyperlink r:id="rId37">
        <w:r>
          <w:rPr>
            <w:rStyle w:val="DefaultParagraphFont"/>
            <w:color w:val="0563C1"/>
          </w:rPr>
          <w:t xml:space="preserve">[78,83,89,95,97,112,125,126,131,137,139,151,205,208,219,225,226,234,235,248,252,260,264,267,270,278,281,295,299,345,347,350,377,396,478,482]. 热点资讯</w:t>
        </w:r>
      </w:hyperlink>
    </w:p>
    <w:p>
      <w:pPr>
        <w:spacing w:after="200" w:line="400" w:lineRule="atLeast"/>
      </w:pPr>
      <w:hyperlink r:id="rId38">
        <w:r>
          <w:rPr>
            <w:rStyle w:val="DefaultParagraphFont"/>
            <w:color w:val="0563C1"/>
          </w:rPr>
          <w:t xml:space="preserve">[80,82,88,92,94,189,194,197,218,221,223,229,232,273,276,284,298,512,515]. 青海发电侧容量补偿机制再次征求意见</w:t>
        </w:r>
      </w:hyperlink>
    </w:p>
    <w:p>
      <w:pPr>
        <w:spacing w:after="200" w:line="400" w:lineRule="atLeast"/>
      </w:pPr>
      <w:hyperlink r:id="rId39">
        <w:r>
          <w:rPr>
            <w:rStyle w:val="DefaultParagraphFont"/>
            <w:color w:val="0563C1"/>
          </w:rPr>
          <w:t xml:space="preserve">[84,90,93,96,98,100,128,133,138,140,149,152,154,164,173,254,258,261,265,268,271,275,279,282,297,300,310,318,355,361]. 关于建立青海省发电侧容量电价机制的通知</w:t>
        </w:r>
      </w:hyperlink>
    </w:p>
    <w:p>
      <w:pPr>
        <w:spacing w:after="200" w:line="400" w:lineRule="atLeast"/>
      </w:pPr>
      <w:hyperlink r:id="rId40">
        <w:r>
          <w:rPr>
            <w:rStyle w:val="DefaultParagraphFont"/>
            <w:color w:val="0563C1"/>
          </w:rPr>
          <w:t xml:space="preserve">[86,104,461,465]. 青海省发电侧可靠容量补偿机制(征求意见稿)</w:t>
        </w:r>
      </w:hyperlink>
    </w:p>
    <w:p>
      <w:pPr>
        <w:spacing w:after="200" w:line="400" w:lineRule="atLeast"/>
      </w:pPr>
      <w:hyperlink r:id="rId41">
        <w:r>
          <w:rPr>
            <w:rStyle w:val="DefaultParagraphFont"/>
            <w:color w:val="0563C1"/>
          </w:rPr>
          <w:t xml:space="preserve">[87,105,135,144,147,161,167,169,195,198,237,245,301,302,380,390,398,409,410,454]. 2026年容量补偿标准提高至185元/（千瓦·年）！青海发电侧可靠容量补偿机制再次公开征求意见</w:t>
        </w:r>
      </w:hyperlink>
    </w:p>
    <w:p>
      <w:pPr>
        <w:spacing w:after="200" w:line="400" w:lineRule="atLeast"/>
      </w:pPr>
      <w:hyperlink r:id="rId42">
        <w:r>
          <w:rPr>
            <w:rStyle w:val="DefaultParagraphFont"/>
            <w:color w:val="0563C1"/>
          </w:rPr>
          <w:t xml:space="preserve">[102,180,181,222,274,277,285,287,290,293,349]. 青海：2026容量电价补偿标准165元/千瓦·年（意见稿）</w:t>
        </w:r>
      </w:hyperlink>
    </w:p>
    <w:p>
      <w:pPr>
        <w:spacing w:after="200" w:line="400" w:lineRule="atLeast"/>
      </w:pPr>
      <w:hyperlink r:id="rId43">
        <w:r>
          <w:rPr>
            <w:rStyle w:val="DefaultParagraphFont"/>
            <w:color w:val="0563C1"/>
          </w:rPr>
          <w:t xml:space="preserve">[106,110,304,320,328,334,338,403,412,425,427,430]. 青海发布容量电价意见稿：2026补偿标准165元/千瓦·年</w:t>
        </w:r>
      </w:hyperlink>
    </w:p>
    <w:p>
      <w:pPr>
        <w:spacing w:after="200" w:line="400" w:lineRule="atLeast"/>
      </w:pPr>
      <w:hyperlink r:id="rId44">
        <w:r>
          <w:rPr>
            <w:rStyle w:val="DefaultParagraphFont"/>
            <w:color w:val="0563C1"/>
          </w:rPr>
          <w:t xml:space="preserve">[107,111]. 青海容量电价：补偿标准165元/千瓦·年，新型储能可靠容量系数按4h折算</w:t>
        </w:r>
      </w:hyperlink>
    </w:p>
    <w:p>
      <w:pPr>
        <w:spacing w:after="200" w:line="400" w:lineRule="atLeast"/>
      </w:pPr>
      <w:hyperlink r:id="rId45">
        <w:r>
          <w:rPr>
            <w:rStyle w:val="DefaultParagraphFont"/>
            <w:color w:val="0563C1"/>
          </w:rPr>
          <w:t xml:space="preserve">[108,157,179]. 青海发电侧容量补偿落地：2026年按165元/千瓦·年执行</w:t>
        </w:r>
      </w:hyperlink>
    </w:p>
    <w:p>
      <w:pPr>
        <w:spacing w:after="200" w:line="400" w:lineRule="atLeast"/>
      </w:pPr>
      <w:hyperlink r:id="rId46">
        <w:r>
          <w:rPr>
            <w:rStyle w:val="DefaultParagraphFont"/>
            <w:color w:val="0563C1"/>
          </w:rPr>
          <w:t xml:space="preserve">[115,119,383,386,388,401]. 关于建立青海省发电侧容量电价机制的通知</w:t>
        </w:r>
      </w:hyperlink>
    </w:p>
    <w:p>
      <w:pPr>
        <w:spacing w:after="200" w:line="400" w:lineRule="atLeast"/>
      </w:pPr>
      <w:hyperlink r:id="rId47">
        <w:r>
          <w:rPr>
            <w:rStyle w:val="DefaultParagraphFont"/>
            <w:color w:val="0563C1"/>
          </w:rPr>
          <w:t xml:space="preserve">[145,487,498]. 电化学储能系统在已建光伏电站中的应用探索</w:t>
        </w:r>
      </w:hyperlink>
    </w:p>
    <w:p>
      <w:pPr>
        <w:spacing w:after="200" w:line="400" w:lineRule="atLeast"/>
      </w:pPr>
      <w:hyperlink r:id="rId48">
        <w:r>
          <w:rPr>
            <w:rStyle w:val="DefaultParagraphFont"/>
            <w:color w:val="0563C1"/>
          </w:rPr>
          <w:t xml:space="preserve">[148,153,156,162,172,185,191,200,203,247,256,262,321,329,335,339,507]. 7x24小时全球实时财经新闻直播</w:t>
        </w:r>
      </w:hyperlink>
    </w:p>
    <w:p>
      <w:pPr>
        <w:spacing w:after="200" w:line="400" w:lineRule="atLeast"/>
      </w:pPr>
      <w:hyperlink r:id="rId49">
        <w:r>
          <w:rPr>
            <w:rStyle w:val="DefaultParagraphFont"/>
            <w:color w:val="0563C1"/>
          </w:rPr>
          <w:t xml:space="preserve">[174]. 青海省建立发电侧容量电价机制</w:t>
        </w:r>
      </w:hyperlink>
    </w:p>
    <w:p>
      <w:pPr>
        <w:spacing w:after="200" w:line="400" w:lineRule="atLeast"/>
      </w:pPr>
      <w:hyperlink r:id="rId50">
        <w:r>
          <w:rPr>
            <w:rStyle w:val="DefaultParagraphFont"/>
            <w:color w:val="0563C1"/>
          </w:rPr>
          <w:t xml:space="preserve">[186,192,201,204,228,263,266,319,348,352,358,378]. 青海发电侧容量补偿落地：2026年按165元/千瓦·年执行</w:t>
        </w:r>
      </w:hyperlink>
    </w:p>
    <w:p>
      <w:pPr>
        <w:spacing w:after="200" w:line="400" w:lineRule="atLeast"/>
      </w:pPr>
      <w:hyperlink r:id="rId51">
        <w:r>
          <w:rPr>
            <w:rStyle w:val="DefaultParagraphFont"/>
            <w:color w:val="0563C1"/>
          </w:rPr>
          <w:t xml:space="preserve">[187,193,202,206,220,227,353,356,370,376,381,384,391,395,506,513,516,525]. 关于建立青海省发电侧容量电价机制的通知（征求意见稿）</w:t>
        </w:r>
      </w:hyperlink>
    </w:p>
    <w:p>
      <w:pPr>
        <w:spacing w:after="200" w:line="400" w:lineRule="atLeast"/>
      </w:pPr>
      <w:hyperlink r:id="rId52">
        <w:r>
          <w:rPr>
            <w:rStyle w:val="DefaultParagraphFont"/>
            <w:color w:val="0563C1"/>
          </w:rPr>
          <w:t xml:space="preserve">[190,405]. 青海容量补偿：165元/kW·年，4h储能系统等效154元/kW·年，清单管理</w:t>
        </w:r>
      </w:hyperlink>
    </w:p>
    <w:p>
      <w:pPr>
        <w:spacing w:after="200" w:line="400" w:lineRule="atLeast"/>
      </w:pPr>
      <w:hyperlink r:id="rId53">
        <w:r>
          <w:rPr>
            <w:rStyle w:val="DefaultParagraphFont"/>
            <w:color w:val="0563C1"/>
          </w:rPr>
          <w:t xml:space="preserve">[196,199,379,419,452]. 锂电景气持续向好、Q1业绩亮眼超预期</w:t>
        </w:r>
      </w:hyperlink>
    </w:p>
    <w:p>
      <w:pPr>
        <w:spacing w:after="200" w:line="400" w:lineRule="atLeast"/>
      </w:pPr>
      <w:hyperlink r:id="rId54">
        <w:r>
          <w:rPr>
            <w:rStyle w:val="DefaultParagraphFont"/>
            <w:color w:val="0563C1"/>
          </w:rPr>
          <w:t xml:space="preserve">[212,217]. 电力交易 | 探究青海电力现货新规下的交易决策思路</w:t>
        </w:r>
      </w:hyperlink>
    </w:p>
    <w:p>
      <w:pPr>
        <w:spacing w:after="200" w:line="400" w:lineRule="atLeast"/>
      </w:pPr>
      <w:hyperlink r:id="rId55">
        <w:r>
          <w:rPr>
            <w:rStyle w:val="DefaultParagraphFont"/>
            <w:color w:val="0563C1"/>
          </w:rPr>
          <w:t xml:space="preserve">[214,216]. 建投能源：我公司目前所有火电机组均享受容量电费补偿</w:t>
        </w:r>
      </w:hyperlink>
    </w:p>
    <w:p>
      <w:pPr>
        <w:spacing w:after="200" w:line="400" w:lineRule="atLeast"/>
      </w:pPr>
      <w:hyperlink r:id="rId56">
        <w:r>
          <w:rPr>
            <w:rStyle w:val="DefaultParagraphFont"/>
            <w:color w:val="0563C1"/>
          </w:rPr>
          <w:t xml:space="preserve">[238,241,363,366]. 国网青海省电力公司2026年原集体企业和子公司第二次服务类区域联合授权谈判采购采购公告</w:t>
        </w:r>
      </w:hyperlink>
    </w:p>
    <w:p>
      <w:pPr>
        <w:spacing w:after="200" w:line="400" w:lineRule="atLeast"/>
      </w:pPr>
      <w:hyperlink r:id="rId57">
        <w:r>
          <w:rPr>
            <w:rStyle w:val="DefaultParagraphFont"/>
            <w:color w:val="0563C1"/>
          </w:rPr>
          <w:t xml:space="preserve">[239,242,365,368]. 国网青海省电力公司2026年高校毕业生招聘公告（第一批）</w:t>
        </w:r>
      </w:hyperlink>
    </w:p>
    <w:p>
      <w:pPr>
        <w:spacing w:after="200" w:line="400" w:lineRule="atLeast"/>
      </w:pPr>
      <w:hyperlink r:id="rId58">
        <w:r>
          <w:rPr>
            <w:rStyle w:val="DefaultParagraphFont"/>
            <w:color w:val="0563C1"/>
          </w:rPr>
          <w:t xml:space="preserve">[240,364,367]. 王卫东石建平赴国网青海省电力公司走访并座谈</w:t>
        </w:r>
      </w:hyperlink>
    </w:p>
    <w:p>
      <w:pPr>
        <w:spacing w:after="200" w:line="400" w:lineRule="atLeast"/>
      </w:pPr>
      <w:hyperlink r:id="rId59">
        <w:r>
          <w:rPr>
            <w:rStyle w:val="DefaultParagraphFont"/>
            <w:color w:val="0563C1"/>
          </w:rPr>
          <w:t xml:space="preserve">[243]. 国网青海省电力公司2026年高校毕业生招聘公告（第二批）</w:t>
        </w:r>
      </w:hyperlink>
    </w:p>
    <w:p>
      <w:pPr>
        <w:spacing w:after="200" w:line="400" w:lineRule="atLeast"/>
      </w:pPr>
      <w:hyperlink r:id="rId60">
        <w:r>
          <w:rPr>
            <w:rStyle w:val="DefaultParagraphFont"/>
            <w:color w:val="0563C1"/>
          </w:rPr>
          <w:t xml:space="preserve">[257,322,326,330,336,340,404,413,426,428,431,433]. 关于建立青海省发电侧容量电价机制的通知（公开征求意见稿）</w:t>
        </w:r>
      </w:hyperlink>
    </w:p>
    <w:p>
      <w:pPr>
        <w:spacing w:after="200" w:line="400" w:lineRule="atLeast"/>
      </w:pPr>
      <w:hyperlink r:id="rId61">
        <w:r>
          <w:rPr>
            <w:rStyle w:val="DefaultParagraphFont"/>
            <w:color w:val="0563C1"/>
          </w:rPr>
          <w:t xml:space="preserve">[269,283,354,357]. 青海拟执行发电侧容量电价 2026 年统一补偿165元/(千瓦・年)</w:t>
        </w:r>
      </w:hyperlink>
    </w:p>
    <w:p>
      <w:pPr>
        <w:spacing w:after="200" w:line="400" w:lineRule="atLeast"/>
      </w:pPr>
      <w:hyperlink r:id="rId62">
        <w:r>
          <w:rPr>
            <w:rStyle w:val="DefaultParagraphFont"/>
            <w:color w:val="0563C1"/>
          </w:rPr>
          <w:t xml:space="preserve">[289,292]. 电力设备行业：青海、宁夏发布储能容量电价政策，两部门发布完善价格机制促进新能源发电就近消纳通知</w:t>
        </w:r>
      </w:hyperlink>
    </w:p>
    <w:p>
      <w:pPr>
        <w:spacing w:after="200" w:line="400" w:lineRule="atLeast"/>
      </w:pPr>
      <w:hyperlink r:id="rId63">
        <w:r>
          <w:rPr>
            <w:rStyle w:val="DefaultParagraphFont"/>
            <w:color w:val="0563C1"/>
          </w:rPr>
          <w:t xml:space="preserve">[323,331,444,453,456,464]. 青海省发电侧可靠容量补偿机制（征求意见稿）</w:t>
        </w:r>
      </w:hyperlink>
    </w:p>
    <w:p>
      <w:pPr>
        <w:spacing w:after="200" w:line="400" w:lineRule="atLeast"/>
      </w:pPr>
      <w:hyperlink r:id="rId64">
        <w:r>
          <w:rPr>
            <w:rStyle w:val="DefaultParagraphFont"/>
            <w:color w:val="0563C1"/>
          </w:rPr>
          <w:t xml:space="preserve">[327,406,416,429,435]. 关于建立青海省发电侧容量电价机制的通知（公开征求意见稿)</w:t>
        </w:r>
      </w:hyperlink>
    </w:p>
    <w:p>
      <w:pPr>
        <w:spacing w:after="200" w:line="400" w:lineRule="atLeast"/>
      </w:pPr>
      <w:hyperlink r:id="rId65">
        <w:r>
          <w:rPr>
            <w:rStyle w:val="DefaultParagraphFont"/>
            <w:color w:val="0563C1"/>
          </w:rPr>
          <w:t xml:space="preserve">[346,351,437,442]. 青海省发电侧可靠容量补偿机制（征求意见稿）</w:t>
        </w:r>
      </w:hyperlink>
    </w:p>
    <w:p>
      <w:pPr>
        <w:spacing w:after="200" w:line="400" w:lineRule="atLeast"/>
      </w:pPr>
      <w:hyperlink r:id="rId66">
        <w:r>
          <w:rPr>
            <w:rStyle w:val="DefaultParagraphFont"/>
            <w:color w:val="0563C1"/>
          </w:rPr>
          <w:t xml:space="preserve">[362,499,500]. 新蓄电池组在安装调试结束后，应对蓄电池组进行全容量核对性放电试验，应满足标称容量的（） | 监控比武-国网青海省电力公司变电站直流系统全过程管理实施细则</w:t>
        </w:r>
      </w:hyperlink>
    </w:p>
    <w:p>
      <w:pPr>
        <w:spacing w:after="200" w:line="400" w:lineRule="atLeast"/>
      </w:pPr>
      <w:hyperlink r:id="rId67">
        <w:r>
          <w:rPr>
            <w:rStyle w:val="DefaultParagraphFont"/>
            <w:color w:val="0563C1"/>
          </w:rPr>
          <w:t xml:space="preserve">[371,382,385,387,392,400]. 青海省发电侧可靠容量补偿机制（征求意见稿）</w:t>
        </w:r>
      </w:hyperlink>
    </w:p>
    <w:p>
      <w:pPr>
        <w:spacing w:after="200" w:line="400" w:lineRule="atLeast"/>
      </w:pPr>
      <w:hyperlink r:id="rId68">
        <w:r>
          <w:rPr>
            <w:rStyle w:val="DefaultParagraphFont"/>
            <w:color w:val="0563C1"/>
          </w:rPr>
          <w:t xml:space="preserve">[373,375]. 青海：2026容量电价补偿标准165元/千瓦·年（意见稿）</w:t>
        </w:r>
      </w:hyperlink>
    </w:p>
    <w:p>
      <w:pPr>
        <w:spacing w:after="200" w:line="400" w:lineRule="atLeast"/>
      </w:pPr>
      <w:hyperlink r:id="rId69">
        <w:r>
          <w:rPr>
            <w:rStyle w:val="DefaultParagraphFont"/>
            <w:color w:val="0563C1"/>
          </w:rPr>
          <w:t xml:space="preserve">[389,393,397,399]. 青海发电侧容量补偿机制再次征求意见</w:t>
        </w:r>
      </w:hyperlink>
    </w:p>
    <w:p>
      <w:pPr>
        <w:spacing w:after="200" w:line="400" w:lineRule="atLeast"/>
      </w:pPr>
      <w:hyperlink r:id="rId70">
        <w:r>
          <w:rPr>
            <w:rStyle w:val="DefaultParagraphFont"/>
            <w:color w:val="0563C1"/>
          </w:rPr>
          <w:t xml:space="preserve">[402,411,420,424]. 青海省发改委发布《关于建立青海省发电侧容量电价机制的通知（征求意见稿）》</w:t>
        </w:r>
      </w:hyperlink>
    </w:p>
    <w:p>
      <w:pPr>
        <w:spacing w:after="200" w:line="400" w:lineRule="atLeast"/>
      </w:pPr>
      <w:hyperlink r:id="rId71">
        <w:r>
          <w:rPr>
            <w:rStyle w:val="DefaultParagraphFont"/>
            <w:color w:val="0563C1"/>
          </w:rPr>
          <w:t xml:space="preserve">[415,422,434,494]. 关于建立青海省发电侧容量电价机制的通知(公开征求意见稿)</w:t>
        </w:r>
      </w:hyperlink>
    </w:p>
    <w:p>
      <w:pPr>
        <w:spacing w:after="200" w:line="400" w:lineRule="atLeast"/>
      </w:pPr>
      <w:hyperlink r:id="rId72">
        <w:r>
          <w:rPr>
            <w:rStyle w:val="DefaultParagraphFont"/>
            <w:color w:val="0563C1"/>
          </w:rPr>
          <w:t xml:space="preserve">[421]. 关于建立青海省发电侧容量电价机制的通知（征求意见稿）</w:t>
        </w:r>
      </w:hyperlink>
    </w:p>
    <w:p>
      <w:pPr>
        <w:spacing w:after="200" w:line="400" w:lineRule="atLeast"/>
      </w:pPr>
      <w:hyperlink r:id="rId73">
        <w:r>
          <w:rPr>
            <w:rStyle w:val="DefaultParagraphFont"/>
            <w:color w:val="0563C1"/>
          </w:rPr>
          <w:t xml:space="preserve">[436,438,441,471,481,483,486]. 青海发电侧容量补偿机制再次征求意见</w:t>
        </w:r>
      </w:hyperlink>
    </w:p>
    <w:p>
      <w:pPr>
        <w:spacing w:after="200" w:line="400" w:lineRule="atLeast"/>
      </w:pPr>
      <w:hyperlink r:id="rId74">
        <w:r>
          <w:rPr>
            <w:rStyle w:val="DefaultParagraphFont"/>
            <w:color w:val="0563C1"/>
          </w:rPr>
          <w:t xml:space="preserve">[439]. 国家能源局西北监管局监管整改通知书</w:t>
        </w:r>
      </w:hyperlink>
    </w:p>
    <w:p>
      <w:pPr>
        <w:spacing w:after="200" w:line="400" w:lineRule="atLeast"/>
      </w:pPr>
      <w:hyperlink r:id="rId75">
        <w:r>
          <w:rPr>
            <w:rStyle w:val="DefaultParagraphFont"/>
            <w:color w:val="0563C1"/>
          </w:rPr>
          <w:t xml:space="preserve">[440]. 国家能源局西北监管局关于印发2022年6月份陕西电网、宁夏电网、青海电网及灵绍、昭沂直流配套电源“两个细则”考核补偿情况的通知</w:t>
        </w:r>
      </w:hyperlink>
    </w:p>
    <w:p>
      <w:pPr>
        <w:spacing w:after="200" w:line="400" w:lineRule="atLeast"/>
      </w:pPr>
      <w:hyperlink r:id="rId76">
        <w:r>
          <w:rPr>
            <w:rStyle w:val="DefaultParagraphFont"/>
            <w:color w:val="0563C1"/>
          </w:rPr>
          <w:t xml:space="preserve">[446,451,458]. 《青海省发电侧可靠容量补偿机制（征求意见稿）》征求意见</w:t>
        </w:r>
      </w:hyperlink>
    </w:p>
    <w:p>
      <w:pPr>
        <w:spacing w:after="200" w:line="400" w:lineRule="atLeast"/>
      </w:pPr>
      <w:hyperlink r:id="rId77">
        <w:r>
          <w:rPr>
            <w:rStyle w:val="DefaultParagraphFont"/>
            <w:color w:val="0563C1"/>
          </w:rPr>
          <w:t xml:space="preserve">[472,475]. 青海省深化新能源上网电价市场化改革实施方案</w:t>
        </w:r>
      </w:hyperlink>
    </w:p>
    <w:p>
      <w:pPr>
        <w:spacing w:after="200" w:line="400" w:lineRule="atLeast"/>
      </w:pPr>
      <w:hyperlink r:id="rId78">
        <w:r>
          <w:rPr>
            <w:rStyle w:val="DefaultParagraphFont"/>
            <w:color w:val="0563C1"/>
          </w:rPr>
          <w:t xml:space="preserve">[476,484,492,514,519]. 青海发电侧容量电价：适用不含新能源补贴的光热发电，厂用电率按21.53%计算，容量补偿165元/kW·年</w:t>
        </w:r>
      </w:hyperlink>
    </w:p>
    <w:p>
      <w:pPr>
        <w:spacing w:after="200" w:line="400" w:lineRule="atLeast"/>
      </w:pPr>
      <w:hyperlink r:id="rId79">
        <w:r>
          <w:rPr>
            <w:rStyle w:val="DefaultParagraphFont"/>
            <w:color w:val="0563C1"/>
          </w:rPr>
          <w:t xml:space="preserve">[485,493]. 青海省新能源可持续发展价格结算机制细则</w:t>
        </w:r>
      </w:hyperlink>
    </w:p>
    <w:p>
      <w:pPr>
        <w:spacing w:after="200" w:line="400" w:lineRule="atLeast"/>
      </w:pPr>
      <w:hyperlink r:id="rId80">
        <w:r>
          <w:rPr>
            <w:rStyle w:val="DefaultParagraphFont"/>
            <w:color w:val="0563C1"/>
          </w:rPr>
          <w:t xml:space="preserve">[488,524,531]. 面向电网、用户、新能源企业及储能投资运营商的新型储能机制发展</w:t>
        </w:r>
      </w:hyperlink>
    </w:p>
    <w:p>
      <w:pPr>
        <w:spacing w:after="200" w:line="400" w:lineRule="atLeast"/>
      </w:pPr>
      <w:hyperlink r:id="rId81">
        <w:r>
          <w:rPr>
            <w:rStyle w:val="DefaultParagraphFont"/>
            <w:color w:val="0563C1"/>
          </w:rPr>
          <w:t xml:space="preserve">[489,495]. 关于公布2019年11月份青海电网“两个细则”考核补偿情况的通知</w:t>
        </w:r>
      </w:hyperlink>
    </w:p>
    <w:p>
      <w:pPr>
        <w:spacing w:after="200" w:line="400" w:lineRule="atLeast"/>
      </w:pPr>
      <w:hyperlink r:id="rId82">
        <w:r>
          <w:rPr>
            <w:rStyle w:val="DefaultParagraphFont"/>
            <w:color w:val="0563C1"/>
          </w:rPr>
          <w:t xml:space="preserve">[490,496]. 关于公布2019年4月份青海电网“两个细则”考核补偿情况的通知</w:t>
        </w:r>
      </w:hyperlink>
    </w:p>
    <w:p>
      <w:pPr>
        <w:spacing w:after="200" w:line="400" w:lineRule="atLeast"/>
      </w:pPr>
      <w:hyperlink r:id="rId83">
        <w:r>
          <w:rPr>
            <w:rStyle w:val="DefaultParagraphFont"/>
            <w:color w:val="0563C1"/>
          </w:rPr>
          <w:t xml:space="preserve">[491]. 数字储能网 -新能源建设与消纳</w:t>
        </w:r>
      </w:hyperlink>
    </w:p>
    <w:p>
      <w:pPr>
        <w:spacing w:after="200" w:line="400" w:lineRule="atLeast"/>
      </w:pPr>
      <w:hyperlink r:id="rId84">
        <w:r>
          <w:rPr>
            <w:rStyle w:val="DefaultParagraphFont"/>
            <w:color w:val="0563C1"/>
          </w:rPr>
          <w:t xml:space="preserve">[497]. 关于公布2017年7月份青海电网“两个细则”考核补偿情况的通知</w:t>
        </w:r>
      </w:hyperlink>
    </w:p>
    <w:p>
      <w:pPr>
        <w:spacing w:after="200" w:line="400" w:lineRule="atLeast"/>
      </w:pPr>
      <w:hyperlink r:id="rId85">
        <w:r>
          <w:rPr>
            <w:rStyle w:val="DefaultParagraphFont"/>
            <w:color w:val="0563C1"/>
          </w:rPr>
          <w:t xml:space="preserve">[501,504,510,521,526]. 青海省发电侧可靠容量补偿机制（征求意见稿）</w:t>
        </w:r>
      </w:hyperlink>
    </w:p>
    <w:p>
      <w:pPr>
        <w:spacing w:after="200" w:line="400" w:lineRule="atLeast"/>
      </w:pPr>
      <w:hyperlink r:id="rId86">
        <w:r>
          <w:rPr>
            <w:rStyle w:val="DefaultParagraphFont"/>
            <w:color w:val="0563C1"/>
          </w:rPr>
          <w:t xml:space="preserve">[522,528]. 青海电力现货规则：储能10MW/20MWh可参与！调峰/调频/容量补偿……</w:t>
        </w:r>
      </w:hyperlink>
    </w:p>
    <w:p>
      <w:pPr>
        <w:spacing w:after="200" w:line="400" w:lineRule="atLeast"/>
      </w:pPr>
      <w:hyperlink r:id="rId87">
        <w:r>
          <w:rPr>
            <w:rStyle w:val="DefaultParagraphFont"/>
            <w:color w:val="0563C1"/>
          </w:rPr>
          <w:t xml:space="preserve">[523,529]. 青海现货电能量市场交易实施细则（初稿）发布</w:t>
        </w:r>
      </w:hyperlink>
    </w:p>
    <w:p>
      <w:pPr>
        <w:spacing w:after="200" w:line="400" w:lineRule="atLeast"/>
      </w:pPr>
      <w:hyperlink r:id="rId88">
        <w:r>
          <w:rPr>
            <w:rStyle w:val="DefaultParagraphFont"/>
            <w:color w:val="0563C1"/>
          </w:rPr>
          <w:t xml:space="preserve">[527]. 青海容量补偿：165元/kW·年，4h储能系统等效154元/kW·年，清单管理</w:t>
        </w:r>
      </w:hyperlink>
    </w:p>
    <w:p>
      <w:pPr>
        <w:spacing w:after="200" w:line="400" w:lineRule="atLeast"/>
      </w:pPr>
      <w:hyperlink r:id="rId89">
        <w:r>
          <w:rPr>
            <w:rStyle w:val="DefaultParagraphFont"/>
            <w:color w:val="0563C1"/>
          </w:rPr>
          <w:t xml:space="preserve">[530]. 青海电力现货市场规则汇编</w:t>
        </w:r>
      </w:hyperlink>
    </w:p>
    <w:p>
      <w:pPr>
        <w:spacing w:after="200" w:line="400" w:lineRule="atLeast"/>
      </w:pPr>
      <w:hyperlink r:id="rId90">
        <w:r>
          <w:rPr>
            <w:rStyle w:val="DefaultParagraphFont"/>
            <w:color w:val="0563C1"/>
          </w:rPr>
          <w:t xml:space="preserve">[532]. 新型储能下一站，国家发布光热发展目标15GW</w:t>
        </w:r>
      </w:hyperlink>
    </w:p>
    <w:p>
      <w:pPr>
        <w:spacing w:after="400" w:line="400" w:lineRule="atLeast"/>
      </w:pPr>
      <w:r>
        <w:rPr>
          <w:i w:val="true"/>
        </w:rPr>
        <w:t>以下来源未被直接引用</w:t>
      </w:r>
    </w:p>
    <w:p>
      <w:pPr>
        <w:spacing w:after="200" w:line="400" w:lineRule="atLeast"/>
      </w:pPr>
      <w:hyperlink r:id="rId91">
        <w:r>
          <w:rPr>
            <w:rStyle w:val="DefaultParagraphFont"/>
            <w:color w:val="0563C1"/>
          </w:rPr>
          <w:t>青海2025年1-3月全省发、用电量情况</w:t>
        </w:r>
      </w:hyperlink>
    </w:p>
    <w:p>
      <w:pPr>
        <w:spacing w:after="200" w:line="400" w:lineRule="atLeast"/>
      </w:pPr>
      <w:hyperlink r:id="rId92">
        <w:r>
          <w:rPr>
            <w:rStyle w:val="DefaultParagraphFont"/>
            <w:color w:val="0563C1"/>
          </w:rPr>
          <w:t>青海省关于促进光热发电规模化发展的若干措施</w:t>
        </w:r>
      </w:hyperlink>
    </w:p>
    <w:p>
      <w:pPr>
        <w:spacing w:after="200" w:line="400" w:lineRule="atLeast"/>
      </w:pPr>
      <w:hyperlink r:id="rId93">
        <w:r>
          <w:rPr>
            <w:rStyle w:val="DefaultParagraphFont"/>
            <w:color w:val="0563C1"/>
          </w:rPr>
          <w:t>电价是使用电能的价格</w:t>
        </w:r>
      </w:hyperlink>
    </w:p>
    <w:p>
      <w:pPr>
        <w:spacing w:after="200" w:line="400" w:lineRule="atLeast"/>
      </w:pPr>
      <w:hyperlink r:id="rId94">
        <w:r>
          <w:rPr>
            <w:rStyle w:val="DefaultParagraphFont"/>
            <w:color w:val="0563C1"/>
          </w:rPr>
          <w:t>安徽电力交易中心公示安徽电力市场保底售电公司</w:t>
        </w:r>
      </w:hyperlink>
    </w:p>
    <w:p>
      <w:pPr>
        <w:spacing w:after="200" w:line="400" w:lineRule="atLeast"/>
      </w:pPr>
      <w:hyperlink r:id="rId95">
        <w:r>
          <w:rPr>
            <w:rStyle w:val="DefaultParagraphFont"/>
            <w:color w:val="0563C1"/>
          </w:rPr>
          <w:t>国际能源网-</w:t>
        </w:r>
      </w:hyperlink>
    </w:p>
    <w:p>
      <w:pPr>
        <w:spacing w:after="200" w:line="400" w:lineRule="atLeast"/>
      </w:pPr>
      <w:hyperlink r:id="rId96">
        <w:r>
          <w:rPr>
            <w:rStyle w:val="DefaultParagraphFont"/>
            <w:color w:val="0563C1"/>
          </w:rPr>
          <w:t>青海省2026年电力中长期交易方案印发-新闻头条-电力投资资讯网</w:t>
        </w:r>
      </w:hyperlink>
    </w:p>
    <w:p>
      <w:pPr>
        <w:spacing w:after="200" w:line="400" w:lineRule="atLeast"/>
      </w:pPr>
      <w:hyperlink r:id="rId97">
        <w:r>
          <w:rPr>
            <w:rStyle w:val="DefaultParagraphFont"/>
            <w:color w:val="0563C1"/>
          </w:rPr>
          <w:t>青海省建立光热发电容量电价机制</w:t>
        </w:r>
      </w:hyperlink>
    </w:p>
    <w:p>
      <w:pPr>
        <w:spacing w:after="200" w:line="400" w:lineRule="atLeast"/>
      </w:pPr>
      <w:hyperlink r:id="rId98">
        <w:r>
          <w:rPr>
            <w:rStyle w:val="DefaultParagraphFont"/>
            <w:color w:val="0563C1"/>
          </w:rPr>
          <w:t>电力设备行业跟踪周报：储能、锂电&amp;光伏需求旺盛、工控和海风需求好转增持（维持）</w:t>
        </w:r>
      </w:hyperlink>
    </w:p>
    <w:p>
      <w:pPr>
        <w:spacing w:after="200" w:line="400" w:lineRule="atLeast"/>
      </w:pPr>
      <w:hyperlink r:id="rId99">
        <w:r>
          <w:rPr>
            <w:rStyle w:val="DefaultParagraphFont"/>
            <w:color w:val="0563C1"/>
          </w:rPr>
          <w:t>龙源电力集团股份有限公司2026年月发电量数据公告</w:t>
        </w:r>
      </w:hyperlink>
    </w:p>
    <w:p>
      <w:pPr>
        <w:spacing w:after="200" w:line="400" w:lineRule="atLeast"/>
      </w:pPr>
      <w:hyperlink r:id="rId100">
        <w:r>
          <w:rPr>
            <w:rStyle w:val="DefaultParagraphFont"/>
            <w:color w:val="0563C1"/>
          </w:rPr>
          <w:t>本期你会看到</w:t>
        </w:r>
      </w:hyperlink>
    </w:p>
    <w:p>
      <w:pPr>
        <w:spacing w:after="200" w:line="400" w:lineRule="atLeast"/>
      </w:pPr>
      <w:hyperlink r:id="rId101">
        <w:r>
          <w:rPr>
            <w:rStyle w:val="DefaultParagraphFont"/>
            <w:color w:val="0563C1"/>
          </w:rPr>
          <w:t>行业要闻</w:t>
        </w:r>
      </w:hyperlink>
    </w:p>
    <w:p>
      <w:pPr>
        <w:spacing w:after="200" w:line="400" w:lineRule="atLeast"/>
      </w:pPr>
      <w:hyperlink r:id="rId102">
        <w:r>
          <w:rPr>
            <w:rStyle w:val="DefaultParagraphFont"/>
            <w:color w:val="0563C1"/>
          </w:rPr>
          <w:t xml:space="preserve">电力设备行业电改系列：容量电价日臻完善 新型储能核心受益</w:t>
        </w:r>
      </w:hyperlink>
    </w:p>
    <w:p>
      <w:pPr>
        <w:spacing w:after="200" w:line="400" w:lineRule="atLeast"/>
      </w:pPr>
      <w:hyperlink r:id="rId103">
        <w:r>
          <w:rPr>
            <w:rStyle w:val="DefaultParagraphFont"/>
            <w:color w:val="0563C1"/>
          </w:rPr>
          <w:t>甘肃、青海两省发电侧容量电价机制设计及对光热发电的影响</w:t>
        </w:r>
      </w:hyperlink>
    </w:p>
    <w:p>
      <w:pPr>
        <w:spacing w:after="200" w:line="400" w:lineRule="atLeast"/>
      </w:pPr>
      <w:hyperlink r:id="rId104">
        <w:r>
          <w:rPr>
            <w:rStyle w:val="DefaultParagraphFont"/>
            <w:color w:val="0563C1"/>
          </w:rPr>
          <w:t>容量电价机制出台，关注火电投资机会</w:t>
        </w:r>
      </w:hyperlink>
    </w:p>
    <w:p>
      <w:pPr>
        <w:spacing w:after="200" w:line="400" w:lineRule="atLeast"/>
      </w:pPr>
      <w:hyperlink r:id="rId105">
        <w:r>
          <w:rPr>
            <w:rStyle w:val="DefaultParagraphFont"/>
            <w:color w:val="0563C1"/>
          </w:rPr>
          <w:t>关于甘肃电投能源发展股份有限公司发行股份购买资产并募集配套资金申请的审核问询函回复之专项核查意见</w:t>
        </w:r>
      </w:hyperlink>
    </w:p>
    <w:p>
      <w:pPr>
        <w:spacing w:after="200" w:line="400" w:lineRule="atLeast"/>
      </w:pPr>
      <w:hyperlink r:id="rId106">
        <w:r>
          <w:rPr>
            <w:rStyle w:val="DefaultParagraphFont"/>
            <w:color w:val="0563C1"/>
          </w:rPr>
          <w:t>分摊规则</w:t>
        </w:r>
      </w:hyperlink>
    </w:p>
    <w:p>
      <w:pPr>
        <w:spacing w:after="200" w:line="400" w:lineRule="atLeast"/>
      </w:pPr>
      <w:hyperlink r:id="rId107">
        <w:r>
          <w:rPr>
            <w:rStyle w:val="DefaultParagraphFont"/>
            <w:color w:val="0563C1"/>
          </w:rPr>
          <w:t>青海发布容量电价意见稿：2026补偿标准165元/千瓦·年</w:t>
        </w:r>
      </w:hyperlink>
    </w:p>
    <w:p>
      <w:pPr>
        <w:spacing w:after="200" w:line="400" w:lineRule="atLeast"/>
      </w:pPr>
      <w:hyperlink r:id="rId108">
        <w:r>
          <w:rPr>
            <w:rStyle w:val="DefaultParagraphFont"/>
            <w:color w:val="0563C1"/>
          </w:rPr>
          <w:t>2026年国网青海省电力公司第一批高校毕业生录用人选公示</w:t>
        </w:r>
      </w:hyperlink>
    </w:p>
    <w:p>
      <w:pPr>
        <w:spacing w:after="200" w:line="400" w:lineRule="atLeast"/>
      </w:pPr>
      <w:hyperlink r:id="rId109">
        <w:r>
          <w:rPr>
            <w:rStyle w:val="DefaultParagraphFont"/>
            <w:color w:val="0563C1"/>
          </w:rPr>
          <w:t>青海电力现货电能量市场连续结算试运行工作方案</w:t>
        </w:r>
      </w:hyperlink>
    </w:p>
    <w:p>
      <w:pPr>
        <w:spacing w:after="200" w:line="400" w:lineRule="atLeast"/>
      </w:pPr>
      <w:hyperlink r:id="rId110">
        <w:r>
          <w:rPr>
            <w:rStyle w:val="DefaultParagraphFont"/>
            <w:color w:val="0563C1"/>
          </w:rPr>
          <w:t>2026全国高校商业精英挑战赛会计案例竞赛实施细则</w:t>
        </w:r>
      </w:hyperlink>
    </w:p>
    <w:p>
      <w:pPr>
        <w:spacing w:after="200" w:line="400" w:lineRule="atLeast"/>
      </w:pPr>
      <w:hyperlink r:id="rId111">
        <w:r>
          <w:rPr>
            <w:rStyle w:val="DefaultParagraphFont"/>
            <w:color w:val="0563C1"/>
          </w:rPr>
          <w:t>婚姻法新21条征求意见稿解读</w:t>
        </w:r>
      </w:hyperlink>
    </w:p>
    <w:p>
      <w:pPr>
        <w:spacing w:after="200" w:line="400" w:lineRule="atLeast"/>
      </w:pPr>
      <w:hyperlink r:id="rId112">
        <w:r>
          <w:rPr>
            <w:rStyle w:val="DefaultParagraphFont"/>
            <w:color w:val="0563C1"/>
          </w:rPr>
          <w:t>2023年3月份青海电网“两个细则”考核补偿结果</w:t>
        </w:r>
      </w:hyperlink>
    </w:p>
    <w:sectPr>
      <w:headerReference w:type="default" r:id="rId113"/>
      <w:footerReference w:type="default" r:id="rId114"/>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2351" name="image" descr="image"/>
          <wp:cNvGraphicFramePr>
            <a:graphicFrameLocks noChangeAspect="true"/>
          </wp:cNvGraphicFramePr>
          <a:graphic>
            <a:graphicData uri="http://schemas.openxmlformats.org/drawingml/2006/picture">
              <pic:pic>
                <pic:nvPicPr>
                  <pic:cNvPr id="4702"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7">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8">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9">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1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5">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6">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13"/>
  </w:num>
  <w:num w:numId="2">
    <w:abstractNumId w:val="0"/>
  </w:num>
  <w:num w:numId="3">
    <w:abstractNumId w:val="13"/>
  </w:num>
  <w:num w:numId="4">
    <w:abstractNumId w:val="13"/>
  </w:num>
  <w:num w:numId="5">
    <w:abstractNumId w:val="1"/>
  </w:num>
  <w:num w:numId="6">
    <w:abstractNumId w:val="12"/>
  </w:num>
  <w:num w:numId="7">
    <w:abstractNumId w:val="13"/>
  </w:num>
  <w:num w:numId="8">
    <w:abstractNumId w:val="13"/>
  </w:num>
  <w:num w:numId="9">
    <w:abstractNumId w:val="14"/>
  </w:num>
  <w:num w:numId="10">
    <w:abstractNumId w:val="13"/>
  </w:num>
  <w:num w:numId="11">
    <w:abstractNumId w:val="16"/>
  </w:num>
  <w:num w:numId="12">
    <w:abstractNumId w:val="13"/>
  </w:num>
  <w:num w:numId="13">
    <w:abstractNumId w:val="8"/>
  </w:num>
  <w:num w:numId="14">
    <w:abstractNumId w:val="15"/>
  </w:num>
  <w:num w:numId="15">
    <w:abstractNumId w:val="13"/>
  </w:num>
  <w:num w:numId="16">
    <w:abstractNumId w:val="13"/>
  </w:num>
  <w:num w:numId="17">
    <w:abstractNumId w:val="7"/>
  </w:num>
  <w:num w:numId="18">
    <w:abstractNumId w:val="11"/>
  </w:num>
  <w:num w:numId="19">
    <w:abstractNumId w:val="13"/>
  </w:num>
  <w:num w:numId="20">
    <w:abstractNumId w:val="13"/>
  </w:num>
  <w:num w:numId="21">
    <w:abstractNumId w:val="6"/>
  </w:num>
  <w:num w:numId="22">
    <w:abstractNumId w:val="13"/>
  </w:num>
  <w:num w:numId="23">
    <w:abstractNumId w:val="13"/>
  </w:num>
  <w:num w:numId="24">
    <w:abstractNumId w:val="13"/>
  </w:num>
  <w:num w:numId="25">
    <w:abstractNumId w:val="5"/>
  </w:num>
  <w:num w:numId="26">
    <w:abstractNumId w:val="3"/>
  </w:num>
  <w:num w:numId="27">
    <w:abstractNumId w:val="13"/>
  </w:num>
  <w:num w:numId="28">
    <w:abstractNumId w:val="4"/>
  </w:num>
  <w:num w:numId="29">
    <w:abstractNumId w:val="13"/>
  </w:num>
  <w:num w:numId="30">
    <w:abstractNumId w:val="9"/>
  </w:num>
  <w:num w:numId="31">
    <w:abstractNumId w:val="13"/>
  </w:num>
  <w:num w:numId="32">
    <w:abstractNumId w:val="13"/>
  </w:num>
  <w:num w:numId="33">
    <w:abstractNumId w:val="10"/>
  </w:num>
  <w:num w:numId="34">
    <w:abstractNumId w:val="13"/>
  </w:num>
  <w:num w:numId="35">
    <w:abstractNumId w:val="13"/>
  </w:num>
  <w:num w:numId="36">
    <w:abstractNumId w:val="13"/>
  </w:num>
  <w:num w:numId="37">
    <w:abstractNumId w:val="13"/>
  </w:num>
  <w:num w:numId="38">
    <w:abstractNumId w:val="13"/>
  </w:num>
  <w:num w:numId="39">
    <w:abstractNumId w:val="2"/>
  </w:num>
  <w:num w:numId="40">
    <w:abstractNumId w:val="13"/>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www.cqvip.com/search?k=2026%E6%96%B0%E5%B9%B4%E8%B4%BA%E8%AF%8D" Type="http://schemas.openxmlformats.org/officeDocument/2006/relationships/hyperlink" Id="rId4"/>
    <Relationship TargetMode="External" Target="https://s.wanfangdata.com.cn/paper?q=%E3%80%8A%E5%A4%96%E8%AF%AD%E7%A0%94%E7%A9%B6%E3%80%8B2026%E5%B9%B4%E5%BA%A6%E9%87%8D%E7%82%B9%E9%80%89%E9%A2%98" Type="http://schemas.openxmlformats.org/officeDocument/2006/relationships/hyperlink" Id="rId5"/>
    <Relationship TargetMode="External" Target="https://s.wanfangdata.com.cn/paper?q=%E3%80%8A%E7%A4%BE%E4%BC%9A%E5%B7%A5%E4%BD%9C%E3%80%8B2026%E5%B9%B4%E9%87%8D%E7%82%B9%E9%80%89%E9%A2%98" Type="http://schemas.openxmlformats.org/officeDocument/2006/relationships/hyperlink" Id="rId6"/>
    <Relationship TargetMode="External" Target="https://www.cqvip.com/search?k=2026%E5%B9%B4%E5%8D%81%E5%A4%A7%E6%88%98%E7%95%A5%E6%8A%80%E6%9C%AF%E8%B6%8B%E5%8A%BF" Type="http://schemas.openxmlformats.org/officeDocument/2006/relationships/hyperlink" Id="rId7"/>
    <Relationship TargetMode="External" Target="https://s.wanfangdata.com.cn/paper?q=%E3%80%8A%E6%96%B0%E7%BB%8F%E6%B5%8E%E3%80%8B2026%E5%B9%B4%E9%87%8D%E7%82%B9%E9%80%89%E9%A2%98%E6%96%B9%E5%90%91" Type="http://schemas.openxmlformats.org/officeDocument/2006/relationships/hyperlink" Id="rId8"/>
    <Relationship TargetMode="External" Target="http://finance.sina.com.cn/roll/2026-02-25/doc-inhnzmmn5112289.shtml" Type="http://schemas.openxmlformats.org/officeDocument/2006/relationships/hyperlink" Id="rId9"/>
    <Relationship TargetMode="External" Target="https://www.in-en.com/article/html/energy-2342022.shtml" Type="http://schemas.openxmlformats.org/officeDocument/2006/relationships/hyperlink" Id="rId10"/>
    <Relationship TargetMode="External" Target="https://news.bjx.com.cn/html/20200210/1041096.shtml" Type="http://schemas.openxmlformats.org/officeDocument/2006/relationships/hyperlink" Id="rId11"/>
    <Relationship TargetMode="External" Target="https://cj.sina.com.cn/articles/view/5953466437/162dab0450670a3zoi" Type="http://schemas.openxmlformats.org/officeDocument/2006/relationships/hyperlink" Id="rId12"/>
    <Relationship TargetMode="External" Target="https://m.sohu.com/a/1014184446_703050" Type="http://schemas.openxmlformats.org/officeDocument/2006/relationships/hyperlink" Id="rId13"/>
    <Relationship TargetMode="External" Target="https://temporary-cache.metaso.cn/preview?name=8715381109717118976.pdf&amp;ttl=48h" Type="http://schemas.openxmlformats.org/officeDocument/2006/relationships/hyperlink" Id="rId14"/>
    <Relationship TargetMode="External" Target="https://temporary-cache.metaso.cn/preview?name=8726601939905916928.pdf&amp;ttl=48h" Type="http://schemas.openxmlformats.org/officeDocument/2006/relationships/hyperlink" Id="rId15"/>
    <Relationship TargetMode="External" Target="http://www.cnnes.cc/hangye/20260225/12925.html" Type="http://schemas.openxmlformats.org/officeDocument/2006/relationships/hyperlink" Id="rId16"/>
    <Relationship TargetMode="External" Target="https://www.pvmeng.com/2025/11/17/49165/" Type="http://schemas.openxmlformats.org/officeDocument/2006/relationships/hyperlink" Id="rId17"/>
    <Relationship TargetMode="External" Target="https://rmi.org.cn/wp-content/uploads/2025/12/251211-%E5%AE%B9%E9%87%8F%E6%9C%BA%E5%88%B6%E6%BC%94%E8%BF%9B%E4%B8%8B%E7%9A%84%E6%96%B0%E5%9E%8B%E5%82%A8%E8%83%BD%E5%8F%91%E5%B1%95%E7%AD%96%E7%95%A5%EF%BC%9A-%E5%9F%BA%E4%BA%8E%E5%9B%BD%E5%86%85%E5%A4%96%E5%AE%9E%E8%B7%B5%E7%9A%84%E6%AF%94%E8%BE%83%E7%A0%94%E7%A9%B6.pdf" Type="http://schemas.openxmlformats.org/officeDocument/2006/relationships/hyperlink" Id="rId18"/>
    <Relationship TargetMode="External" Target="http://static.cninfo.com.cn/finalpage/2024-09-24/1221277478.PDF" Type="http://schemas.openxmlformats.org/officeDocument/2006/relationships/hyperlink" Id="rId19"/>
    <Relationship TargetMode="External" Target="https://finance.sina.cn/2025-10-11/detail-inftprkk7016582.d.html" Type="http://schemas.openxmlformats.org/officeDocument/2006/relationships/hyperlink" Id="rId20"/>
    <Relationship TargetMode="External" Target="https://luliao.lgmi.com/html/202602/26/3877.htm" Type="http://schemas.openxmlformats.org/officeDocument/2006/relationships/hyperlink" Id="rId21"/>
    <Relationship TargetMode="External" Target="https://xbj.nea.gov.cn/xxgk/zcjd/202603/t20260320_298288.html" Type="http://schemas.openxmlformats.org/officeDocument/2006/relationships/hyperlink" Id="rId22"/>
    <Relationship TargetMode="External" Target="https://k.sina.cn/article_5953740931_162dee08306702r2tk.html" Type="http://schemas.openxmlformats.org/officeDocument/2006/relationships/hyperlink" Id="rId23"/>
    <Relationship TargetMode="External" Target="http://www.cipfe.com.cn/hy/1573.html" Type="http://schemas.openxmlformats.org/officeDocument/2006/relationships/hyperlink" Id="rId24"/>
    <Relationship TargetMode="External" Target="https://m.sohu.com/a/1013011537_121123908" Type="http://schemas.openxmlformats.org/officeDocument/2006/relationships/hyperlink" Id="rId25"/>
    <Relationship TargetMode="External" Target="https://www.esplaza.com.cn/article-12006-1.html" Type="http://schemas.openxmlformats.org/officeDocument/2006/relationships/hyperlink" Id="rId26"/>
    <Relationship TargetMode="External" Target="https://temporary-cache.metaso.cn/preview?name=8716703492839682048.pdf&amp;ttl=48h" Type="http://schemas.openxmlformats.org/officeDocument/2006/relationships/hyperlink" Id="rId27"/>
    <Relationship TargetMode="External" Target="https://news.qq.com/rain/a/20260416A06CO500?adChannelId=finance" Type="http://schemas.openxmlformats.org/officeDocument/2006/relationships/hyperlink" Id="rId28"/>
    <Relationship TargetMode="External" Target="https://epjournal.csee.org.cn/dwjs/cn/article/pdf/preview/10.13335/j.1000-3673.pst.2022.0269.pdf" Type="http://schemas.openxmlformats.org/officeDocument/2006/relationships/hyperlink" Id="rId29"/>
    <Relationship TargetMode="External" Target="https://finance.sina.cn/2026-04-22/detail-inhvkqha6104238.d.html" Type="http://schemas.openxmlformats.org/officeDocument/2006/relationships/hyperlink" Id="rId30"/>
    <Relationship TargetMode="External" Target="http://finance.sina.com.cn/roll/2026-02-26/doc-inhpckas1543587.shtml" Type="http://schemas.openxmlformats.org/officeDocument/2006/relationships/hyperlink" Id="rId31"/>
    <Relationship TargetMode="External" Target="https://mp.weixin.qq.com/s?__biz=MzA4NTg0MTQyMw==&amp;mid=2651978057&amp;idx=2&amp;sn=4324b7ab89c77e8333d562fd579a9eb0&amp;chksm=855185efe804d88fcd7ca0415ac11c70adb05dd797f245aa2c2a042f385324f798af3b7c3b47&amp;scene=27" Type="http://schemas.openxmlformats.org/officeDocument/2006/relationships/hyperlink" Id="rId32"/>
    <Relationship TargetMode="External" Target="https://file.finance.qq.com/finance/hs/pdf/2024/11/02/1221603634.PDF" Type="http://schemas.openxmlformats.org/officeDocument/2006/relationships/hyperlink" Id="rId33"/>
    <Relationship TargetMode="External" Target="https://www.nationalee.com/newsinfo/9037626.html" Type="http://schemas.openxmlformats.org/officeDocument/2006/relationships/hyperlink" Id="rId34"/>
    <Relationship TargetMode="External" Target="https://www.163.com/dy/article/KMK6O98N05568W0A.html" Type="http://schemas.openxmlformats.org/officeDocument/2006/relationships/hyperlink" Id="rId35"/>
    <Relationship TargetMode="External" Target="http://cnste.org/uploads/2025/0909/5c92b687ced30477889296dcf2ddb7a9.docx" Type="http://schemas.openxmlformats.org/officeDocument/2006/relationships/hyperlink" Id="rId36"/>
    <Relationship TargetMode="External" Target="https://thj.m.mysteel.com/a/26022514/40B40CC8A654561F_abc.html" Type="http://schemas.openxmlformats.org/officeDocument/2006/relationships/hyperlink" Id="rId37"/>
    <Relationship TargetMode="External" Target="https://finance.sina.cn/2026-04-23/detail-inhvntfe3813136.d.html?vt=4&amp;cid=76729&amp;node_id=76729" Type="http://schemas.openxmlformats.org/officeDocument/2006/relationships/hyperlink" Id="rId38"/>
    <Relationship TargetMode="External" Target="https://www.163.com/dy/article/KMN86G3M0511CVT1.html" Type="http://schemas.openxmlformats.org/officeDocument/2006/relationships/hyperlink" Id="rId39"/>
    <Relationship TargetMode="External" Target="http://www.cnnes.cc/hangye/20260422/13255.html" Type="http://schemas.openxmlformats.org/officeDocument/2006/relationships/hyperlink" Id="rId40"/>
    <Relationship TargetMode="External" Target="https://m.sohu.com/a/1012807257_121123906" Type="http://schemas.openxmlformats.org/officeDocument/2006/relationships/hyperlink" Id="rId41"/>
    <Relationship TargetMode="External" Target="https://m.sohu.com/a/990317675_146940" Type="http://schemas.openxmlformats.org/officeDocument/2006/relationships/hyperlink" Id="rId42"/>
    <Relationship TargetMode="External" Target="https://finance.sina.cn/2026-02-26/detail-inhpckas1543587.d.html" Type="http://schemas.openxmlformats.org/officeDocument/2006/relationships/hyperlink" Id="rId43"/>
    <Relationship TargetMode="External" Target="https://nationalee.com/newsinfo/8970678.html" Type="http://schemas.openxmlformats.org/officeDocument/2006/relationships/hyperlink" Id="rId44"/>
    <Relationship TargetMode="External" Target="https://finance.sina.cn/2026-02-26/detail-inhpefhh1352200.d.html" Type="http://schemas.openxmlformats.org/officeDocument/2006/relationships/hyperlink" Id="rId45"/>
    <Relationship TargetMode="External" Target="http://m.solarzoom.com/article-199333-1.html" Type="http://schemas.openxmlformats.org/officeDocument/2006/relationships/hyperlink" Id="rId46"/>
    <Relationship TargetMode="External" Target="https://temporary-cache.metaso.cn/preview?name=8677589899648487424.pdf&amp;ttl=48h" Type="http://schemas.openxmlformats.org/officeDocument/2006/relationships/hyperlink" Id="rId47"/>
    <Relationship TargetMode="External" Target="https://wap.cj.sina.cn/pc/7x24/4697299" Type="http://schemas.openxmlformats.org/officeDocument/2006/relationships/hyperlink" Id="rId48"/>
    <Relationship TargetMode="External" Target="https://caifuhao.eastmoney.com/news/20260228101126594496530" Type="http://schemas.openxmlformats.org/officeDocument/2006/relationships/hyperlink" Id="rId49"/>
    <Relationship TargetMode="External" Target="https://cj.sina.com.cn/articles/view/5953190046/162d6789e06702pzpq" Type="http://schemas.openxmlformats.org/officeDocument/2006/relationships/hyperlink" Id="rId50"/>
    <Relationship TargetMode="External" Target="https://cj.sina.cn/articles/view/5952915705/162d248f906702j09k?froms=ggmp&amp;vt=4" Type="http://schemas.openxmlformats.org/officeDocument/2006/relationships/hyperlink" Id="rId51"/>
    <Relationship TargetMode="External" Target="https://finance.sina.cn/2026-02-25/detail-inhnzfcm1186169.d.html?vt=4&amp;wm=2824_0024%3Fq%24q&amp;cid=76729&amp;node_id=76729" Type="http://schemas.openxmlformats.org/officeDocument/2006/relationships/hyperlink" Id="rId52"/>
    <Relationship TargetMode="External" Target="https://temporary-cache.metaso.cn/preview?name=2048766860498370560.pdf&amp;ttl=48h" Type="http://schemas.openxmlformats.org/officeDocument/2006/relationships/hyperlink" Id="rId53"/>
    <Relationship TargetMode="External" Target="https://power.in-en.com/html/power-2417568.shtml" Type="http://schemas.openxmlformats.org/officeDocument/2006/relationships/hyperlink" Id="rId54"/>
    <Relationship TargetMode="External" Target="https://m.10jqka.com.cn/20260402/c675727401.shtml" Type="http://schemas.openxmlformats.org/officeDocument/2006/relationships/hyperlink" Id="rId55"/>
    <Relationship TargetMode="External" Target="http://www.qhei.net.cn/html/zbgg/2025_12/215543.html" Type="http://schemas.openxmlformats.org/officeDocument/2006/relationships/hyperlink" Id="rId56"/>
    <Relationship TargetMode="External" Target="https://ah.huatu.com/2025/1117/3147517.html" Type="http://schemas.openxmlformats.org/officeDocument/2006/relationships/hyperlink" Id="rId57"/>
    <Relationship TargetMode="External" Target="https://news.qq.com/rain/a/20250312A04TGK00" Type="http://schemas.openxmlformats.org/officeDocument/2006/relationships/hyperlink" Id="rId58"/>
    <Relationship TargetMode="External" Target="https://ah.huatu.com/2026/0225/3202976.html" Type="http://schemas.openxmlformats.org/officeDocument/2006/relationships/hyperlink" Id="rId59"/>
    <Relationship TargetMode="External" Target="https://mp.weixin.qq.com/s?__biz=MzI2NjQ0NzUxNA==&amp;mid=2247537726&amp;idx=3&amp;sn=0ba87b1154c3a61fac6c61cfec0fd608&amp;chksm=ebdace711c7295dcd1ca41e90d0f03cb9f22bd77f4d3d8ed6530ce3b807d66304ce6868e164f&amp;scene=27" Type="http://schemas.openxmlformats.org/officeDocument/2006/relationships/hyperlink" Id="rId60"/>
    <Relationship TargetMode="External" Target="https://toutiao.toocle.com/detail-10214122.html" Type="http://schemas.openxmlformats.org/officeDocument/2006/relationships/hyperlink" Id="rId61"/>
    <Relationship TargetMode="External" Target="https://temporary-cache.metaso.cn/preview?name=8713049616962224128.pdf&amp;ttl=48h" Type="http://schemas.openxmlformats.org/officeDocument/2006/relationships/hyperlink" Id="rId62"/>
    <Relationship TargetMode="External" Target="https://www.cspplaza.com/article-29488-1.html" Type="http://schemas.openxmlformats.org/officeDocument/2006/relationships/hyperlink" Id="rId63"/>
    <Relationship TargetMode="External" Target="https://zixun.ibicn.com/news/diangong/zhengce/1474045.html" Type="http://schemas.openxmlformats.org/officeDocument/2006/relationships/hyperlink" Id="rId64"/>
    <Relationship TargetMode="External" Target="https://mchuneng.in-en.com/html/chunengy-53942.shtml" Type="http://schemas.openxmlformats.org/officeDocument/2006/relationships/hyperlink" Id="rId65"/>
    <Relationship TargetMode="External" Target="https://so.kaoshibao.com/detail/638801370.html" Type="http://schemas.openxmlformats.org/officeDocument/2006/relationships/hyperlink" Id="rId66"/>
    <Relationship TargetMode="External" Target="https://cj.sina.cn/articles/view/5952915720/162d2490806703rsu6?froms=ggmp&amp;vt=4" Type="http://schemas.openxmlformats.org/officeDocument/2006/relationships/hyperlink" Id="rId67"/>
    <Relationship TargetMode="External" Target="https://m.sohu.com/a/990317675_146940?scm=10001.325_13-325_13.0.0-0-0-0-0.5_1334" Type="http://schemas.openxmlformats.org/officeDocument/2006/relationships/hyperlink" Id="rId68"/>
    <Relationship TargetMode="External" Target="https://finance.sina.cn/2026-04-23/detail-inhvntfe3813136.d.html" Type="http://schemas.openxmlformats.org/officeDocument/2006/relationships/hyperlink" Id="rId69"/>
    <Relationship TargetMode="External" Target="https://finance.sina.com.cn/7x24/2026-02-25/doc-inhnzmmi1131069.shtml" Type="http://schemas.openxmlformats.org/officeDocument/2006/relationships/hyperlink" Id="rId70"/>
    <Relationship TargetMode="External" Target="https://caifuhao.eastmoney.com/news/20260226121638583817070" Type="http://schemas.openxmlformats.org/officeDocument/2006/relationships/hyperlink" Id="rId71"/>
    <Relationship TargetMode="External" Target="https://mcn.solarbe.com/news/20260225/50018661.html" Type="http://schemas.openxmlformats.org/officeDocument/2006/relationships/hyperlink" Id="rId72"/>
    <Relationship TargetMode="External" Target="https://finance.sina.cn/2026-04-23/detail-inhvnhrk3836575.d.html" Type="http://schemas.openxmlformats.org/officeDocument/2006/relationships/hyperlink" Id="rId73"/>
    <Relationship TargetMode="External" Target="http://xbj.nea.gov.cn/dtyw/tzgg/202503/P020250321358931169806.pdf" Type="http://schemas.openxmlformats.org/officeDocument/2006/relationships/hyperlink" Id="rId74"/>
    <Relationship TargetMode="External" Target="https://xbj.nea.gov.cn/upload/2022/09/07/1662520972742000.pdf" Type="http://schemas.openxmlformats.org/officeDocument/2006/relationships/hyperlink" Id="rId75"/>
    <Relationship TargetMode="External" Target="https://m.sohu.com/a/1013117089_120093798" Type="http://schemas.openxmlformats.org/officeDocument/2006/relationships/hyperlink" Id="rId76"/>
    <Relationship TargetMode="External" Target="https://finance.sina.com.cn/roll/2025-09-09/doc-infpvyaq8934519.shtml" Type="http://schemas.openxmlformats.org/officeDocument/2006/relationships/hyperlink" Id="rId77"/>
    <Relationship TargetMode="External" Target="https://finance.sina.cn/2026-02-25/detail-inhnzmmn5112289.d.html?vt=4&amp;wm=2824_0024%3Fq%24q&amp;cid=76729&amp;node_id=76729" Type="http://schemas.openxmlformats.org/officeDocument/2006/relationships/hyperlink" Id="rId78"/>
    <Relationship TargetMode="External" Target="http://www.cnste.org/uploads/2025/1010/45e5a07d27ba17839011d9d59f5dc92c.docx" Type="http://schemas.openxmlformats.org/officeDocument/2006/relationships/hyperlink" Id="rId79"/>
    <Relationship TargetMode="External" Target="https://temporary-cache.metaso.cn/preview?name=8677609243712737280.pdf&amp;ttl=48h" Type="http://schemas.openxmlformats.org/officeDocument/2006/relationships/hyperlink" Id="rId80"/>
    <Relationship TargetMode="External" Target="https://xbj.nea.gov.cn/upload/2020/04/03/1585883810502000.doc" Type="http://schemas.openxmlformats.org/officeDocument/2006/relationships/hyperlink" Id="rId81"/>
    <Relationship TargetMode="External" Target="https://xbj.nea.gov.cn/upload/2019/08/01/1564643282231000.doc" Type="http://schemas.openxmlformats.org/officeDocument/2006/relationships/hyperlink" Id="rId82"/>
    <Relationship TargetMode="External" Target="https://www.desn.com.cn/news/show-697890.html" Type="http://schemas.openxmlformats.org/officeDocument/2006/relationships/hyperlink" Id="rId83"/>
    <Relationship TargetMode="External" Target="https://xbj.nea.gov.cn/upload/2017/09/04/1504537752839000.doc" Type="http://schemas.openxmlformats.org/officeDocument/2006/relationships/hyperlink" Id="rId84"/>
    <Relationship TargetMode="External" Target="https://cj.sina.com.cn/articles/view/5953190046/162d6789e067030crq?froms=ggmp" Type="http://schemas.openxmlformats.org/officeDocument/2006/relationships/hyperlink" Id="rId85"/>
    <Relationship TargetMode="External" Target="https://www.chujiewang.net/cxw/col151/4069" Type="http://schemas.openxmlformats.org/officeDocument/2006/relationships/hyperlink" Id="rId86"/>
    <Relationship TargetMode="External" Target="https://news.bjx.com.cn/html/20221108/1267057-2.shtml" Type="http://schemas.openxmlformats.org/officeDocument/2006/relationships/hyperlink" Id="rId87"/>
    <Relationship TargetMode="External" Target="https://jiukunlunditan.com/news/507" Type="http://schemas.openxmlformats.org/officeDocument/2006/relationships/hyperlink" Id="rId88"/>
    <Relationship TargetMode="External" Target="https://cdn.cspplaza.com/uploads/files/20251024/1761270072126669.pdf" Type="http://schemas.openxmlformats.org/officeDocument/2006/relationships/hyperlink" Id="rId89"/>
    <Relationship TargetMode="External" Target="https://temporary-cache.metaso.cn/preview?name=8692165445804064768.pdf&amp;ttl=48h" Type="http://schemas.openxmlformats.org/officeDocument/2006/relationships/hyperlink" Id="rId90"/>
    <Relationship TargetMode="External" Target="https://news.bjx.com.cn/html/20250425/1438596.shtml" Type="http://schemas.openxmlformats.org/officeDocument/2006/relationships/hyperlink" Id="rId91"/>
    <Relationship TargetMode="External" Target="https://baike.baidu.com/item/%E9%9D%92%E6%B5%B7%E7%9C%81%E5%85%B3%E4%BA%8E%E4%BF%83%E8%BF%9B%E5%85%89%E7%83%AD%E5%8F%91%E7%94%B5%E8%A7%84%E6%A8%A1%E5%8C%96%E5%8F%91%E5%B1%95%E7%9A%84%E8%8B%A5%E5%B9%B2%E6%8E%AA%E6%96%BD/67437073" Type="http://schemas.openxmlformats.org/officeDocument/2006/relationships/hyperlink" Id="rId92"/>
    <Relationship TargetMode="External" Target="https://shupeidian.bjx.com.cn/html/20210322/1143020.shtml" Type="http://schemas.openxmlformats.org/officeDocument/2006/relationships/hyperlink" Id="rId93"/>
    <Relationship TargetMode="External" Target="https://news.bjx.com.cn/html/20231107/1341829.shtml" Type="http://schemas.openxmlformats.org/officeDocument/2006/relationships/hyperlink" Id="rId94"/>
    <Relationship TargetMode="External" Target="https://www.in-en.com/tag/%E2%80%8B%E7%94%B5%E5%8A%A8%E6%B1%BD%E8%BD%A6" Type="http://schemas.openxmlformats.org/officeDocument/2006/relationships/hyperlink" Id="rId95"/>
    <Relationship TargetMode="External" Target="https://piinfo.com.cn/news/show-4220.html" Type="http://schemas.openxmlformats.org/officeDocument/2006/relationships/hyperlink" Id="rId96"/>
    <Relationship TargetMode="External" Target="https://www.sohu.com/a/990672063_121123906" Type="http://schemas.openxmlformats.org/officeDocument/2006/relationships/hyperlink" Id="rId97"/>
    <Relationship TargetMode="External" Target="https://pdf.dfcfw.com/pdf/H3_AP202211141580214123_1.pdf" Type="http://schemas.openxmlformats.org/officeDocument/2006/relationships/hyperlink" Id="rId98"/>
    <Relationship TargetMode="External" Target="http://money.finance.sina.com.cn/corp/view/vCB_AllBulletinDetail.php?id=11956019" Type="http://schemas.openxmlformats.org/officeDocument/2006/relationships/hyperlink" Id="rId99"/>
    <Relationship TargetMode="External" Target="https://mp.weixin.qq.com/s?__biz=MzUxMzA0ODY2Mw==&amp;mid=2247574205&amp;idx=1&amp;sn=c01d3dde3c372ffd517f7794fd6cd38e&amp;chksm=f806b0d4c8fe6578b4599f8bb5db2106320732675762bab802eb030c2c2adc8faef0ba9b86b2&amp;scene=27" Type="http://schemas.openxmlformats.org/officeDocument/2006/relationships/hyperlink" Id="rId100"/>
    <Relationship TargetMode="External" Target="https://www.jiawei.com/hangyedongtai/125.html" Type="http://schemas.openxmlformats.org/officeDocument/2006/relationships/hyperlink" Id="rId101"/>
    <Relationship TargetMode="External" Target="https://quote.cfi.cn/ybdata.aspx?id=20260203000051" Type="http://schemas.openxmlformats.org/officeDocument/2006/relationships/hyperlink" Id="rId102"/>
    <Relationship TargetMode="External" Target="http://www.cnste.org/news/detail/13219.html" Type="http://schemas.openxmlformats.org/officeDocument/2006/relationships/hyperlink" Id="rId103"/>
    <Relationship TargetMode="External" Target="https://pdf.dfcfw.com/pdf/H3_AP202311101609912888_1.pdf" Type="http://schemas.openxmlformats.org/officeDocument/2006/relationships/hyperlink" Id="rId104"/>
    <Relationship TargetMode="External" Target="https://pdf.dfcfw.com/pdf/H2_AN202408071639181112_1.pdf" Type="http://schemas.openxmlformats.org/officeDocument/2006/relationships/hyperlink" Id="rId105"/>
    <Relationship TargetMode="External" Target="https://vip.kingdee.com/eascloud/help/8.6hybrid/MA.web/topics/noname435.html" Type="http://schemas.openxmlformats.org/officeDocument/2006/relationships/hyperlink" Id="rId106"/>
    <Relationship TargetMode="External" Target="https://finance.sina.cn/2026-02-26/detail-inhpckas1543587.d.html?vt=4" Type="http://schemas.openxmlformats.org/officeDocument/2006/relationships/hyperlink" Id="rId107"/>
    <Relationship TargetMode="External" Target="https://ah.huatu.com/2026/0122/3186552.html" Type="http://schemas.openxmlformats.org/officeDocument/2006/relationships/hyperlink" Id="rId108"/>
    <Relationship TargetMode="External" Target="https://cdn.cspplaza.com/uploads/files/20251024/1761270058651509.pdf" Type="http://schemas.openxmlformats.org/officeDocument/2006/relationships/hyperlink" Id="rId109"/>
    <Relationship TargetMode="External" Target="https://b23.tv/BV1ZuJyzXEEU" Type="http://schemas.openxmlformats.org/officeDocument/2006/relationships/hyperlink" Id="rId110"/>
    <Relationship TargetMode="External" Target="http://www.bilibili.com/video/av1453834639" Type="http://schemas.openxmlformats.org/officeDocument/2006/relationships/hyperlink" Id="rId111"/>
    <Relationship TargetMode="External" Target="https://xbj.nea.gov.cn/upload/2023/09/01/1693539059400000.pdf" Type="http://schemas.openxmlformats.org/officeDocument/2006/relationships/hyperlink" Id="rId112"/>
    <Relationship Target="header.xml" Type="http://schemas.openxmlformats.org/officeDocument/2006/relationships/header" Id="rId113"/>
    <Relationship Target="footer.xml" Type="http://schemas.openxmlformats.org/officeDocument/2006/relationships/footer" Id="rId114"/>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db60689bcf119fba645c95a8c351e095","ProduceID":"Metasota_docx_68f243c040ea161fd57d1964_1_8a652c26-7abe-4d35-8056-0dc752b225d8","ReservedCode2":"db60689bcf119fba645c95a8c351e095","PropagateID":"Metasota_docx_68f243c040ea161fd57d1964_1_8a652c26-7abe-4d35-8056-0dc752b225d8","ContentProducer":"001191310115MA1H9U6C1800000"}</vt:lpwstr>
  </prop:property>
</prop:Properties>
</file>