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18"/>
        </w:rPr>
        <w:t>PACKAGE REVIEW AND ALIGNMENT</w:t>
      </w:r>
    </w:p>
    <w:p>
      <w:pPr>
        <w:spacing w:after="140"/>
      </w:pPr>
      <w:r>
        <w:rPr>
          <w:b/>
          <w:sz w:val="32"/>
        </w:rPr>
        <w:t>Same Products, Different Sellers. Why Should Customers Choose You?</w:t>
      </w:r>
    </w:p>
    <w:p>
      <w:pPr>
        <w:spacing w:after="180"/>
      </w:pPr>
      <w:r>
        <w:rPr>
          <w:b w:val="0"/>
          <w:sz w:val="18"/>
        </w:rPr>
        <w:t>A practical self-reflection to uncover what your customers truly value—and how to build a business they trust and recommend.</w:t>
      </w:r>
    </w:p>
    <w:p>
      <w:pPr>
        <w:pStyle w:val="Heading1"/>
      </w:pPr>
      <w:r>
        <w:t>Review scope</w:t>
      </w:r>
    </w:p>
    <w:p>
      <w:r>
        <w:rPr>
          <w:b w:val="0"/>
        </w:rPr>
        <w:t>The four supplied text files are production briefs, not completed narrative, notes, slides or toolkit files. This delivery is therefore a newly consolidated replacement package built against those briefs. It does not claim a line-by-line audit or correction of unseen earlier deliverables. The approved masterclass direction is preserved.</w:t>
      </w:r>
    </w:p>
    <w:p>
      <w:pPr>
        <w:pStyle w:val="Heading1"/>
      </w:pPr>
      <w:r>
        <w:t>Issues resolved in the consolidated package</w:t>
      </w:r>
    </w:p>
    <w:p>
      <w:pPr>
        <w:spacing w:after="120"/>
      </w:pPr>
      <w:r>
        <w:rPr>
          <w:b/>
        </w:rPr>
        <w:t xml:space="preserve">Exact wording and a single argument. </w:t>
      </w:r>
      <w:r>
        <w:t>The approved title and supporting statement are unchanged in all four deliverables. Every section returns to why a customer would choose this entrepreneur when the product is available elsewhere. Trust, recommendations and repeat purchases remain possible outcomes, not extra pillars.</w:t>
      </w:r>
    </w:p>
    <w:p>
      <w:pPr>
        <w:spacing w:after="120"/>
      </w:pPr>
      <w:r>
        <w:rPr>
          <w:b/>
        </w:rPr>
        <w:t xml:space="preserve">One evidence discipline. </w:t>
      </w:r>
      <w:r>
        <w:t>Followers, prospects, buyers and users are distinct but overlapping roles. Enquiries, compliments and reservations are signals. Fulfilled purchases at stated terms offer stronger, bounded evidence. The last 20–30 orders are a diagnostic starting point, never a universally sufficient sample.</w:t>
      </w:r>
    </w:p>
    <w:p>
      <w:pPr>
        <w:spacing w:after="120"/>
      </w:pPr>
      <w:r>
        <w:rPr>
          <w:b/>
        </w:rPr>
        <w:t xml:space="preserve">Specific value without overpromising. </w:t>
      </w:r>
      <w:r>
        <w:t>The refrigerator comparison connects product expertise to customer suitability, genuine model information, honest limitations and reliable delivery. It promises neither a higher price nor guaranteed preference. No invented energy savings, testimonials or sales results appear.</w:t>
      </w:r>
    </w:p>
    <w:p>
      <w:pPr>
        <w:spacing w:after="120"/>
      </w:pPr>
      <w:r>
        <w:rPr>
          <w:b/>
        </w:rPr>
        <w:t xml:space="preserve">Learning that changes a decision. </w:t>
      </w:r>
      <w:r>
        <w:t>The hair-product example separates a report, a possible cause, supporting evidence, an action and a later check. Follow-up requires permission; a serious safety concern calls for prompt action. Leakage is measured as affected delivered orders out of all delivered orders, with each order counted once.</w:t>
      </w:r>
    </w:p>
    <w:p>
      <w:pPr>
        <w:spacing w:after="120"/>
      </w:pPr>
      <w:r>
        <w:rPr>
          <w:b/>
        </w:rPr>
        <w:t xml:space="preserve">Practical action and realistic delivery. </w:t>
      </w:r>
      <w:r>
        <w:t>The nine-slide sequence matches the speaking script and embedded presenter notes. Two response pauses are budgeted. The 75-second closing starts one audit; participants finish it afterwards using records. The toolkit includes belief/evidence/verification, an owner and deadline, measurement, a decision rule and a review date.</w:t>
      </w:r>
    </w:p>
    <w:p>
      <w:pPr>
        <w:spacing w:after="120"/>
      </w:pPr>
      <w:r>
        <w:rPr>
          <w:b/>
        </w:rPr>
        <w:t xml:space="preserve">Depth without visible clutter. </w:t>
      </w:r>
      <w:r>
        <w:t>The narrative develops mechanisms, alternatives and caveats; the speaking notes provide the complete spoken explanation. Slides use concrete comparisons and process cues. The toolkit remains a two-page decision aid with writing space and no arbitrary numerical score.</w:t>
      </w:r>
    </w:p>
    <w:p>
      <w:r>
        <w:br w:type="page"/>
      </w:r>
    </w:p>
    <w:p>
      <w:pPr>
        <w:pStyle w:val="Heading1"/>
      </w:pPr>
      <w:r>
        <w:t>Alignment map and delivery budget</w:t>
      </w:r>
    </w:p>
    <w:tbl>
      <w:tblPr>
        <w:tblW w:type="auto" w:w="0"/>
        <w:tblLayout w:type="fixed"/>
        <w:tblLook w:firstColumn="1" w:firstRow="1" w:lastColumn="0" w:lastRow="0" w:noHBand="0" w:noVBand="1" w:val="04A0"/>
      </w:tblPr>
      <w:tblGrid>
        <w:gridCol w:w="907"/>
        <w:gridCol w:w="7767"/>
        <w:gridCol w:w="1417"/>
      </w:tblGrid>
      <w:tr>
        <w:trPr>
          <w:cantSplit/>
        </w:trPr>
        <w:tc>
          <w:tcPr>
            <w:tcW w:type="dxa" w:w="3364"/>
            <w:shd w:fill="EDF0F2"/>
            <w:tcMar>
              <w:top w:w="45" w:type="dxa"/>
              <w:bottom w:w="45" w:type="dxa"/>
              <w:left w:w="60" w:type="dxa"/>
              <w:right w:w="60" w:type="dxa"/>
            </w:tcMar>
          </w:tcPr>
          <w:p>
            <w:pPr>
              <w:spacing w:after="20"/>
            </w:pPr>
            <w:r>
              <w:rPr>
                <w:sz w:val="18"/>
              </w:rPr>
              <w:t>Slide</w:t>
            </w:r>
          </w:p>
        </w:tc>
        <w:tc>
          <w:tcPr>
            <w:tcW w:type="dxa" w:w="3364"/>
            <w:shd w:fill="EDF0F2"/>
            <w:tcMar>
              <w:top w:w="45" w:type="dxa"/>
              <w:bottom w:w="45" w:type="dxa"/>
              <w:left w:w="60" w:type="dxa"/>
              <w:right w:w="60" w:type="dxa"/>
            </w:tcMar>
          </w:tcPr>
          <w:p>
            <w:pPr>
              <w:spacing w:after="20"/>
            </w:pPr>
            <w:r>
              <w:rPr>
                <w:sz w:val="18"/>
              </w:rPr>
              <w:t>Story moment / evidence anchor</w:t>
            </w:r>
          </w:p>
        </w:tc>
        <w:tc>
          <w:tcPr>
            <w:tcW w:type="dxa" w:w="3364"/>
            <w:shd w:fill="EDF0F2"/>
            <w:tcMar>
              <w:top w:w="45" w:type="dxa"/>
              <w:bottom w:w="45" w:type="dxa"/>
              <w:left w:w="60" w:type="dxa"/>
              <w:right w:w="60" w:type="dxa"/>
            </w:tcMar>
          </w:tcPr>
          <w:p>
            <w:pPr>
              <w:spacing w:after="20"/>
            </w:pPr>
            <w:r>
              <w:rPr>
                <w:sz w:val="18"/>
              </w:rPr>
              <w:t>Minutes</w:t>
            </w:r>
          </w:p>
        </w:tc>
      </w:tr>
      <w:tr>
        <w:trPr>
          <w:cantSplit/>
        </w:trPr>
        <w:tc>
          <w:tcPr>
            <w:tcW w:type="dxa" w:w="907"/>
            <w:tcMar>
              <w:top w:w="45" w:type="dxa"/>
              <w:bottom w:w="45" w:type="dxa"/>
              <w:left w:w="60" w:type="dxa"/>
              <w:right w:w="60" w:type="dxa"/>
            </w:tcMar>
          </w:tcPr>
          <w:p>
            <w:pPr>
              <w:spacing w:after="20"/>
            </w:pPr>
            <w:r>
              <w:rPr>
                <w:sz w:val="18"/>
              </w:rPr>
              <w:t>1</w:t>
            </w:r>
          </w:p>
        </w:tc>
        <w:tc>
          <w:tcPr>
            <w:tcW w:type="dxa" w:w="7767"/>
            <w:tcMar>
              <w:top w:w="45" w:type="dxa"/>
              <w:bottom w:w="45" w:type="dxa"/>
              <w:left w:w="60" w:type="dxa"/>
              <w:right w:w="60" w:type="dxa"/>
            </w:tcMar>
          </w:tcPr>
          <w:p>
            <w:pPr>
              <w:spacing w:after="20"/>
            </w:pPr>
            <w:r>
              <w:rPr>
                <w:sz w:val="18"/>
              </w:rPr>
              <w:t>Opening: identical products, different reasons to choose.</w:t>
            </w:r>
          </w:p>
        </w:tc>
        <w:tc>
          <w:tcPr>
            <w:tcW w:type="dxa" w:w="1417"/>
            <w:tcMar>
              <w:top w:w="45" w:type="dxa"/>
              <w:bottom w:w="45" w:type="dxa"/>
              <w:left w:w="60" w:type="dxa"/>
              <w:right w:w="60" w:type="dxa"/>
            </w:tcMar>
          </w:tcPr>
          <w:p>
            <w:pPr>
              <w:spacing w:after="20"/>
            </w:pPr>
            <w:r>
              <w:rPr>
                <w:sz w:val="18"/>
              </w:rPr>
              <w:t>3</w:t>
            </w:r>
          </w:p>
        </w:tc>
      </w:tr>
      <w:tr>
        <w:trPr>
          <w:cantSplit/>
        </w:trPr>
        <w:tc>
          <w:tcPr>
            <w:tcW w:type="dxa" w:w="907"/>
            <w:tcMar>
              <w:top w:w="45" w:type="dxa"/>
              <w:bottom w:w="45" w:type="dxa"/>
              <w:left w:w="60" w:type="dxa"/>
              <w:right w:w="60" w:type="dxa"/>
            </w:tcMar>
          </w:tcPr>
          <w:p>
            <w:pPr>
              <w:spacing w:after="20"/>
            </w:pPr>
            <w:r>
              <w:rPr>
                <w:sz w:val="18"/>
              </w:rPr>
              <w:t>2</w:t>
            </w:r>
          </w:p>
        </w:tc>
        <w:tc>
          <w:tcPr>
            <w:tcW w:type="dxa" w:w="7767"/>
            <w:tcMar>
              <w:top w:w="45" w:type="dxa"/>
              <w:bottom w:w="45" w:type="dxa"/>
              <w:left w:w="60" w:type="dxa"/>
              <w:right w:w="60" w:type="dxa"/>
            </w:tcMar>
          </w:tcPr>
          <w:p>
            <w:pPr>
              <w:spacing w:after="20"/>
            </w:pPr>
            <w:r>
              <w:rPr>
                <w:sz w:val="18"/>
              </w:rPr>
              <w:t>Customer Intelligence: competitor activity is a lead, not demand evidence.</w:t>
            </w:r>
          </w:p>
        </w:tc>
        <w:tc>
          <w:tcPr>
            <w:tcW w:type="dxa" w:w="1417"/>
            <w:tcMar>
              <w:top w:w="45" w:type="dxa"/>
              <w:bottom w:w="45" w:type="dxa"/>
              <w:left w:w="60" w:type="dxa"/>
              <w:right w:w="60" w:type="dxa"/>
            </w:tcMar>
          </w:tcPr>
          <w:p>
            <w:pPr>
              <w:spacing w:after="20"/>
            </w:pPr>
            <w:r>
              <w:rPr>
                <w:sz w:val="18"/>
              </w:rPr>
              <w:t>3</w:t>
            </w:r>
          </w:p>
        </w:tc>
      </w:tr>
      <w:tr>
        <w:trPr>
          <w:cantSplit/>
        </w:trPr>
        <w:tc>
          <w:tcPr>
            <w:tcW w:type="dxa" w:w="907"/>
            <w:tcMar>
              <w:top w:w="45" w:type="dxa"/>
              <w:bottom w:w="45" w:type="dxa"/>
              <w:left w:w="60" w:type="dxa"/>
              <w:right w:w="60" w:type="dxa"/>
            </w:tcMar>
          </w:tcPr>
          <w:p>
            <w:pPr>
              <w:spacing w:after="20"/>
            </w:pPr>
            <w:r>
              <w:rPr>
                <w:sz w:val="18"/>
              </w:rPr>
              <w:t>3</w:t>
            </w:r>
          </w:p>
        </w:tc>
        <w:tc>
          <w:tcPr>
            <w:tcW w:type="dxa" w:w="7767"/>
            <w:tcMar>
              <w:top w:w="45" w:type="dxa"/>
              <w:bottom w:w="45" w:type="dxa"/>
              <w:left w:w="60" w:type="dxa"/>
              <w:right w:w="60" w:type="dxa"/>
            </w:tcMar>
          </w:tcPr>
          <w:p>
            <w:pPr>
              <w:spacing w:after="20"/>
            </w:pPr>
            <w:r>
              <w:rPr>
                <w:sz w:val="18"/>
              </w:rPr>
              <w:t>Customer Intelligence: overlapping roles; Asha reviews completed orders.</w:t>
            </w:r>
          </w:p>
        </w:tc>
        <w:tc>
          <w:tcPr>
            <w:tcW w:type="dxa" w:w="1417"/>
            <w:tcMar>
              <w:top w:w="45" w:type="dxa"/>
              <w:bottom w:w="45" w:type="dxa"/>
              <w:left w:w="60" w:type="dxa"/>
              <w:right w:w="60" w:type="dxa"/>
            </w:tcMar>
          </w:tcPr>
          <w:p>
            <w:pPr>
              <w:spacing w:after="20"/>
            </w:pPr>
            <w:r>
              <w:rPr>
                <w:sz w:val="18"/>
              </w:rPr>
              <w:t>4</w:t>
            </w:r>
          </w:p>
        </w:tc>
      </w:tr>
      <w:tr>
        <w:trPr>
          <w:cantSplit/>
        </w:trPr>
        <w:tc>
          <w:tcPr>
            <w:tcW w:type="dxa" w:w="907"/>
            <w:tcMar>
              <w:top w:w="45" w:type="dxa"/>
              <w:bottom w:w="45" w:type="dxa"/>
              <w:left w:w="60" w:type="dxa"/>
              <w:right w:w="60" w:type="dxa"/>
            </w:tcMar>
          </w:tcPr>
          <w:p>
            <w:pPr>
              <w:spacing w:after="20"/>
            </w:pPr>
            <w:r>
              <w:rPr>
                <w:sz w:val="18"/>
              </w:rPr>
              <w:t>4</w:t>
            </w:r>
          </w:p>
        </w:tc>
        <w:tc>
          <w:tcPr>
            <w:tcW w:type="dxa" w:w="7767"/>
            <w:tcMar>
              <w:top w:w="45" w:type="dxa"/>
              <w:bottom w:w="45" w:type="dxa"/>
              <w:left w:w="60" w:type="dxa"/>
              <w:right w:w="60" w:type="dxa"/>
            </w:tcMar>
          </w:tcPr>
          <w:p>
            <w:pPr>
              <w:spacing w:after="20"/>
            </w:pPr>
            <w:r>
              <w:rPr>
                <w:sz w:val="18"/>
              </w:rPr>
              <w:t>Customer Intelligence: transparent, bounded office-wear demand test.</w:t>
            </w:r>
          </w:p>
        </w:tc>
        <w:tc>
          <w:tcPr>
            <w:tcW w:type="dxa" w:w="1417"/>
            <w:tcMar>
              <w:top w:w="45" w:type="dxa"/>
              <w:bottom w:w="45" w:type="dxa"/>
              <w:left w:w="60" w:type="dxa"/>
              <w:right w:w="60" w:type="dxa"/>
            </w:tcMar>
          </w:tcPr>
          <w:p>
            <w:pPr>
              <w:spacing w:after="20"/>
            </w:pPr>
            <w:r>
              <w:rPr>
                <w:sz w:val="18"/>
              </w:rPr>
              <w:t>4</w:t>
            </w:r>
          </w:p>
        </w:tc>
      </w:tr>
      <w:tr>
        <w:trPr>
          <w:cantSplit/>
        </w:trPr>
        <w:tc>
          <w:tcPr>
            <w:tcW w:type="dxa" w:w="907"/>
            <w:tcMar>
              <w:top w:w="45" w:type="dxa"/>
              <w:bottom w:w="45" w:type="dxa"/>
              <w:left w:w="60" w:type="dxa"/>
              <w:right w:w="60" w:type="dxa"/>
            </w:tcMar>
          </w:tcPr>
          <w:p>
            <w:pPr>
              <w:spacing w:after="20"/>
            </w:pPr>
            <w:r>
              <w:rPr>
                <w:sz w:val="18"/>
              </w:rPr>
              <w:t>5</w:t>
            </w:r>
          </w:p>
        </w:tc>
        <w:tc>
          <w:tcPr>
            <w:tcW w:type="dxa" w:w="7767"/>
            <w:tcMar>
              <w:top w:w="45" w:type="dxa"/>
              <w:bottom w:w="45" w:type="dxa"/>
              <w:left w:w="60" w:type="dxa"/>
              <w:right w:w="60" w:type="dxa"/>
            </w:tcMar>
          </w:tcPr>
          <w:p>
            <w:pPr>
              <w:spacing w:after="20"/>
            </w:pPr>
            <w:r>
              <w:rPr>
                <w:sz w:val="18"/>
              </w:rPr>
              <w:t>Exceptional Customer Value: same refrigerator model, useful expertise.</w:t>
            </w:r>
          </w:p>
        </w:tc>
        <w:tc>
          <w:tcPr>
            <w:tcW w:type="dxa" w:w="1417"/>
            <w:tcMar>
              <w:top w:w="45" w:type="dxa"/>
              <w:bottom w:w="45" w:type="dxa"/>
              <w:left w:w="60" w:type="dxa"/>
              <w:right w:w="60" w:type="dxa"/>
            </w:tcMar>
          </w:tcPr>
          <w:p>
            <w:pPr>
              <w:spacing w:after="20"/>
            </w:pPr>
            <w:r>
              <w:rPr>
                <w:sz w:val="18"/>
              </w:rPr>
              <w:t>4</w:t>
            </w:r>
          </w:p>
        </w:tc>
      </w:tr>
      <w:tr>
        <w:trPr>
          <w:cantSplit/>
        </w:trPr>
        <w:tc>
          <w:tcPr>
            <w:tcW w:type="dxa" w:w="907"/>
            <w:tcMar>
              <w:top w:w="45" w:type="dxa"/>
              <w:bottom w:w="45" w:type="dxa"/>
              <w:left w:w="60" w:type="dxa"/>
              <w:right w:w="60" w:type="dxa"/>
            </w:tcMar>
          </w:tcPr>
          <w:p>
            <w:pPr>
              <w:spacing w:after="20"/>
            </w:pPr>
            <w:r>
              <w:rPr>
                <w:sz w:val="18"/>
              </w:rPr>
              <w:t>6</w:t>
            </w:r>
          </w:p>
        </w:tc>
        <w:tc>
          <w:tcPr>
            <w:tcW w:type="dxa" w:w="7767"/>
            <w:tcMar>
              <w:top w:w="45" w:type="dxa"/>
              <w:bottom w:w="45" w:type="dxa"/>
              <w:left w:w="60" w:type="dxa"/>
              <w:right w:w="60" w:type="dxa"/>
            </w:tcMar>
          </w:tcPr>
          <w:p>
            <w:pPr>
              <w:spacing w:after="20"/>
            </w:pPr>
            <w:r>
              <w:rPr>
                <w:sz w:val="18"/>
              </w:rPr>
              <w:t>Exceptional Customer Value: suitable promises, checks and reliable delivery.</w:t>
            </w:r>
          </w:p>
        </w:tc>
        <w:tc>
          <w:tcPr>
            <w:tcW w:type="dxa" w:w="1417"/>
            <w:tcMar>
              <w:top w:w="45" w:type="dxa"/>
              <w:bottom w:w="45" w:type="dxa"/>
              <w:left w:w="60" w:type="dxa"/>
              <w:right w:w="60" w:type="dxa"/>
            </w:tcMar>
          </w:tcPr>
          <w:p>
            <w:pPr>
              <w:spacing w:after="20"/>
            </w:pPr>
            <w:r>
              <w:rPr>
                <w:sz w:val="18"/>
              </w:rPr>
              <w:t>3.5</w:t>
            </w:r>
          </w:p>
        </w:tc>
      </w:tr>
      <w:tr>
        <w:trPr>
          <w:cantSplit/>
        </w:trPr>
        <w:tc>
          <w:tcPr>
            <w:tcW w:type="dxa" w:w="907"/>
            <w:tcMar>
              <w:top w:w="45" w:type="dxa"/>
              <w:bottom w:w="45" w:type="dxa"/>
              <w:left w:w="60" w:type="dxa"/>
              <w:right w:w="60" w:type="dxa"/>
            </w:tcMar>
          </w:tcPr>
          <w:p>
            <w:pPr>
              <w:spacing w:after="20"/>
            </w:pPr>
            <w:r>
              <w:rPr>
                <w:sz w:val="18"/>
              </w:rPr>
              <w:t>7</w:t>
            </w:r>
          </w:p>
        </w:tc>
        <w:tc>
          <w:tcPr>
            <w:tcW w:type="dxa" w:w="7767"/>
            <w:tcMar>
              <w:top w:w="45" w:type="dxa"/>
              <w:bottom w:w="45" w:type="dxa"/>
              <w:left w:w="60" w:type="dxa"/>
              <w:right w:w="60" w:type="dxa"/>
            </w:tcMar>
          </w:tcPr>
          <w:p>
            <w:pPr>
              <w:spacing w:after="20"/>
            </w:pPr>
            <w:r>
              <w:rPr>
                <w:sz w:val="18"/>
              </w:rPr>
              <w:t>Continuous Customer Learning: permission-based inquiry after product use.</w:t>
            </w:r>
          </w:p>
        </w:tc>
        <w:tc>
          <w:tcPr>
            <w:tcW w:type="dxa" w:w="1417"/>
            <w:tcMar>
              <w:top w:w="45" w:type="dxa"/>
              <w:bottom w:w="45" w:type="dxa"/>
              <w:left w:w="60" w:type="dxa"/>
              <w:right w:w="60" w:type="dxa"/>
            </w:tcMar>
          </w:tcPr>
          <w:p>
            <w:pPr>
              <w:spacing w:after="20"/>
            </w:pPr>
            <w:r>
              <w:rPr>
                <w:sz w:val="18"/>
              </w:rPr>
              <w:t>3.5</w:t>
            </w:r>
          </w:p>
        </w:tc>
      </w:tr>
      <w:tr>
        <w:trPr>
          <w:cantSplit/>
        </w:trPr>
        <w:tc>
          <w:tcPr>
            <w:tcW w:type="dxa" w:w="907"/>
            <w:tcMar>
              <w:top w:w="45" w:type="dxa"/>
              <w:bottom w:w="45" w:type="dxa"/>
              <w:left w:w="60" w:type="dxa"/>
              <w:right w:w="60" w:type="dxa"/>
            </w:tcMar>
          </w:tcPr>
          <w:p>
            <w:pPr>
              <w:spacing w:after="20"/>
            </w:pPr>
            <w:r>
              <w:rPr>
                <w:sz w:val="18"/>
              </w:rPr>
              <w:t>8</w:t>
            </w:r>
          </w:p>
        </w:tc>
        <w:tc>
          <w:tcPr>
            <w:tcW w:type="dxa" w:w="7767"/>
            <w:tcMar>
              <w:top w:w="45" w:type="dxa"/>
              <w:bottom w:w="45" w:type="dxa"/>
              <w:left w:w="60" w:type="dxa"/>
              <w:right w:w="60" w:type="dxa"/>
            </w:tcMar>
          </w:tcPr>
          <w:p>
            <w:pPr>
              <w:spacing w:after="20"/>
            </w:pPr>
            <w:r>
              <w:rPr>
                <w:sz w:val="18"/>
              </w:rPr>
              <w:t>Continuous Customer Learning: leakage report, investigation, change and review.</w:t>
            </w:r>
          </w:p>
        </w:tc>
        <w:tc>
          <w:tcPr>
            <w:tcW w:type="dxa" w:w="1417"/>
            <w:tcMar>
              <w:top w:w="45" w:type="dxa"/>
              <w:bottom w:w="45" w:type="dxa"/>
              <w:left w:w="60" w:type="dxa"/>
              <w:right w:w="60" w:type="dxa"/>
            </w:tcMar>
          </w:tcPr>
          <w:p>
            <w:pPr>
              <w:spacing w:after="20"/>
            </w:pPr>
            <w:r>
              <w:rPr>
                <w:sz w:val="18"/>
              </w:rPr>
              <w:t>4</w:t>
            </w:r>
          </w:p>
        </w:tc>
      </w:tr>
      <w:tr>
        <w:trPr>
          <w:cantSplit/>
        </w:trPr>
        <w:tc>
          <w:tcPr>
            <w:tcW w:type="dxa" w:w="907"/>
            <w:tcMar>
              <w:top w:w="45" w:type="dxa"/>
              <w:bottom w:w="45" w:type="dxa"/>
              <w:left w:w="60" w:type="dxa"/>
              <w:right w:w="60" w:type="dxa"/>
            </w:tcMar>
          </w:tcPr>
          <w:p>
            <w:pPr>
              <w:spacing w:after="20"/>
            </w:pPr>
            <w:r>
              <w:rPr>
                <w:sz w:val="18"/>
              </w:rPr>
              <w:t>9</w:t>
            </w:r>
          </w:p>
        </w:tc>
        <w:tc>
          <w:tcPr>
            <w:tcW w:type="dxa" w:w="7767"/>
            <w:tcMar>
              <w:top w:w="45" w:type="dxa"/>
              <w:bottom w:w="45" w:type="dxa"/>
              <w:left w:w="60" w:type="dxa"/>
              <w:right w:w="60" w:type="dxa"/>
            </w:tcMar>
          </w:tcPr>
          <w:p>
            <w:pPr>
              <w:spacing w:after="20"/>
            </w:pPr>
            <w:r>
              <w:rPr>
                <w:sz w:val="18"/>
              </w:rPr>
              <w:t>Three-question audit: choose one evidenced action and review date.</w:t>
            </w:r>
          </w:p>
        </w:tc>
        <w:tc>
          <w:tcPr>
            <w:tcW w:type="dxa" w:w="1417"/>
            <w:tcMar>
              <w:top w:w="45" w:type="dxa"/>
              <w:bottom w:w="45" w:type="dxa"/>
              <w:left w:w="60" w:type="dxa"/>
              <w:right w:w="60" w:type="dxa"/>
            </w:tcMar>
          </w:tcPr>
          <w:p>
            <w:pPr>
              <w:spacing w:after="20"/>
            </w:pPr>
            <w:r>
              <w:rPr>
                <w:sz w:val="18"/>
              </w:rPr>
              <w:t>4</w:t>
            </w:r>
          </w:p>
        </w:tc>
      </w:tr>
    </w:tbl>
    <w:p>
      <w:pPr>
        <w:spacing w:after="140"/>
      </w:pPr>
      <w:r>
        <w:rPr>
          <w:b w:val="0"/>
          <w:sz w:val="19"/>
        </w:rPr>
        <w:t>Total: 33 minutes. Audience responses: slide 2, 20 seconds; slide 9, 75 seconds. The remainder consists of the spoken narrative, transitions and natural pauses.</w:t>
      </w:r>
    </w:p>
    <w:p>
      <w:pPr>
        <w:pStyle w:val="Heading2"/>
      </w:pPr>
      <w:r>
        <w:t>File and presentation checks</w:t>
      </w:r>
    </w:p>
    <w:p>
      <w:r>
        <w:rPr>
          <w:b w:val="0"/>
          <w:sz w:val="19"/>
        </w:rPr>
        <w:t>The rendered narrative is 11 A4 pages; the speaking notes are 10 A4 pages. The editable PowerPoint contains nine 16:9 slides with the final scripts embedded in presenter notes. Its PDF is converted from that PowerPoint. The editable toolkit and its matching PDF are exactly two A4 pages, with 24 writing rows of at least 7 mm and body text at least 9 pt. Headers and footers use 8 pt. All slides and document pages were visually inspected; title wording, pillar wording, audit questions and note alignment were also checked in the file contents.</w:t>
      </w:r>
    </w:p>
    <w:p>
      <w:pPr>
        <w:pStyle w:val="Heading2"/>
      </w:pPr>
      <w:r>
        <w:t>Remaining publication requirements</w:t>
      </w:r>
    </w:p>
    <w:p>
      <w:r>
        <w:rPr>
          <w:b w:val="0"/>
          <w:sz w:val="19"/>
        </w:rPr>
        <w:t>Official branding: no logos, campaign assets or brand specifications were supplied. The shared white, charcoal and slate design is a neutral editorial draft, not an assertion of official Instaprenyua colours or identity. Supply the approved assets before applying official event branding. No logo, public toolkit URL or QR code has been invented.</w:t>
      </w:r>
    </w:p>
    <w:p>
      <w:r>
        <w:rPr>
          <w:b w:val="0"/>
          <w:sz w:val="19"/>
        </w:rPr>
        <w:t>Research: external source retrieval was blocked by the environment proxy. Two established scholarly references are listed as conceptual background, with publication details and DOI links; their full texts and live link availability were not reverified. No Tanzanian empirical findings, numerical effects or verified case-study outcomes are asserted. This limitation remains explicit in the narrative; the package is not represented as a completed external fact-check.</w:t>
      </w:r>
    </w:p>
    <w:p>
      <w:r>
        <w:rPr>
          <w:b w:val="0"/>
          <w:sz w:val="19"/>
        </w:rPr>
        <w:t>Prior-version comparison: reviewing wording or claims in earlier completed deliverables still requires those original files. This package can be edited directly in Word and PowerPoint without changing its approved direction.</w:t>
      </w:r>
    </w:p>
    <w:sectPr w:rsidR="00FC693F" w:rsidRPr="0006063C" w:rsidSect="00034616">
      <w:headerReference w:type="default" r:id="rId9"/>
      <w:footerReference w:type="default" r:id="rId10"/>
      <w:pgSz w:w="11906" w:h="16838"/>
      <w:pgMar w:top="907" w:right="907" w:bottom="907"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25968"/>
        <w:sz w:val="16"/>
      </w:rPr>
      <w:t xml:space="preserve">Instaprenyua  |  Package Review and Alignment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425968"/>
        <w:sz w:val="16"/>
      </w:rPr>
      <w:t>INSTAPRENYUA  /  MASTERCLASS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color w:val="2028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42596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b/>
      <w:bCs/>
      <w:color w:val="42596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4259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DejaVu Sans" w:hAnsi="DejaVu Sans"/>
      <w:color w:val="4259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DejaVu Sans" w:hAnsi="DejaVu Sans"/>
      <w:i/>
      <w:iCs/>
      <w:color w:val="4259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Instaprenyua — Package Review and Alignment</dc:title>
  <dc:subject>Same Products, Different Sellers. Why Should Customers Choose You?</dc:subject>
  <dc:creator>Instaprenyua Masterclass</dc:creator>
  <cp:keywords/>
  <dc:description>generated by python-docx</dc:description>
  <cp:lastModifiedBy/>
  <cp:revision>1</cp:revision>
  <dcterms:created xsi:type="dcterms:W3CDTF">2013-12-23T23:15:00Z</dcterms:created>
  <dcterms:modified xsi:type="dcterms:W3CDTF">2013-12-23T23:15:00Z</dcterms:modified>
  <cp:category/>
</cp:coreProperties>
</file>