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
            <wp:simplePos x="0" y="0"/>
            <wp:positionH relativeFrom="page">
              <wp:posOffset>0</wp:posOffset>
            </wp:positionH>
            <wp:positionV relativeFrom="page">
              <wp:posOffset>0</wp:posOffset>
            </wp:positionV>
            <wp:extent cx="7772400" cy="116586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72400" cy="11658600"/>
                    </a:xfrm>
                    <a:prstGeom prst="rect">
                      <a:avLst/>
                    </a:prstGeom>
                  </pic:spPr>
                </pic:pic>
              </a:graphicData>
            </a:graphic>
          </wp:anchor>
        </w:drawing>
      </w:r>
    </w:p>
    <w:p>
      <w:pPr>
        <w:sectPr>
          <w:headerReference w:type="default" r:id="rId7"/>
          <w:footerReference w:type="default" r:id="rId8"/>
          <w:pgSz w:w="12240" w:h="18360" w:orient="portrait"/>
          <w:pgMar w:top="0" w:right="0" w:bottom="0" w:left="0" w:header="0" w:footer="0" w:gutter="0"/>
          <w:pgNumType/>
          <w:docGrid w:linePitch="360"/>
        </w:sectPr>
      </w:pPr>
    </w:p>
    <w:p>
      <w:pPr>
        <w:spacing w:before="1200"/>
        <w:jc w:val="center"/>
      </w:pPr>
      <w:r>
        <w:rPr>
          <w:rFonts w:ascii="Garamond" w:cs="Garamond" w:eastAsia="Garamond" w:hAnsi="Garamond"/>
          <w:b/>
          <w:bCs/>
          <w:color w:val="10233F"/>
          <w:sz w:val="96"/>
          <w:szCs w:val="96"/>
        </w:rPr>
        <w:t xml:space="preserve">BITCOIN</w:t>
      </w:r>
    </w:p>
    <w:p>
      <w:pPr>
        <w:jc w:val="center"/>
      </w:pPr>
      <w:r>
        <w:rPr>
          <w:rFonts w:ascii="Garamond" w:cs="Garamond" w:eastAsia="Garamond" w:hAnsi="Garamond"/>
          <w:b/>
          <w:bCs/>
          <w:color w:val="1A1A1A"/>
          <w:sz w:val="40"/>
          <w:szCs w:val="40"/>
        </w:rPr>
        <w:t xml:space="preserve">PARA</w:t>
      </w:r>
    </w:p>
    <w:p>
      <w:pPr>
        <w:spacing w:after="400"/>
        <w:jc w:val="center"/>
      </w:pPr>
      <w:r>
        <w:rPr>
          <w:rFonts w:ascii="Garamond" w:cs="Garamond" w:eastAsia="Garamond" w:hAnsi="Garamond"/>
          <w:b/>
          <w:bCs/>
          <w:color w:val="9C7A2E"/>
          <w:sz w:val="80"/>
          <w:szCs w:val="80"/>
        </w:rPr>
        <w:t xml:space="preserve">CONTADORES</w:t>
      </w:r>
    </w:p>
    <w:p>
      <w:pPr>
        <w:spacing w:after="1200"/>
        <w:jc w:val="center"/>
      </w:pPr>
      <w:r>
        <w:rPr>
          <w:rFonts w:ascii="Garamond" w:cs="Garamond" w:eastAsia="Garamond" w:hAnsi="Garamond"/>
          <w:i/>
          <w:iCs/>
          <w:color w:val="1A1A1A"/>
          <w:sz w:val="26"/>
          <w:szCs w:val="26"/>
        </w:rPr>
        <w:t xml:space="preserve">Cómo registrar, valuar y tributar el dinero digital del siglo XXI</w:t>
      </w:r>
    </w:p>
    <w:p>
      <w:pPr>
        <w:spacing w:before="3000"/>
        <w:jc w:val="center"/>
      </w:pPr>
      <w:r>
        <w:rPr>
          <w:rFonts w:ascii="Garamond" w:cs="Garamond" w:eastAsia="Garamond" w:hAnsi="Garamond"/>
          <w:b/>
          <w:bCs/>
          <w:color w:val="10233F"/>
          <w:sz w:val="30"/>
          <w:szCs w:val="30"/>
        </w:rPr>
        <w:t xml:space="preserve">DIEGO EDUARDO BELTRAMO</w:t>
      </w:r>
    </w:p>
    <w:p>
      <w:pPr>
        <w:spacing w:after="200"/>
        <w:jc w:val="center"/>
      </w:pPr>
      <w:r>
        <w:rPr>
          <w:rFonts w:ascii="Garamond" w:cs="Garamond" w:eastAsia="Garamond" w:hAnsi="Garamond"/>
          <w:color w:val="1A1A1A"/>
          <w:sz w:val="22"/>
          <w:szCs w:val="22"/>
        </w:rPr>
        <w:t xml:space="preserve">Contador Público Nacional | Asesor Idóneo en Mercado de Capitales (CNV)</w:t>
      </w:r>
    </w:p>
    <w:p>
      <w:pPr>
        <w:jc w:val="center"/>
      </w:pPr>
      <w:r>
        <w:rPr>
          <w:rFonts w:ascii="Garamond" w:cs="Garamond" w:eastAsia="Garamond" w:hAnsi="Garamond"/>
          <w:i/>
          <w:iCs/>
          <w:color w:val="555555"/>
          <w:sz w:val="20"/>
          <w:szCs w:val="20"/>
        </w:rPr>
        <w:t xml:space="preserve">Universidad Nacional de Villa María</w:t>
      </w:r>
    </w:p>
    <w:p>
      <w:r>
        <w:br w:type="page"/>
      </w:r>
    </w:p>
    <w:p>
      <w:pPr>
        <w:spacing w:after="160" w:line="300"/>
        <w:jc w:val="both"/>
      </w:pPr>
      <w:r>
        <w:rPr>
          <w:rFonts w:ascii="Garamond" w:cs="Garamond" w:eastAsia="Garamond" w:hAnsi="Garamond"/>
          <w:b/>
          <w:bCs/>
          <w:sz w:val="22"/>
          <w:szCs w:val="22"/>
        </w:rPr>
        <w:t xml:space="preserve">Bitcoin para Contadores: Cómo registrar, valuar y tributar el dinero digital del siglo XXI</w:t>
      </w:r>
    </w:p>
    <w:p>
      <w:pPr>
        <w:spacing w:after="160" w:line="300"/>
        <w:jc w:val="both"/>
      </w:pPr>
      <w:r>
        <w:rPr>
          <w:rFonts w:ascii="Garamond" w:cs="Garamond" w:eastAsia="Garamond" w:hAnsi="Garamond"/>
          <w:sz w:val="20"/>
          <w:szCs w:val="20"/>
        </w:rPr>
        <w:t xml:space="preserve">© Diego Eduardo Beltramo, 2026.</w:t>
      </w:r>
    </w:p>
    <w:p>
      <w:pPr>
        <w:spacing w:after="160" w:line="300"/>
        <w:jc w:val="both"/>
      </w:pPr>
      <w:r>
        <w:rPr>
          <w:rFonts w:ascii="Garamond" w:cs="Garamond" w:eastAsia="Garamond" w:hAnsi="Garamond"/>
          <w:sz w:val="20"/>
          <w:szCs w:val="20"/>
        </w:rPr>
        <w:t xml:space="preserve">Contador Público Nacional (Universidad Nacional de Villa María). Asesor idóneo en Mercado de Capitales, matriculado en la Comisión Nacional de Valores (CNV).</w:t>
      </w:r>
    </w:p>
    <w:p>
      <w:pPr>
        <w:spacing w:after="160" w:line="300"/>
        <w:jc w:val="both"/>
      </w:pPr>
      <w:r>
        <w:rPr>
          <w:rFonts w:ascii="Garamond" w:cs="Garamond" w:eastAsia="Garamond" w:hAnsi="Garamond"/>
          <w:sz w:val="20"/>
          <w:szCs w:val="20"/>
        </w:rPr>
        <w:t xml:space="preserve">Todos los derechos reservados. Queda prohibida, sin autorización escrita del autor, la reproducción total o parcial de esta obra por cualquier medio o procedimiento.</w:t>
      </w:r>
    </w:p>
    <w:p>
      <w:pPr>
        <w:spacing w:after="160" w:line="300"/>
        <w:jc w:val="both"/>
      </w:pPr>
      <w:r>
        <w:rPr>
          <w:rFonts w:ascii="Garamond" w:cs="Garamond" w:eastAsia="Garamond" w:hAnsi="Garamond"/>
          <w:i/>
          <w:iCs/>
          <w:sz w:val="20"/>
          <w:szCs w:val="20"/>
        </w:rPr>
        <w:t xml:space="preserve">El presente manuscrito se encuentra sujeto a revisión editorial y actualización normativa continua.</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Nota del autor</w:t>
      </w:r>
    </w:p>
    <w:p>
      <w:pPr>
        <w:spacing w:after="160" w:line="300"/>
        <w:jc w:val="both"/>
      </w:pPr>
      <w:r>
        <w:rPr>
          <w:rFonts w:ascii="Garamond" w:cs="Garamond" w:eastAsia="Garamond" w:hAnsi="Garamond"/>
          <w:sz w:val="24"/>
          <w:szCs w:val="24"/>
        </w:rPr>
        <w:t xml:space="preserve">Esta obra nace de una inquietud profesional concreta: la profesión contable argentina —y de habla hispana en general— carece todavía de un tratado integral que aborde a Bitcoin y los criptoactivos con el rigor técnico que exigen las Normas Internacionales de Información Financiera, la normativa tributaria argentina y las exigencias propias del ejercicio de la auditoría.</w:t>
      </w:r>
    </w:p>
    <w:p>
      <w:pPr>
        <w:spacing w:after="160" w:line="300"/>
        <w:jc w:val="both"/>
      </w:pPr>
      <w:r>
        <w:rPr>
          <w:rFonts w:ascii="Garamond" w:cs="Garamond" w:eastAsia="Garamond" w:hAnsi="Garamond"/>
          <w:sz w:val="24"/>
          <w:szCs w:val="24"/>
        </w:rPr>
        <w:t xml:space="preserve">Bitcoin para Contadores se propone llenar ese vacío. No es un manual de divulgación ni una guía de inversión: es un texto técnico, pensado para el contador público en ejercicio, el docente universitario, el estudiante de posgrado y el profesional del derecho tributario que necesita fundamentar —con normativa, doctrina y jurisprudencia— el tratamiento contable, impositivo y de auditoría de los criptoactivos.</w:t>
      </w:r>
    </w:p>
    <w:p>
      <w:pPr>
        <w:spacing w:after="160" w:line="300"/>
        <w:jc w:val="both"/>
      </w:pPr>
      <w:r>
        <w:rPr>
          <w:rFonts w:ascii="Garamond" w:cs="Garamond" w:eastAsia="Garamond" w:hAnsi="Garamond"/>
          <w:sz w:val="24"/>
          <w:szCs w:val="24"/>
        </w:rPr>
        <w:t xml:space="preserve">La obra se desarrolla de manera incremental, capítulo por capítulo, precisamente para poder incorporar los cambios normativos que este campo produce con inusual velocidad —decisiones de agenda del IASB, dictámenes de ARCA (ex AFIP), resoluciones de la CNV, y eventual normativa específica que la FACPCE pudiera emitir en el futuro—.</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Prólogo</w:t>
      </w:r>
    </w:p>
    <w:p>
      <w:pPr>
        <w:spacing w:after="160" w:line="300"/>
        <w:jc w:val="both"/>
      </w:pPr>
      <w:r>
        <w:rPr>
          <w:rFonts w:ascii="Garamond" w:cs="Garamond" w:eastAsia="Garamond" w:hAnsi="Garamond"/>
          <w:sz w:val="24"/>
          <w:szCs w:val="24"/>
        </w:rPr>
        <w:t xml:space="preserve">La profesión contable argentina atraviesa, desde hace más de una década, una transformación que pocas veces encuentra correlato inmediato en la literatura técnica disponible en español. Los criptoactivos —y Bitcoin en particular, como su exponente originario y de mayor capitalización— han dejado de ser un fenómeno marginal para instalarse en los balances de empresas cotizantes, en las carteras de inversores minoristas e institucionales, en los requerimientos de organismos de contralor como la Comisión Nacional de Valores y, cada vez con mayor frecuencia, en los papeles de trabajo de auditores y en las consultas cotidianas que reciben los estudios contables de todo el país.</w:t>
      </w:r>
    </w:p>
    <w:p>
      <w:pPr>
        <w:spacing w:after="160" w:line="300"/>
        <w:jc w:val="both"/>
      </w:pPr>
      <w:r>
        <w:rPr>
          <w:rFonts w:ascii="Garamond" w:cs="Garamond" w:eastAsia="Garamond" w:hAnsi="Garamond"/>
          <w:sz w:val="24"/>
          <w:szCs w:val="24"/>
        </w:rPr>
        <w:t xml:space="preserve">Frente a esa realidad, la respuesta normativa ha sido —como suele ocurrir cuando la tecnología se adelanta a la regulación— fragmentaria e insuficiente. El International Accounting Standards Board resolvió la cuestión de fondo mediante una decisión de agenda y no mediante una norma específica; la Federación Argentina de Consejos Profesionales de Ciencias Económicas no cuenta todavía con una Resolución Técnica dedicada a los criptoactivos; y el propio derecho tributario argentino avanza a fuerza de dictámenes, opiniones no vinculantes y proyectos de reforma, más que de una ley integral pensada para el fenómeno cripto en toda su complejidad.</w:t>
      </w:r>
    </w:p>
    <w:p>
      <w:pPr>
        <w:spacing w:after="160" w:line="300"/>
        <w:jc w:val="both"/>
      </w:pPr>
      <w:r>
        <w:rPr>
          <w:rFonts w:ascii="Garamond" w:cs="Garamond" w:eastAsia="Garamond" w:hAnsi="Garamond"/>
          <w:sz w:val="24"/>
          <w:szCs w:val="24"/>
        </w:rPr>
        <w:t xml:space="preserve">Es en ese contexto donde una obra como Bitcoin para Contadores adquiere un valor que excede la mera actualización profesional. El autor, Diego Eduardo Beltramo, Contador Público egresado de la Universidad Nacional de Villa María y asesor idóneo matriculado ante la Comisión Nacional de Valores, reúne en este trabajo una condición poco frecuente: la de un profesional formado en la disciplina contable tradicional que, desde 2017, ha dedicado un esfuerzo sostenido a la comprensión técnica —no meramente especulativa— de Bitcoin y el ecosistema de activos digitales. Esa doble competencia, contable y tecnológica, es precisamente la que exige un campo de estudio que no puede abordarse con rigor desde una sola de esas dos orillas.</w:t>
      </w:r>
    </w:p>
    <w:p>
      <w:pPr>
        <w:spacing w:after="160" w:line="300"/>
        <w:jc w:val="both"/>
      </w:pPr>
      <w:r>
        <w:rPr>
          <w:rFonts w:ascii="Garamond" w:cs="Garamond" w:eastAsia="Garamond" w:hAnsi="Garamond"/>
          <w:sz w:val="24"/>
          <w:szCs w:val="24"/>
        </w:rPr>
        <w:t xml:space="preserve">El método elegido para esta obra —el desarrollo capítulo por capítulo, sometido a revisión y actualización continua— es, en sí mismo, una declaración metodológica coherente con su objeto de estudio: así como Bitcoin y su marco regulatorio están en permanente evolución, también debe estarlo la obra que pretende explicarlos con la seriedad que la academia y la profesión demandan. Se trata de un tratado vivo, pensado para acompañar la evolución normativa antes que para fotografiarla en un momento dado y quedar rápidamente desactualizado.</w:t>
      </w:r>
    </w:p>
    <w:p>
      <w:pPr>
        <w:spacing w:after="160" w:line="300"/>
        <w:jc w:val="both"/>
      </w:pPr>
      <w:r>
        <w:rPr>
          <w:rFonts w:ascii="Garamond" w:cs="Garamond" w:eastAsia="Garamond" w:hAnsi="Garamond"/>
          <w:sz w:val="24"/>
          <w:szCs w:val="24"/>
        </w:rPr>
        <w:t xml:space="preserve">Bitcoin para Contadores no es un texto de divulgación ni un manual de inversión. Es, ante todo, un intento serio de dotar a la profesión contable de habla hispana de las herramientas conceptuales, normativas y prácticas necesarias para registrar, valuar, auditar y tributar correctamente uno de los fenómenos económicos más disruptivos de las últimas décadas. Su lectura resultará indispensable para el contador en ejercicio, el docente universitario, el estudiante de posgrado y todo profesional del derecho y las ciencias económicas que deba, tarde o temprano, tomar posición técnica frente a Bitcoin.</w:t>
      </w:r>
    </w:p>
    <w:p>
      <w:pPr>
        <w:spacing w:before="400"/>
        <w:jc w:val="right"/>
      </w:pPr>
      <w:r>
        <w:rPr>
          <w:rFonts w:ascii="Garamond" w:cs="Garamond" w:eastAsia="Garamond" w:hAnsi="Garamond"/>
          <w:i/>
          <w:iCs/>
          <w:color w:val="777777"/>
          <w:sz w:val="22"/>
          <w:szCs w:val="22"/>
        </w:rPr>
        <w:t xml:space="preserve">[Espacio reservado para la firma del prologuista]</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Prefacio</w:t>
      </w:r>
    </w:p>
    <w:p>
      <w:pPr>
        <w:spacing w:after="160" w:line="300"/>
        <w:jc w:val="both"/>
      </w:pPr>
      <w:r>
        <w:rPr>
          <w:rFonts w:ascii="Garamond" w:cs="Garamond" w:eastAsia="Garamond" w:hAnsi="Garamond"/>
          <w:sz w:val="24"/>
          <w:szCs w:val="24"/>
        </w:rPr>
        <w:t xml:space="preserve">Este libro comenzó como una necesidad personal antes que editorial. Desde el año 2017 me convertí en un estudioso constante de Bitcoin y del ecosistema de criptoactivos, primero como entusiasta y, progresivamente, como profesional que debía dar respuesta a clientes, colegas y alumnos que preguntaban —cada vez con mayor insistencia— cómo debía registrarse contablemente una tenencia de Bitcoin, cómo tributaba su venta, o qué controles debía exigir un auditor frente a una wallet corporativa. Advertí pronto que las respuestas disponibles en español eran escasas, dispersas y, en muchos casos, jurídica o contablemente imprecisas.</w:t>
      </w:r>
    </w:p>
    <w:p>
      <w:pPr>
        <w:spacing w:after="160" w:line="300"/>
        <w:jc w:val="both"/>
      </w:pPr>
      <w:r>
        <w:rPr>
          <w:rFonts w:ascii="Garamond" w:cs="Garamond" w:eastAsia="Garamond" w:hAnsi="Garamond"/>
          <w:sz w:val="24"/>
          <w:szCs w:val="24"/>
        </w:rPr>
        <w:t xml:space="preserve">Bitcoin para Contadores es mi intento de sistematizar, con el rigor que la profesión exige, ese cuerpo de conocimiento. El libro está escrito desde la convicción de que un contador no puede asesorar correctamente sobre Bitcoin sin comprender, aunque sea a nivel conceptual, cómo funciona técnicamente: qué es un bloque, qué es una clave privada, por qué existe un límite de 21.000.000 de unidades, o qué diferencia a Bitcoin de una stablecoin o de un token emitido en una red de contratos inteligentes. Por esa razón, la primera parte de la obra —lejos de ser un capítulo introductorio superficial— desarrolla con profundidad los fundamentos históricos y tecnológicos indispensables para que las partes normativas, contables, impositivas y de auditoría que siguen se apoyen sobre una base conceptual sólida.</w:t>
      </w:r>
    </w:p>
    <w:p>
      <w:pPr>
        <w:spacing w:after="160" w:line="300"/>
        <w:jc w:val="both"/>
      </w:pPr>
      <w:r>
        <w:rPr>
          <w:rFonts w:ascii="Garamond" w:cs="Garamond" w:eastAsia="Garamond" w:hAnsi="Garamond"/>
          <w:sz w:val="24"/>
          <w:szCs w:val="24"/>
        </w:rPr>
        <w:t xml:space="preserve">Quiero agradecer, en primer lugar, a la Universidad Nacional de Villa María, donde me formé como Contador Público y donde continúo vinculado a espacios de divulgación académica sobre criptoactivos. Agradezco también a la comunidad de divulgadores, desarrolladores y colegas contadores que, a través de podcasts, foros técnicos y publicaciones especializadas —muchos de ellos citados a lo largo de esta obra—, contribuyeron a formar el criterio profesional que intento volcar en estas páginas. Cualquier error u omisión que subsista es, por supuesto, de mi exclusiva responsabilidad.</w:t>
      </w:r>
    </w:p>
    <w:p>
      <w:pPr>
        <w:spacing w:after="160" w:line="300"/>
        <w:jc w:val="both"/>
      </w:pPr>
      <w:r>
        <w:rPr>
          <w:rFonts w:ascii="Garamond" w:cs="Garamond" w:eastAsia="Garamond" w:hAnsi="Garamond"/>
          <w:sz w:val="24"/>
          <w:szCs w:val="24"/>
        </w:rPr>
        <w:t xml:space="preserve">Por último, una advertencia metodológica que atraviesa toda la obra: dado que la normativa contable y tributaria aplicable a los criptoactivos se encuentra en constante evolución, este libro se concibe como un trabajo en desarrollo continuo, capítulo por capítulo, sujeto a revisión permanente. Invito al lector —docente, estudiante, colega o profesional del derecho— a tomar esta obra como punto de partida riguroso, y no como palabra final, sobre una materia que seguirá transformándose en los años por venir.</w:t>
      </w:r>
    </w:p>
    <w:p>
      <w:pPr>
        <w:spacing w:before="400"/>
        <w:jc w:val="right"/>
      </w:pPr>
      <w:r>
        <w:rPr>
          <w:rFonts w:ascii="Garamond" w:cs="Garamond" w:eastAsia="Garamond" w:hAnsi="Garamond"/>
          <w:b/>
          <w:bCs/>
          <w:sz w:val="24"/>
          <w:szCs w:val="24"/>
        </w:rPr>
        <w:t xml:space="preserve">Diego Eduardo Beltramo</w:t>
      </w:r>
    </w:p>
    <w:p>
      <w:pPr>
        <w:jc w:val="right"/>
      </w:pPr>
      <w:r>
        <w:rPr>
          <w:rFonts w:ascii="Garamond" w:cs="Garamond" w:eastAsia="Garamond" w:hAnsi="Garamond"/>
          <w:i/>
          <w:iCs/>
          <w:color w:val="555555"/>
          <w:sz w:val="22"/>
          <w:szCs w:val="22"/>
        </w:rPr>
        <w:t xml:space="preserve">Oncativo, Córdoba, Argentina — 2026</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Índice general</w:t>
      </w:r>
    </w:p>
    <w:p>
      <w:pPr>
        <w:spacing w:after="160" w:before="400"/>
      </w:pPr>
      <w:r>
        <w:rPr>
          <w:rFonts w:ascii="Garamond" w:cs="Garamond" w:eastAsia="Garamond" w:hAnsi="Garamond"/>
          <w:b/>
          <w:bCs/>
          <w:caps/>
          <w:color w:val="9C7A2E"/>
          <w:sz w:val="24"/>
          <w:szCs w:val="24"/>
        </w:rPr>
        <w:t xml:space="preserve">PARTE I — Fundamentos: dinero, Bitcoin y tecnología</w:t>
      </w:r>
    </w:p>
    <w:p>
      <w:pPr>
        <w:tabs>
          <w:tab w:val="right" w:pos="9020" w:leader="dot"/>
        </w:tabs>
        <w:spacing w:after="120"/>
      </w:pPr>
      <w:r>
        <w:rPr>
          <w:rFonts w:ascii="Garamond" w:cs="Garamond" w:eastAsia="Garamond" w:hAnsi="Garamond"/>
          <w:b/>
          <w:bCs/>
          <w:sz w:val="24"/>
          <w:szCs w:val="24"/>
        </w:rPr>
        <w:t xml:space="preserve">1. </w:t>
      </w:r>
      <w:r>
        <w:rPr>
          <w:rFonts w:ascii="Garamond" w:cs="Garamond" w:eastAsia="Garamond" w:hAnsi="Garamond"/>
          <w:sz w:val="24"/>
          <w:szCs w:val="24"/>
        </w:rPr>
        <w:t xml:space="preserve">Historia del dinero</w:t>
      </w:r>
      <w:r>
        <w:ptab w:alignment="right" w:relativeTo="margin" w:leader="dot"/>
      </w:r>
    </w:p>
    <w:p>
      <w:pPr>
        <w:tabs>
          <w:tab w:val="right" w:pos="9020" w:leader="dot"/>
        </w:tabs>
        <w:spacing w:after="120"/>
      </w:pPr>
      <w:r>
        <w:rPr>
          <w:rFonts w:ascii="Garamond" w:cs="Garamond" w:eastAsia="Garamond" w:hAnsi="Garamond"/>
          <w:b/>
          <w:bCs/>
          <w:sz w:val="24"/>
          <w:szCs w:val="24"/>
        </w:rPr>
        <w:t xml:space="preserve">2. </w:t>
      </w:r>
      <w:r>
        <w:rPr>
          <w:rFonts w:ascii="Garamond" w:cs="Garamond" w:eastAsia="Garamond" w:hAnsi="Garamond"/>
          <w:sz w:val="24"/>
          <w:szCs w:val="24"/>
        </w:rPr>
        <w:t xml:space="preserve">Historia de Bitcoin</w:t>
      </w:r>
      <w:r>
        <w:ptab w:alignment="right" w:relativeTo="margin" w:leader="dot"/>
      </w:r>
    </w:p>
    <w:p>
      <w:pPr>
        <w:tabs>
          <w:tab w:val="right" w:pos="9020" w:leader="dot"/>
        </w:tabs>
        <w:spacing w:after="120"/>
      </w:pPr>
      <w:r>
        <w:rPr>
          <w:rFonts w:ascii="Garamond" w:cs="Garamond" w:eastAsia="Garamond" w:hAnsi="Garamond"/>
          <w:b/>
          <w:bCs/>
          <w:sz w:val="24"/>
          <w:szCs w:val="24"/>
        </w:rPr>
        <w:t xml:space="preserve">3. </w:t>
      </w:r>
      <w:r>
        <w:rPr>
          <w:rFonts w:ascii="Garamond" w:cs="Garamond" w:eastAsia="Garamond" w:hAnsi="Garamond"/>
          <w:sz w:val="24"/>
          <w:szCs w:val="24"/>
        </w:rPr>
        <w:t xml:space="preserve">Fundamentos técnicos de blockchain</w:t>
      </w:r>
      <w:r>
        <w:ptab w:alignment="right" w:relativeTo="margin" w:leader="dot"/>
      </w:r>
    </w:p>
    <w:p>
      <w:pPr>
        <w:tabs>
          <w:tab w:val="right" w:pos="9020" w:leader="dot"/>
        </w:tabs>
        <w:spacing w:after="120"/>
      </w:pPr>
      <w:r>
        <w:rPr>
          <w:rFonts w:ascii="Garamond" w:cs="Garamond" w:eastAsia="Garamond" w:hAnsi="Garamond"/>
          <w:b/>
          <w:bCs/>
          <w:sz w:val="24"/>
          <w:szCs w:val="24"/>
        </w:rPr>
        <w:t xml:space="preserve">4. </w:t>
      </w:r>
      <w:r>
        <w:rPr>
          <w:rFonts w:ascii="Garamond" w:cs="Garamond" w:eastAsia="Garamond" w:hAnsi="Garamond"/>
          <w:sz w:val="24"/>
          <w:szCs w:val="24"/>
        </w:rPr>
        <w:t xml:space="preserve">Minería y mecanismos de consenso</w:t>
      </w:r>
      <w:r>
        <w:ptab w:alignment="right" w:relativeTo="margin" w:leader="dot"/>
      </w:r>
    </w:p>
    <w:p>
      <w:pPr>
        <w:tabs>
          <w:tab w:val="right" w:pos="9020" w:leader="dot"/>
        </w:tabs>
        <w:spacing w:after="120"/>
      </w:pPr>
      <w:r>
        <w:rPr>
          <w:rFonts w:ascii="Garamond" w:cs="Garamond" w:eastAsia="Garamond" w:hAnsi="Garamond"/>
          <w:b/>
          <w:bCs/>
          <w:sz w:val="24"/>
          <w:szCs w:val="24"/>
        </w:rPr>
        <w:t xml:space="preserve">5. </w:t>
      </w:r>
      <w:r>
        <w:rPr>
          <w:rFonts w:ascii="Garamond" w:cs="Garamond" w:eastAsia="Garamond" w:hAnsi="Garamond"/>
          <w:sz w:val="24"/>
          <w:szCs w:val="24"/>
        </w:rPr>
        <w:t xml:space="preserve">Lightning Network</w:t>
      </w:r>
      <w:r>
        <w:ptab w:alignment="right" w:relativeTo="margin" w:leader="dot"/>
      </w:r>
    </w:p>
    <w:p>
      <w:pPr>
        <w:tabs>
          <w:tab w:val="right" w:pos="9020" w:leader="dot"/>
        </w:tabs>
        <w:spacing w:after="120"/>
      </w:pPr>
      <w:r>
        <w:rPr>
          <w:rFonts w:ascii="Garamond" w:cs="Garamond" w:eastAsia="Garamond" w:hAnsi="Garamond"/>
          <w:b/>
          <w:bCs/>
          <w:sz w:val="24"/>
          <w:szCs w:val="24"/>
        </w:rPr>
        <w:t xml:space="preserve">6. </w:t>
      </w:r>
      <w:r>
        <w:rPr>
          <w:rFonts w:ascii="Garamond" w:cs="Garamond" w:eastAsia="Garamond" w:hAnsi="Garamond"/>
          <w:sz w:val="24"/>
          <w:szCs w:val="24"/>
        </w:rPr>
        <w:t xml:space="preserve">Wallets y custodia de claves</w:t>
      </w:r>
      <w:r>
        <w:ptab w:alignment="right" w:relativeTo="margin" w:leader="dot"/>
      </w:r>
    </w:p>
    <w:p>
      <w:pPr>
        <w:tabs>
          <w:tab w:val="right" w:pos="9020" w:leader="dot"/>
        </w:tabs>
        <w:spacing w:after="120"/>
      </w:pPr>
      <w:r>
        <w:rPr>
          <w:rFonts w:ascii="Garamond" w:cs="Garamond" w:eastAsia="Garamond" w:hAnsi="Garamond"/>
          <w:b/>
          <w:bCs/>
          <w:sz w:val="24"/>
          <w:szCs w:val="24"/>
        </w:rPr>
        <w:t xml:space="preserve">7. </w:t>
      </w:r>
      <w:r>
        <w:rPr>
          <w:rFonts w:ascii="Garamond" w:cs="Garamond" w:eastAsia="Garamond" w:hAnsi="Garamond"/>
          <w:sz w:val="24"/>
          <w:szCs w:val="24"/>
        </w:rPr>
        <w:t xml:space="preserve">Criptografía aplicada: claves públicas y privadas</w:t>
      </w:r>
      <w:r>
        <w:ptab w:alignment="right" w:relativeTo="margin" w:leader="dot"/>
      </w:r>
    </w:p>
    <w:p>
      <w:pPr>
        <w:tabs>
          <w:tab w:val="right" w:pos="9020" w:leader="dot"/>
        </w:tabs>
        <w:spacing w:after="120"/>
      </w:pPr>
      <w:r>
        <w:rPr>
          <w:rFonts w:ascii="Garamond" w:cs="Garamond" w:eastAsia="Garamond" w:hAnsi="Garamond"/>
          <w:b/>
          <w:bCs/>
          <w:sz w:val="24"/>
          <w:szCs w:val="24"/>
        </w:rPr>
        <w:t xml:space="preserve">8. </w:t>
      </w:r>
      <w:r>
        <w:rPr>
          <w:rFonts w:ascii="Garamond" w:cs="Garamond" w:eastAsia="Garamond" w:hAnsi="Garamond"/>
          <w:sz w:val="24"/>
          <w:szCs w:val="24"/>
        </w:rPr>
        <w:t xml:space="preserve">El modelo UTXO</w:t>
      </w:r>
      <w:r>
        <w:ptab w:alignment="right" w:relativeTo="margin" w:leader="dot"/>
      </w:r>
    </w:p>
    <w:p>
      <w:pPr>
        <w:tabs>
          <w:tab w:val="right" w:pos="9020" w:leader="dot"/>
        </w:tabs>
        <w:spacing w:after="120"/>
      </w:pPr>
      <w:r>
        <w:rPr>
          <w:rFonts w:ascii="Garamond" w:cs="Garamond" w:eastAsia="Garamond" w:hAnsi="Garamond"/>
          <w:b/>
          <w:bCs/>
          <w:sz w:val="24"/>
          <w:szCs w:val="24"/>
        </w:rPr>
        <w:t xml:space="preserve">9. </w:t>
      </w:r>
      <w:r>
        <w:rPr>
          <w:rFonts w:ascii="Garamond" w:cs="Garamond" w:eastAsia="Garamond" w:hAnsi="Garamond"/>
          <w:sz w:val="24"/>
          <w:szCs w:val="24"/>
        </w:rPr>
        <w:t xml:space="preserve">Tokenización, stablecoins, DeFi, NFT y DAO: panorama y diferenciación de Bitcoin</w:t>
      </w:r>
      <w:r>
        <w:ptab w:alignment="right" w:relativeTo="margin" w:leader="dot"/>
      </w:r>
    </w:p>
    <w:p>
      <w:pPr>
        <w:spacing w:after="160" w:before="400"/>
      </w:pPr>
      <w:r>
        <w:rPr>
          <w:rFonts w:ascii="Garamond" w:cs="Garamond" w:eastAsia="Garamond" w:hAnsi="Garamond"/>
          <w:b/>
          <w:bCs/>
          <w:caps/>
          <w:color w:val="9C7A2E"/>
          <w:sz w:val="24"/>
          <w:szCs w:val="24"/>
        </w:rPr>
        <w:t xml:space="preserve">PARTE II — Bitcoin como activo: marco conceptual contable</w:t>
      </w:r>
    </w:p>
    <w:p>
      <w:pPr>
        <w:tabs>
          <w:tab w:val="right" w:pos="9020" w:leader="dot"/>
        </w:tabs>
        <w:spacing w:after="120"/>
      </w:pPr>
      <w:r>
        <w:rPr>
          <w:rFonts w:ascii="Garamond" w:cs="Garamond" w:eastAsia="Garamond" w:hAnsi="Garamond"/>
          <w:b/>
          <w:bCs/>
          <w:sz w:val="24"/>
          <w:szCs w:val="24"/>
        </w:rPr>
        <w:t xml:space="preserve">10. </w:t>
      </w:r>
      <w:r>
        <w:rPr>
          <w:rFonts w:ascii="Garamond" w:cs="Garamond" w:eastAsia="Garamond" w:hAnsi="Garamond"/>
          <w:sz w:val="24"/>
          <w:szCs w:val="24"/>
        </w:rPr>
        <w:t xml:space="preserve">Bitcoin como activo: naturaleza económica y jurídica</w:t>
      </w:r>
      <w:r>
        <w:ptab w:alignment="right" w:relativeTo="margin" w:leader="dot"/>
      </w:r>
    </w:p>
    <w:p>
      <w:pPr>
        <w:tabs>
          <w:tab w:val="right" w:pos="9020" w:leader="dot"/>
        </w:tabs>
        <w:spacing w:after="120"/>
      </w:pPr>
      <w:r>
        <w:rPr>
          <w:rFonts w:ascii="Garamond" w:cs="Garamond" w:eastAsia="Garamond" w:hAnsi="Garamond"/>
          <w:b/>
          <w:bCs/>
          <w:sz w:val="24"/>
          <w:szCs w:val="24"/>
        </w:rPr>
        <w:t xml:space="preserve">11. </w:t>
      </w:r>
      <w:r>
        <w:rPr>
          <w:rFonts w:ascii="Garamond" w:cs="Garamond" w:eastAsia="Garamond" w:hAnsi="Garamond"/>
          <w:sz w:val="24"/>
          <w:szCs w:val="24"/>
        </w:rPr>
        <w:t xml:space="preserve">El Marco Conceptual del IASB: activo, pasivo y patrimonio</w:t>
      </w:r>
      <w:r>
        <w:ptab w:alignment="right" w:relativeTo="margin" w:leader="dot"/>
      </w:r>
    </w:p>
    <w:p>
      <w:pPr>
        <w:tabs>
          <w:tab w:val="right" w:pos="9020" w:leader="dot"/>
        </w:tabs>
        <w:spacing w:after="120"/>
      </w:pPr>
      <w:r>
        <w:rPr>
          <w:rFonts w:ascii="Garamond" w:cs="Garamond" w:eastAsia="Garamond" w:hAnsi="Garamond"/>
          <w:b/>
          <w:bCs/>
          <w:sz w:val="24"/>
          <w:szCs w:val="24"/>
        </w:rPr>
        <w:t xml:space="preserve">12. </w:t>
      </w:r>
      <w:r>
        <w:rPr>
          <w:rFonts w:ascii="Garamond" w:cs="Garamond" w:eastAsia="Garamond" w:hAnsi="Garamond"/>
          <w:sz w:val="24"/>
          <w:szCs w:val="24"/>
        </w:rPr>
        <w:t xml:space="preserve">Reconocimiento y medición contable</w:t>
      </w:r>
      <w:r>
        <w:ptab w:alignment="right" w:relativeTo="margin" w:leader="dot"/>
      </w:r>
    </w:p>
    <w:p>
      <w:pPr>
        <w:tabs>
          <w:tab w:val="right" w:pos="9020" w:leader="dot"/>
        </w:tabs>
        <w:spacing w:after="120"/>
      </w:pPr>
      <w:r>
        <w:rPr>
          <w:rFonts w:ascii="Garamond" w:cs="Garamond" w:eastAsia="Garamond" w:hAnsi="Garamond"/>
          <w:b/>
          <w:bCs/>
          <w:sz w:val="24"/>
          <w:szCs w:val="24"/>
        </w:rPr>
        <w:t xml:space="preserve">13. </w:t>
      </w:r>
      <w:r>
        <w:rPr>
          <w:rFonts w:ascii="Garamond" w:cs="Garamond" w:eastAsia="Garamond" w:hAnsi="Garamond"/>
          <w:sz w:val="24"/>
          <w:szCs w:val="24"/>
        </w:rPr>
        <w:t xml:space="preserve">Valor razonable versus costo histórico</w:t>
      </w:r>
      <w:r>
        <w:ptab w:alignment="right" w:relativeTo="margin" w:leader="dot"/>
      </w:r>
    </w:p>
    <w:p>
      <w:pPr>
        <w:spacing w:after="160" w:before="400"/>
      </w:pPr>
      <w:r>
        <w:rPr>
          <w:rFonts w:ascii="Garamond" w:cs="Garamond" w:eastAsia="Garamond" w:hAnsi="Garamond"/>
          <w:b/>
          <w:bCs/>
          <w:caps/>
          <w:color w:val="9C7A2E"/>
          <w:sz w:val="24"/>
          <w:szCs w:val="24"/>
        </w:rPr>
        <w:t xml:space="preserve">PARTE III — Normativa contable aplicable</w:t>
      </w:r>
    </w:p>
    <w:p>
      <w:pPr>
        <w:tabs>
          <w:tab w:val="right" w:pos="9020" w:leader="dot"/>
        </w:tabs>
        <w:spacing w:after="120"/>
      </w:pPr>
      <w:r>
        <w:rPr>
          <w:rFonts w:ascii="Garamond" w:cs="Garamond" w:eastAsia="Garamond" w:hAnsi="Garamond"/>
          <w:b/>
          <w:bCs/>
          <w:sz w:val="24"/>
          <w:szCs w:val="24"/>
        </w:rPr>
        <w:t xml:space="preserve">14. </w:t>
      </w:r>
      <w:r>
        <w:rPr>
          <w:rFonts w:ascii="Garamond" w:cs="Garamond" w:eastAsia="Garamond" w:hAnsi="Garamond"/>
          <w:sz w:val="24"/>
          <w:szCs w:val="24"/>
        </w:rPr>
        <w:t xml:space="preserve">NIC 38 – Activos intangibles aplicada a Bitcoin</w:t>
      </w:r>
      <w:r>
        <w:ptab w:alignment="right" w:relativeTo="margin" w:leader="dot"/>
      </w:r>
    </w:p>
    <w:p>
      <w:pPr>
        <w:tabs>
          <w:tab w:val="right" w:pos="9020" w:leader="dot"/>
        </w:tabs>
        <w:spacing w:after="120"/>
      </w:pPr>
      <w:r>
        <w:rPr>
          <w:rFonts w:ascii="Garamond" w:cs="Garamond" w:eastAsia="Garamond" w:hAnsi="Garamond"/>
          <w:b/>
          <w:bCs/>
          <w:sz w:val="24"/>
          <w:szCs w:val="24"/>
        </w:rPr>
        <w:t xml:space="preserve">15. </w:t>
      </w:r>
      <w:r>
        <w:rPr>
          <w:rFonts w:ascii="Garamond" w:cs="Garamond" w:eastAsia="Garamond" w:hAnsi="Garamond"/>
          <w:sz w:val="24"/>
          <w:szCs w:val="24"/>
        </w:rPr>
        <w:t xml:space="preserve">NIC 2 – Inventarios aplicada a Bitcoin</w:t>
      </w:r>
      <w:r>
        <w:ptab w:alignment="right" w:relativeTo="margin" w:leader="dot"/>
      </w:r>
    </w:p>
    <w:p>
      <w:pPr>
        <w:tabs>
          <w:tab w:val="right" w:pos="9020" w:leader="dot"/>
        </w:tabs>
        <w:spacing w:after="120"/>
      </w:pPr>
      <w:r>
        <w:rPr>
          <w:rFonts w:ascii="Garamond" w:cs="Garamond" w:eastAsia="Garamond" w:hAnsi="Garamond"/>
          <w:b/>
          <w:bCs/>
          <w:sz w:val="24"/>
          <w:szCs w:val="24"/>
        </w:rPr>
        <w:t xml:space="preserve">16. </w:t>
      </w:r>
      <w:r>
        <w:rPr>
          <w:rFonts w:ascii="Garamond" w:cs="Garamond" w:eastAsia="Garamond" w:hAnsi="Garamond"/>
          <w:sz w:val="24"/>
          <w:szCs w:val="24"/>
        </w:rPr>
        <w:t xml:space="preserve">NIC 36 – Deterioro del valor de los activos</w:t>
      </w:r>
      <w:r>
        <w:ptab w:alignment="right" w:relativeTo="margin" w:leader="dot"/>
      </w:r>
    </w:p>
    <w:p>
      <w:pPr>
        <w:tabs>
          <w:tab w:val="right" w:pos="9020" w:leader="dot"/>
        </w:tabs>
        <w:spacing w:after="120"/>
      </w:pPr>
      <w:r>
        <w:rPr>
          <w:rFonts w:ascii="Garamond" w:cs="Garamond" w:eastAsia="Garamond" w:hAnsi="Garamond"/>
          <w:b/>
          <w:bCs/>
          <w:sz w:val="24"/>
          <w:szCs w:val="24"/>
        </w:rPr>
        <w:t xml:space="preserve">17. </w:t>
      </w:r>
      <w:r>
        <w:rPr>
          <w:rFonts w:ascii="Garamond" w:cs="Garamond" w:eastAsia="Garamond" w:hAnsi="Garamond"/>
          <w:sz w:val="24"/>
          <w:szCs w:val="24"/>
        </w:rPr>
        <w:t xml:space="preserve">NIIF 13 – Medición del valor razonable</w:t>
      </w:r>
      <w:r>
        <w:ptab w:alignment="right" w:relativeTo="margin" w:leader="dot"/>
      </w:r>
    </w:p>
    <w:p>
      <w:pPr>
        <w:tabs>
          <w:tab w:val="right" w:pos="9020" w:leader="dot"/>
        </w:tabs>
        <w:spacing w:after="120"/>
      </w:pPr>
      <w:r>
        <w:rPr>
          <w:rFonts w:ascii="Garamond" w:cs="Garamond" w:eastAsia="Garamond" w:hAnsi="Garamond"/>
          <w:b/>
          <w:bCs/>
          <w:sz w:val="24"/>
          <w:szCs w:val="24"/>
        </w:rPr>
        <w:t xml:space="preserve">18. </w:t>
      </w:r>
      <w:r>
        <w:rPr>
          <w:rFonts w:ascii="Garamond" w:cs="Garamond" w:eastAsia="Garamond" w:hAnsi="Garamond"/>
          <w:sz w:val="24"/>
          <w:szCs w:val="24"/>
        </w:rPr>
        <w:t xml:space="preserve">NIC 12 – Impuesto a las ganancias e impuesto diferido</w:t>
      </w:r>
      <w:r>
        <w:ptab w:alignment="right" w:relativeTo="margin" w:leader="dot"/>
      </w:r>
    </w:p>
    <w:p>
      <w:pPr>
        <w:tabs>
          <w:tab w:val="right" w:pos="9020" w:leader="dot"/>
        </w:tabs>
        <w:spacing w:after="120"/>
      </w:pPr>
      <w:r>
        <w:rPr>
          <w:rFonts w:ascii="Garamond" w:cs="Garamond" w:eastAsia="Garamond" w:hAnsi="Garamond"/>
          <w:b/>
          <w:bCs/>
          <w:sz w:val="24"/>
          <w:szCs w:val="24"/>
        </w:rPr>
        <w:t xml:space="preserve">19. </w:t>
      </w:r>
      <w:r>
        <w:rPr>
          <w:rFonts w:ascii="Garamond" w:cs="Garamond" w:eastAsia="Garamond" w:hAnsi="Garamond"/>
          <w:sz w:val="24"/>
          <w:szCs w:val="24"/>
        </w:rPr>
        <w:t xml:space="preserve">NIC 21 – Efectos de las variaciones en las tasas de cambio</w:t>
      </w:r>
      <w:r>
        <w:ptab w:alignment="right" w:relativeTo="margin" w:leader="dot"/>
      </w:r>
    </w:p>
    <w:p>
      <w:pPr>
        <w:tabs>
          <w:tab w:val="right" w:pos="9020" w:leader="dot"/>
        </w:tabs>
        <w:spacing w:after="120"/>
      </w:pPr>
      <w:r>
        <w:rPr>
          <w:rFonts w:ascii="Garamond" w:cs="Garamond" w:eastAsia="Garamond" w:hAnsi="Garamond"/>
          <w:b/>
          <w:bCs/>
          <w:sz w:val="24"/>
          <w:szCs w:val="24"/>
        </w:rPr>
        <w:t xml:space="preserve">20. </w:t>
      </w:r>
      <w:r>
        <w:rPr>
          <w:rFonts w:ascii="Garamond" w:cs="Garamond" w:eastAsia="Garamond" w:hAnsi="Garamond"/>
          <w:sz w:val="24"/>
          <w:szCs w:val="24"/>
        </w:rPr>
        <w:t xml:space="preserve">NIC 7 – Estado de flujos de efectivo</w:t>
      </w:r>
      <w:r>
        <w:ptab w:alignment="right" w:relativeTo="margin" w:leader="dot"/>
      </w:r>
    </w:p>
    <w:p>
      <w:pPr>
        <w:tabs>
          <w:tab w:val="right" w:pos="9020" w:leader="dot"/>
        </w:tabs>
        <w:spacing w:after="120"/>
      </w:pPr>
      <w:r>
        <w:rPr>
          <w:rFonts w:ascii="Garamond" w:cs="Garamond" w:eastAsia="Garamond" w:hAnsi="Garamond"/>
          <w:b/>
          <w:bCs/>
          <w:sz w:val="24"/>
          <w:szCs w:val="24"/>
        </w:rPr>
        <w:t xml:space="preserve">21. </w:t>
      </w:r>
      <w:r>
        <w:rPr>
          <w:rFonts w:ascii="Garamond" w:cs="Garamond" w:eastAsia="Garamond" w:hAnsi="Garamond"/>
          <w:sz w:val="24"/>
          <w:szCs w:val="24"/>
        </w:rPr>
        <w:t xml:space="preserve">La Decisión de Agenda del IFRS IC (2019): análisis exhaustivo</w:t>
      </w:r>
      <w:r>
        <w:ptab w:alignment="right" w:relativeTo="margin" w:leader="dot"/>
      </w:r>
    </w:p>
    <w:p>
      <w:pPr>
        <w:tabs>
          <w:tab w:val="right" w:pos="9020" w:leader="dot"/>
        </w:tabs>
        <w:spacing w:after="120"/>
      </w:pPr>
      <w:r>
        <w:rPr>
          <w:rFonts w:ascii="Garamond" w:cs="Garamond" w:eastAsia="Garamond" w:hAnsi="Garamond"/>
          <w:b/>
          <w:bCs/>
          <w:sz w:val="24"/>
          <w:szCs w:val="24"/>
        </w:rPr>
        <w:t xml:space="preserve">22. </w:t>
      </w:r>
      <w:r>
        <w:rPr>
          <w:rFonts w:ascii="Garamond" w:cs="Garamond" w:eastAsia="Garamond" w:hAnsi="Garamond"/>
          <w:sz w:val="24"/>
          <w:szCs w:val="24"/>
        </w:rPr>
        <w:t xml:space="preserve">Normativa argentina: Resoluciones Técnicas FACPCE y su relación con las NIIF</w:t>
      </w:r>
      <w:r>
        <w:ptab w:alignment="right" w:relativeTo="margin" w:leader="dot"/>
      </w:r>
    </w:p>
    <w:p>
      <w:pPr>
        <w:spacing w:after="160" w:before="400"/>
      </w:pPr>
      <w:r>
        <w:rPr>
          <w:rFonts w:ascii="Garamond" w:cs="Garamond" w:eastAsia="Garamond" w:hAnsi="Garamond"/>
          <w:b/>
          <w:bCs/>
          <w:caps/>
          <w:color w:val="9C7A2E"/>
          <w:sz w:val="24"/>
          <w:szCs w:val="24"/>
        </w:rPr>
        <w:t xml:space="preserve">PARTE IV — Registración y exposición contable</w:t>
      </w:r>
    </w:p>
    <w:p>
      <w:pPr>
        <w:tabs>
          <w:tab w:val="right" w:pos="9020" w:leader="dot"/>
        </w:tabs>
        <w:spacing w:after="120"/>
      </w:pPr>
      <w:r>
        <w:rPr>
          <w:rFonts w:ascii="Garamond" w:cs="Garamond" w:eastAsia="Garamond" w:hAnsi="Garamond"/>
          <w:b/>
          <w:bCs/>
          <w:sz w:val="24"/>
          <w:szCs w:val="24"/>
        </w:rPr>
        <w:t xml:space="preserve">23. </w:t>
      </w:r>
      <w:r>
        <w:rPr>
          <w:rFonts w:ascii="Garamond" w:cs="Garamond" w:eastAsia="Garamond" w:hAnsi="Garamond"/>
          <w:sz w:val="24"/>
          <w:szCs w:val="24"/>
        </w:rPr>
        <w:t xml:space="preserve">Plan de cuentas para Bitcoin y criptoactivos</w:t>
      </w:r>
      <w:r>
        <w:ptab w:alignment="right" w:relativeTo="margin" w:leader="dot"/>
      </w:r>
    </w:p>
    <w:p>
      <w:pPr>
        <w:tabs>
          <w:tab w:val="right" w:pos="9020" w:leader="dot"/>
        </w:tabs>
        <w:spacing w:after="120"/>
      </w:pPr>
      <w:r>
        <w:rPr>
          <w:rFonts w:ascii="Garamond" w:cs="Garamond" w:eastAsia="Garamond" w:hAnsi="Garamond"/>
          <w:b/>
          <w:bCs/>
          <w:sz w:val="24"/>
          <w:szCs w:val="24"/>
        </w:rPr>
        <w:t xml:space="preserve">24. </w:t>
      </w:r>
      <w:r>
        <w:rPr>
          <w:rFonts w:ascii="Garamond" w:cs="Garamond" w:eastAsia="Garamond" w:hAnsi="Garamond"/>
          <w:sz w:val="24"/>
          <w:szCs w:val="24"/>
        </w:rPr>
        <w:t xml:space="preserve">Asientos contables: casos prácticos</w:t>
      </w:r>
      <w:r>
        <w:ptab w:alignment="right" w:relativeTo="margin" w:leader="dot"/>
      </w:r>
    </w:p>
    <w:p>
      <w:pPr>
        <w:tabs>
          <w:tab w:val="right" w:pos="9020" w:leader="dot"/>
        </w:tabs>
        <w:spacing w:after="120"/>
      </w:pPr>
      <w:r>
        <w:rPr>
          <w:rFonts w:ascii="Garamond" w:cs="Garamond" w:eastAsia="Garamond" w:hAnsi="Garamond"/>
          <w:b/>
          <w:bCs/>
          <w:sz w:val="24"/>
          <w:szCs w:val="24"/>
        </w:rPr>
        <w:t xml:space="preserve">25. </w:t>
      </w:r>
      <w:r>
        <w:rPr>
          <w:rFonts w:ascii="Garamond" w:cs="Garamond" w:eastAsia="Garamond" w:hAnsi="Garamond"/>
          <w:sz w:val="24"/>
          <w:szCs w:val="24"/>
        </w:rPr>
        <w:t xml:space="preserve">Estados contables y notas a los estados contables</w:t>
      </w:r>
      <w:r>
        <w:ptab w:alignment="right" w:relativeTo="margin" w:leader="dot"/>
      </w:r>
    </w:p>
    <w:p>
      <w:pPr>
        <w:spacing w:after="160" w:before="400"/>
      </w:pPr>
      <w:r>
        <w:rPr>
          <w:rFonts w:ascii="Garamond" w:cs="Garamond" w:eastAsia="Garamond" w:hAnsi="Garamond"/>
          <w:b/>
          <w:bCs/>
          <w:caps/>
          <w:color w:val="9C7A2E"/>
          <w:sz w:val="24"/>
          <w:szCs w:val="24"/>
        </w:rPr>
        <w:t xml:space="preserve">PARTE V — Tributación</w:t>
      </w:r>
    </w:p>
    <w:p>
      <w:pPr>
        <w:tabs>
          <w:tab w:val="right" w:pos="9020" w:leader="dot"/>
        </w:tabs>
        <w:spacing w:after="120"/>
      </w:pPr>
      <w:r>
        <w:rPr>
          <w:rFonts w:ascii="Garamond" w:cs="Garamond" w:eastAsia="Garamond" w:hAnsi="Garamond"/>
          <w:b/>
          <w:bCs/>
          <w:sz w:val="24"/>
          <w:szCs w:val="24"/>
        </w:rPr>
        <w:t xml:space="preserve">26. </w:t>
      </w:r>
      <w:r>
        <w:rPr>
          <w:rFonts w:ascii="Garamond" w:cs="Garamond" w:eastAsia="Garamond" w:hAnsi="Garamond"/>
          <w:sz w:val="24"/>
          <w:szCs w:val="24"/>
        </w:rPr>
        <w:t xml:space="preserve">Impuesto a las Ganancias</w:t>
      </w:r>
      <w:r>
        <w:ptab w:alignment="right" w:relativeTo="margin" w:leader="dot"/>
      </w:r>
    </w:p>
    <w:p>
      <w:pPr>
        <w:tabs>
          <w:tab w:val="right" w:pos="9020" w:leader="dot"/>
        </w:tabs>
        <w:spacing w:after="120"/>
      </w:pPr>
      <w:r>
        <w:rPr>
          <w:rFonts w:ascii="Garamond" w:cs="Garamond" w:eastAsia="Garamond" w:hAnsi="Garamond"/>
          <w:b/>
          <w:bCs/>
          <w:sz w:val="24"/>
          <w:szCs w:val="24"/>
        </w:rPr>
        <w:t xml:space="preserve">27. </w:t>
      </w:r>
      <w:r>
        <w:rPr>
          <w:rFonts w:ascii="Garamond" w:cs="Garamond" w:eastAsia="Garamond" w:hAnsi="Garamond"/>
          <w:sz w:val="24"/>
          <w:szCs w:val="24"/>
        </w:rPr>
        <w:t xml:space="preserve">Impuesto al Valor Agregado (IVA)</w:t>
      </w:r>
      <w:r>
        <w:ptab w:alignment="right" w:relativeTo="margin" w:leader="dot"/>
      </w:r>
    </w:p>
    <w:p>
      <w:pPr>
        <w:tabs>
          <w:tab w:val="right" w:pos="9020" w:leader="dot"/>
        </w:tabs>
        <w:spacing w:after="120"/>
      </w:pPr>
      <w:r>
        <w:rPr>
          <w:rFonts w:ascii="Garamond" w:cs="Garamond" w:eastAsia="Garamond" w:hAnsi="Garamond"/>
          <w:b/>
          <w:bCs/>
          <w:sz w:val="24"/>
          <w:szCs w:val="24"/>
        </w:rPr>
        <w:t xml:space="preserve">28. </w:t>
      </w:r>
      <w:r>
        <w:rPr>
          <w:rFonts w:ascii="Garamond" w:cs="Garamond" w:eastAsia="Garamond" w:hAnsi="Garamond"/>
          <w:sz w:val="24"/>
          <w:szCs w:val="24"/>
        </w:rPr>
        <w:t xml:space="preserve">Impuesto sobre los Bienes Personales</w:t>
      </w:r>
      <w:r>
        <w:ptab w:alignment="right" w:relativeTo="margin" w:leader="dot"/>
      </w:r>
    </w:p>
    <w:p>
      <w:pPr>
        <w:tabs>
          <w:tab w:val="right" w:pos="9020" w:leader="dot"/>
        </w:tabs>
        <w:spacing w:after="120"/>
      </w:pPr>
      <w:r>
        <w:rPr>
          <w:rFonts w:ascii="Garamond" w:cs="Garamond" w:eastAsia="Garamond" w:hAnsi="Garamond"/>
          <w:b/>
          <w:bCs/>
          <w:sz w:val="24"/>
          <w:szCs w:val="24"/>
        </w:rPr>
        <w:t xml:space="preserve">29. </w:t>
      </w:r>
      <w:r>
        <w:rPr>
          <w:rFonts w:ascii="Garamond" w:cs="Garamond" w:eastAsia="Garamond" w:hAnsi="Garamond"/>
          <w:sz w:val="24"/>
          <w:szCs w:val="24"/>
        </w:rPr>
        <w:t xml:space="preserve">Ingresos Brutos</w:t>
      </w:r>
      <w:r>
        <w:ptab w:alignment="right" w:relativeTo="margin" w:leader="dot"/>
      </w:r>
    </w:p>
    <w:p>
      <w:pPr>
        <w:tabs>
          <w:tab w:val="right" w:pos="9020" w:leader="dot"/>
        </w:tabs>
        <w:spacing w:after="120"/>
      </w:pPr>
      <w:r>
        <w:rPr>
          <w:rFonts w:ascii="Garamond" w:cs="Garamond" w:eastAsia="Garamond" w:hAnsi="Garamond"/>
          <w:b/>
          <w:bCs/>
          <w:sz w:val="24"/>
          <w:szCs w:val="24"/>
        </w:rPr>
        <w:t xml:space="preserve">30. </w:t>
      </w:r>
      <w:r>
        <w:rPr>
          <w:rFonts w:ascii="Garamond" w:cs="Garamond" w:eastAsia="Garamond" w:hAnsi="Garamond"/>
          <w:sz w:val="24"/>
          <w:szCs w:val="24"/>
        </w:rPr>
        <w:t xml:space="preserve">Tributación internacional comparada</w:t>
      </w:r>
      <w:r>
        <w:ptab w:alignment="right" w:relativeTo="margin" w:leader="dot"/>
      </w:r>
    </w:p>
    <w:p>
      <w:pPr>
        <w:spacing w:after="160" w:before="400"/>
      </w:pPr>
      <w:r>
        <w:rPr>
          <w:rFonts w:ascii="Garamond" w:cs="Garamond" w:eastAsia="Garamond" w:hAnsi="Garamond"/>
          <w:b/>
          <w:bCs/>
          <w:caps/>
          <w:color w:val="9C7A2E"/>
          <w:sz w:val="24"/>
          <w:szCs w:val="24"/>
        </w:rPr>
        <w:t xml:space="preserve">PARTE VI — Auditoría y control</w:t>
      </w:r>
    </w:p>
    <w:p>
      <w:pPr>
        <w:tabs>
          <w:tab w:val="right" w:pos="9020" w:leader="dot"/>
        </w:tabs>
        <w:spacing w:after="120"/>
      </w:pPr>
      <w:r>
        <w:rPr>
          <w:rFonts w:ascii="Garamond" w:cs="Garamond" w:eastAsia="Garamond" w:hAnsi="Garamond"/>
          <w:b/>
          <w:bCs/>
          <w:sz w:val="24"/>
          <w:szCs w:val="24"/>
        </w:rPr>
        <w:t xml:space="preserve">31. </w:t>
      </w:r>
      <w:r>
        <w:rPr>
          <w:rFonts w:ascii="Garamond" w:cs="Garamond" w:eastAsia="Garamond" w:hAnsi="Garamond"/>
          <w:sz w:val="24"/>
          <w:szCs w:val="24"/>
        </w:rPr>
        <w:t xml:space="preserve">Auditoría de criptoactivos: papeles de trabajo</w:t>
      </w:r>
      <w:r>
        <w:ptab w:alignment="right" w:relativeTo="margin" w:leader="dot"/>
      </w:r>
    </w:p>
    <w:p>
      <w:pPr>
        <w:tabs>
          <w:tab w:val="right" w:pos="9020" w:leader="dot"/>
        </w:tabs>
        <w:spacing w:after="120"/>
      </w:pPr>
      <w:r>
        <w:rPr>
          <w:rFonts w:ascii="Garamond" w:cs="Garamond" w:eastAsia="Garamond" w:hAnsi="Garamond"/>
          <w:b/>
          <w:bCs/>
          <w:sz w:val="24"/>
          <w:szCs w:val="24"/>
        </w:rPr>
        <w:t xml:space="preserve">32. </w:t>
      </w:r>
      <w:r>
        <w:rPr>
          <w:rFonts w:ascii="Garamond" w:cs="Garamond" w:eastAsia="Garamond" w:hAnsi="Garamond"/>
          <w:sz w:val="24"/>
          <w:szCs w:val="24"/>
        </w:rPr>
        <w:t xml:space="preserve">Control interno, multifirma (multisig) y hardware wallets</w:t>
      </w:r>
      <w:r>
        <w:ptab w:alignment="right" w:relativeTo="margin" w:leader="dot"/>
      </w:r>
    </w:p>
    <w:p>
      <w:pPr>
        <w:tabs>
          <w:tab w:val="right" w:pos="9020" w:leader="dot"/>
        </w:tabs>
        <w:spacing w:after="120"/>
      </w:pPr>
      <w:r>
        <w:rPr>
          <w:rFonts w:ascii="Garamond" w:cs="Garamond" w:eastAsia="Garamond" w:hAnsi="Garamond"/>
          <w:b/>
          <w:bCs/>
          <w:sz w:val="24"/>
          <w:szCs w:val="24"/>
        </w:rPr>
        <w:t xml:space="preserve">33. </w:t>
      </w:r>
      <w:r>
        <w:rPr>
          <w:rFonts w:ascii="Garamond" w:cs="Garamond" w:eastAsia="Garamond" w:hAnsi="Garamond"/>
          <w:sz w:val="24"/>
          <w:szCs w:val="24"/>
        </w:rPr>
        <w:t xml:space="preserve">Prevención de lavado de activos (AML) y compliance</w:t>
      </w:r>
      <w:r>
        <w:ptab w:alignment="right" w:relativeTo="margin" w:leader="dot"/>
      </w:r>
    </w:p>
    <w:p>
      <w:pPr>
        <w:tabs>
          <w:tab w:val="right" w:pos="9020" w:leader="dot"/>
        </w:tabs>
        <w:spacing w:after="120"/>
      </w:pPr>
      <w:r>
        <w:rPr>
          <w:rFonts w:ascii="Garamond" w:cs="Garamond" w:eastAsia="Garamond" w:hAnsi="Garamond"/>
          <w:b/>
          <w:bCs/>
          <w:sz w:val="24"/>
          <w:szCs w:val="24"/>
        </w:rPr>
        <w:t xml:space="preserve">34. </w:t>
      </w:r>
      <w:r>
        <w:rPr>
          <w:rFonts w:ascii="Garamond" w:cs="Garamond" w:eastAsia="Garamond" w:hAnsi="Garamond"/>
          <w:sz w:val="24"/>
          <w:szCs w:val="24"/>
        </w:rPr>
        <w:t xml:space="preserve">Pericias contables sobre criptoactivos</w:t>
      </w:r>
      <w:r>
        <w:ptab w:alignment="right" w:relativeTo="margin" w:leader="dot"/>
      </w:r>
    </w:p>
    <w:p>
      <w:pPr>
        <w:tabs>
          <w:tab w:val="right" w:pos="9020" w:leader="dot"/>
        </w:tabs>
        <w:spacing w:after="120"/>
      </w:pPr>
      <w:r>
        <w:rPr>
          <w:rFonts w:ascii="Garamond" w:cs="Garamond" w:eastAsia="Garamond" w:hAnsi="Garamond"/>
          <w:b/>
          <w:bCs/>
          <w:sz w:val="24"/>
          <w:szCs w:val="24"/>
        </w:rPr>
        <w:t xml:space="preserve">35. </w:t>
      </w:r>
      <w:r>
        <w:rPr>
          <w:rFonts w:ascii="Garamond" w:cs="Garamond" w:eastAsia="Garamond" w:hAnsi="Garamond"/>
          <w:sz w:val="24"/>
          <w:szCs w:val="24"/>
        </w:rPr>
        <w:t xml:space="preserve">Prueba de reservas y prueba de existencia</w:t>
      </w:r>
      <w:r>
        <w:ptab w:alignment="right" w:relativeTo="margin" w:leader="dot"/>
      </w:r>
    </w:p>
    <w:p>
      <w:pPr>
        <w:spacing w:after="160" w:before="400"/>
      </w:pPr>
      <w:r>
        <w:rPr>
          <w:rFonts w:ascii="Garamond" w:cs="Garamond" w:eastAsia="Garamond" w:hAnsi="Garamond"/>
          <w:b/>
          <w:bCs/>
          <w:caps/>
          <w:color w:val="9C7A2E"/>
          <w:sz w:val="24"/>
          <w:szCs w:val="24"/>
        </w:rPr>
        <w:t xml:space="preserve">PARTE VII — Jurisprudencia y casos</w:t>
      </w:r>
    </w:p>
    <w:p>
      <w:pPr>
        <w:tabs>
          <w:tab w:val="right" w:pos="9020" w:leader="dot"/>
        </w:tabs>
        <w:spacing w:after="120"/>
      </w:pPr>
      <w:r>
        <w:rPr>
          <w:rFonts w:ascii="Garamond" w:cs="Garamond" w:eastAsia="Garamond" w:hAnsi="Garamond"/>
          <w:b/>
          <w:bCs/>
          <w:sz w:val="24"/>
          <w:szCs w:val="24"/>
        </w:rPr>
        <w:t xml:space="preserve">36. </w:t>
      </w:r>
      <w:r>
        <w:rPr>
          <w:rFonts w:ascii="Garamond" w:cs="Garamond" w:eastAsia="Garamond" w:hAnsi="Garamond"/>
          <w:sz w:val="24"/>
          <w:szCs w:val="24"/>
        </w:rPr>
        <w:t xml:space="preserve">Jurisprudencia argentina e internacional</w:t>
      </w:r>
      <w:r>
        <w:ptab w:alignment="right" w:relativeTo="margin" w:leader="dot"/>
      </w:r>
    </w:p>
    <w:p>
      <w:pPr>
        <w:tabs>
          <w:tab w:val="right" w:pos="9020" w:leader="dot"/>
        </w:tabs>
        <w:spacing w:after="120"/>
      </w:pPr>
      <w:r>
        <w:rPr>
          <w:rFonts w:ascii="Garamond" w:cs="Garamond" w:eastAsia="Garamond" w:hAnsi="Garamond"/>
          <w:b/>
          <w:bCs/>
          <w:sz w:val="24"/>
          <w:szCs w:val="24"/>
        </w:rPr>
        <w:t xml:space="preserve">37. </w:t>
      </w:r>
      <w:r>
        <w:rPr>
          <w:rFonts w:ascii="Garamond" w:cs="Garamond" w:eastAsia="Garamond" w:hAnsi="Garamond"/>
          <w:sz w:val="24"/>
          <w:szCs w:val="24"/>
        </w:rPr>
        <w:t xml:space="preserve">Casos empresariales: MicroStrategy, Tesla, BlackRock y los ETF de Bitcoin</w:t>
      </w:r>
      <w:r>
        <w:ptab w:alignment="right" w:relativeTo="margin" w:leader="dot"/>
      </w:r>
    </w:p>
    <w:p>
      <w:r>
        <w:br w:type="page"/>
      </w:r>
    </w:p>
    <w:p>
      <w:pPr>
        <w:spacing w:after="160" w:before="400"/>
      </w:pPr>
      <w:r>
        <w:rPr>
          <w:rFonts w:ascii="Garamond" w:cs="Garamond" w:eastAsia="Garamond" w:hAnsi="Garamond"/>
          <w:b/>
          <w:bCs/>
          <w:caps/>
          <w:color w:val="9C7A2E"/>
          <w:sz w:val="24"/>
          <w:szCs w:val="24"/>
        </w:rPr>
        <w:t xml:space="preserve">PARTE I — FUNDAMENTOS: DINERO, BITCOIN Y TECNOLOGÍA</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w:t>
      </w:r>
    </w:p>
    <w:p>
      <w:pPr>
        <w:spacing w:after="400"/>
      </w:pPr>
      <w:r>
        <w:rPr>
          <w:rFonts w:ascii="Garamond" w:cs="Garamond" w:eastAsia="Garamond" w:hAnsi="Garamond"/>
          <w:b/>
          <w:bCs/>
          <w:color w:val="9C7A2E"/>
          <w:sz w:val="40"/>
          <w:szCs w:val="40"/>
        </w:rPr>
        <w:t xml:space="preserve">Historia del dinero</w:t>
      </w:r>
    </w:p>
    <w:p>
      <w:pPr>
        <w:pStyle w:val="Heading2"/>
        <w:spacing w:after="180" w:before="360"/>
      </w:pPr>
      <w:r>
        <w:rPr>
          <w:rFonts w:ascii="Garamond" w:cs="Garamond" w:eastAsia="Garamond" w:hAnsi="Garamond"/>
          <w:b/>
          <w:bCs/>
          <w:color w:val="10233F"/>
          <w:sz w:val="28"/>
          <w:szCs w:val="28"/>
        </w:rPr>
        <w:t xml:space="preserve">1.1. Introducción: por qué un contador debe conocer la historia del dinero</w:t>
      </w:r>
    </w:p>
    <w:p>
      <w:pPr>
        <w:spacing w:after="160" w:line="300"/>
        <w:jc w:val="both"/>
      </w:pPr>
      <w:r>
        <w:rPr>
          <w:rFonts w:ascii="Garamond" w:cs="Garamond" w:eastAsia="Garamond" w:hAnsi="Garamond"/>
          <w:sz w:val="24"/>
          <w:szCs w:val="24"/>
        </w:rPr>
        <w:t xml:space="preserve">Comprender el tratamiento contable de Bitcoin exige, como paso previo e ineludible, comprender qué es el dinero, qué funciones cumple y cómo esas funciones fueron satisfechas —con distinta eficiencia— por distintos bienes a lo largo de la historia económica de la humanidad. Esta afirmación no es retórica ni un mero recurso introductorio: la clasificación contable de un activo depende, en última instancia, de la función económica que ese activo desempeña para quien lo posee, y las normas contables vigentes —tanto las Normas Internacionales de Información Financiera (NIIF) adoptadas por la Federación Argentina de Consejos Profesionales de Ciencias Económicas (FACPCE) como las Resoluciones Técnicas de fuente local— parten precisamente de esa lógica funcional para decidir si un bien constituye efectivo, un instrumento financiero, una existencia (inventario) o un activo intangible.</w:t>
      </w:r>
    </w:p>
    <w:p>
      <w:pPr>
        <w:spacing w:after="160" w:line="300"/>
        <w:jc w:val="both"/>
      </w:pPr>
      <w:r>
        <w:rPr>
          <w:rFonts w:ascii="Garamond" w:cs="Garamond" w:eastAsia="Garamond" w:hAnsi="Garamond"/>
          <w:sz w:val="24"/>
          <w:szCs w:val="24"/>
        </w:rPr>
        <w:t xml:space="preserve">El presente capítulo reconstruye la evolución histórica del dinero desde el trueque primitivo hasta los sistemas monetarios fiduciarios contemporáneos, con el propósito específico de establecer el marco conceptual económico que permitirá, en capítulos posteriores, fundamentar por qué Bitcoin no satisface —bajo la normativa contable vigente— la definición de efectivo ni de equivalente de efectivo, y por qué, en cambio, su encuadre dominante es el de activo intangible en los términos de la Norma Internacional de Contabilidad (NIC) 38.</w:t>
      </w:r>
    </w:p>
    <w:p>
      <w:pPr>
        <w:pStyle w:val="Heading2"/>
        <w:spacing w:after="180" w:before="360"/>
      </w:pPr>
      <w:r>
        <w:rPr>
          <w:rFonts w:ascii="Garamond" w:cs="Garamond" w:eastAsia="Garamond" w:hAnsi="Garamond"/>
          <w:b/>
          <w:bCs/>
          <w:color w:val="10233F"/>
          <w:sz w:val="28"/>
          <w:szCs w:val="28"/>
        </w:rPr>
        <w:t xml:space="preserve">1.2. Las funciones del dinero: el punto de partida conceptual</w:t>
      </w:r>
    </w:p>
    <w:p>
      <w:pPr>
        <w:spacing w:after="160" w:line="300"/>
        <w:jc w:val="both"/>
      </w:pPr>
      <w:r>
        <w:rPr>
          <w:rFonts w:ascii="Garamond" w:cs="Garamond" w:eastAsia="Garamond" w:hAnsi="Garamond"/>
          <w:sz w:val="24"/>
          <w:szCs w:val="24"/>
        </w:rPr>
        <w:t xml:space="preserve">La ciencia económica identifica tradicionalmente tres funciones que debe cumplir todo bien para ser considerado dinero en sentido pleno:</w:t>
      </w:r>
    </w:p>
    <w:p>
      <w:pPr>
        <w:spacing w:after="160" w:line="300"/>
        <w:jc w:val="both"/>
      </w:pPr>
      <w:r>
        <w:rPr>
          <w:rFonts w:ascii="Garamond" w:cs="Garamond" w:eastAsia="Garamond" w:hAnsi="Garamond"/>
          <w:sz w:val="24"/>
          <w:szCs w:val="24"/>
        </w:rPr>
        <w:t xml:space="preserve">a) Medio de intercambio: un bien generalmente aceptado que permite superar la llamada «doble coincidencia de necesidades» propia del trueque, es decir, la exigencia de que cada parte de una transacción posea exactamente lo que la otra desea y viceversa.</w:t>
      </w:r>
    </w:p>
    <w:p>
      <w:pPr>
        <w:spacing w:after="160" w:line="300"/>
        <w:jc w:val="both"/>
      </w:pPr>
      <w:r>
        <w:rPr>
          <w:rFonts w:ascii="Garamond" w:cs="Garamond" w:eastAsia="Garamond" w:hAnsi="Garamond"/>
          <w:sz w:val="24"/>
          <w:szCs w:val="24"/>
        </w:rPr>
        <w:t xml:space="preserve">b) Unidad de cuenta: una medida común que permite expresar el valor relativo de bienes y servicios heterogéneos en una sola escala, reduciendo los costos de información propios de una economía de trueque puro.</w:t>
      </w:r>
    </w:p>
    <w:p>
      <w:pPr>
        <w:spacing w:after="160" w:line="300"/>
        <w:jc w:val="both"/>
      </w:pPr>
      <w:r>
        <w:rPr>
          <w:rFonts w:ascii="Garamond" w:cs="Garamond" w:eastAsia="Garamond" w:hAnsi="Garamond"/>
          <w:sz w:val="24"/>
          <w:szCs w:val="24"/>
        </w:rPr>
        <w:t xml:space="preserve">c) Reserva de valor: la capacidad del bien de conservar poder adquisitivo a lo largo del tiempo, permitiendo diferir el consumo presente hacia el futuro.</w:t>
      </w:r>
    </w:p>
    <w:p>
      <w:pPr>
        <w:spacing w:after="160" w:line="300"/>
        <w:jc w:val="both"/>
      </w:pPr>
      <w:r>
        <w:rPr>
          <w:rFonts w:ascii="Garamond" w:cs="Garamond" w:eastAsia="Garamond" w:hAnsi="Garamond"/>
          <w:sz w:val="24"/>
          <w:szCs w:val="24"/>
        </w:rPr>
        <w:t xml:space="preserve">Estas tres funciones —a las que cierta literatura añade una cuarta, la de patrón de pagos diferidos, vinculada a la denominación de obligaciones futuras— constituyen el criterio funcional clásico desde Jevons (1875) hasta los manuales contemporáneos de macroeconomía monetaria. La solidez de un bien como dinero depende de su capacidad de sostener simultáneamente las tres funciones; la historia monetaria es, en gran medida, la historia de bienes que cumplieron parcialmente estas funciones y fueron desplazados por otros de mayor eficiencia relativa.</w:t>
      </w:r>
    </w:p>
    <w:p>
      <w:pPr>
        <w:pStyle w:val="Heading2"/>
        <w:spacing w:after="180" w:before="360"/>
      </w:pPr>
      <w:r>
        <w:rPr>
          <w:rFonts w:ascii="Garamond" w:cs="Garamond" w:eastAsia="Garamond" w:hAnsi="Garamond"/>
          <w:b/>
          <w:bCs/>
          <w:color w:val="10233F"/>
          <w:sz w:val="28"/>
          <w:szCs w:val="28"/>
        </w:rPr>
        <w:t xml:space="preserve">1.3. El origen del dinero: de la teoría del trueque a la teoría crediticia</w:t>
      </w:r>
    </w:p>
    <w:p>
      <w:pPr>
        <w:pStyle w:val="Heading3"/>
        <w:spacing w:after="140" w:before="280"/>
      </w:pPr>
      <w:r>
        <w:rPr>
          <w:rFonts w:ascii="Garamond" w:cs="Garamond" w:eastAsia="Garamond" w:hAnsi="Garamond"/>
          <w:b/>
          <w:bCs/>
          <w:i/>
          <w:iCs/>
          <w:color w:val="1A1A1A"/>
          <w:sz w:val="24"/>
          <w:szCs w:val="24"/>
        </w:rPr>
        <w:t xml:space="preserve">1.3.1. La narrativa clásica: el trueque y sus límites</w:t>
      </w:r>
    </w:p>
    <w:p>
      <w:pPr>
        <w:spacing w:after="160" w:line="300"/>
        <w:jc w:val="both"/>
      </w:pPr>
      <w:r>
        <w:rPr>
          <w:rFonts w:ascii="Garamond" w:cs="Garamond" w:eastAsia="Garamond" w:hAnsi="Garamond"/>
          <w:sz w:val="24"/>
          <w:szCs w:val="24"/>
        </w:rPr>
        <w:t xml:space="preserve">La explicación tradicional del origen del dinero, popularizada desde Adam Smith y formalizada por Carl Menger (1892) en su célebre ensayo sobre el origen del dinero, sostiene que las comunidades primitivas basadas en el trueque directo enfrentaban costos de transacción crecientes a medida que se ampliaba la división del trabajo. Menger explicó este proceso apelando a la noción de «vendibilidad» (Absatzfähigkeit): en toda comunidad existen bienes relativamente más vendibles que otros —es decir, más fáciles de intercambiar por cualquier otro bien en cualquier momento—, y los agentes económicos, actuando racionalmente y sin necesidad de un acuerdo colectivo explícito, tienden a aceptar esos bienes de mayor vendibilidad no porque los deseen para consumo directo, sino porque anticipan que podrán intercambiarlos nuevamente con facilidad. De este proceso espontáneo, no diseñado centralmente, emerge el dinero como institución social.</w:t>
      </w:r>
    </w:p>
    <w:p>
      <w:pPr>
        <w:spacing w:after="200" w:before="100" w:line="276"/>
        <w:ind w:left="480" w:right="480"/>
        <w:jc w:val="both"/>
      </w:pPr>
      <w:r>
        <w:rPr>
          <w:rFonts w:ascii="Garamond" w:cs="Garamond" w:eastAsia="Garamond" w:hAnsi="Garamond"/>
          <w:i/>
          <w:iCs/>
          <w:color w:val="3A3A3A"/>
          <w:sz w:val="22"/>
          <w:szCs w:val="22"/>
        </w:rPr>
        <w:t xml:space="preserve">«El dinero no ha sido generado por ley. En su origen es un fenómeno social» (Menger, 1892/1970, según la reconstrucción estándar de su argumento en la literatura de economía monetaria).</w:t>
      </w:r>
    </w:p>
    <w:p>
      <w:pPr>
        <w:spacing w:after="160" w:line="300"/>
        <w:jc w:val="both"/>
      </w:pPr>
      <w:r>
        <w:rPr>
          <w:rFonts w:ascii="Garamond" w:cs="Garamond" w:eastAsia="Garamond" w:hAnsi="Garamond"/>
          <w:sz w:val="24"/>
          <w:szCs w:val="24"/>
        </w:rPr>
        <w:t xml:space="preserve">Esta explicación —conocida como la teoría mengeriana o «cuento del trueque» (barter myth) en la terminología crítica de la antropología económica contemporánea— fue durante más de un siglo el relato dominante en la formación de economistas y contadores.</w:t>
      </w:r>
    </w:p>
    <w:p>
      <w:pPr>
        <w:pStyle w:val="Heading3"/>
        <w:spacing w:after="140" w:before="280"/>
      </w:pPr>
      <w:r>
        <w:rPr>
          <w:rFonts w:ascii="Garamond" w:cs="Garamond" w:eastAsia="Garamond" w:hAnsi="Garamond"/>
          <w:b/>
          <w:bCs/>
          <w:i/>
          <w:iCs/>
          <w:color w:val="1A1A1A"/>
          <w:sz w:val="24"/>
          <w:szCs w:val="24"/>
        </w:rPr>
        <w:t xml:space="preserve">1.3.2. La crítica antropológica: la teoría crediticia del dinero</w:t>
      </w:r>
    </w:p>
    <w:p>
      <w:pPr>
        <w:spacing w:after="160" w:line="300"/>
        <w:jc w:val="both"/>
      </w:pPr>
      <w:r>
        <w:rPr>
          <w:rFonts w:ascii="Garamond" w:cs="Garamond" w:eastAsia="Garamond" w:hAnsi="Garamond"/>
          <w:sz w:val="24"/>
          <w:szCs w:val="24"/>
        </w:rPr>
        <w:t xml:space="preserve">Investigaciones antropológicas posteriores, sistematizadas de manera influyente por David Graeber (2011) en su obra sobre la historia de la deuda, cuestionaron la evidencia empírica de la narrativa del trueque. Según esta corriente, no existe registro antropológico sólido de sociedades históricas organizadas primariamente sobre la base del trueque bilateral generalizado como etapa previa al dinero; por el contrario, las comunidades preestatales habrían operado mayormente sobre sistemas de crédito, deuda y obligación recíproca registrados mediante mecanismos mnemotécnicos o simbólicos —desde nudos hasta tablillas—, y el dinero acuñado surgiría más tarde, típicamente asociado a la necesidad estatal de financiar ejércitos y estandarizar el cobro de tributos.</w:t>
      </w:r>
    </w:p>
    <w:p>
      <w:pPr>
        <w:spacing w:after="160" w:line="300"/>
        <w:jc w:val="both"/>
      </w:pPr>
      <w:r>
        <w:rPr>
          <w:rFonts w:ascii="Garamond" w:cs="Garamond" w:eastAsia="Garamond" w:hAnsi="Garamond"/>
          <w:sz w:val="24"/>
          <w:szCs w:val="24"/>
        </w:rPr>
        <w:t xml:space="preserve">Para los fines de este libro no resulta necesario zanjar esta controversia historiográfica, que excede el objeto contable de la obra. Lo relevante es que ambas corrientes —la mengeriana y la crediticia— coinciden en un punto crítico: el dinero es, ante todo, una institución social que resuelve problemas de coordinación económica, y su forma concreta —conchas, sal, ganado, metales, papel, registros electrónicos o, eventualmente, protocolos criptográficos— es contingente y ha variado sustancialmente según la tecnología y la organización social disponibles en cada época. Esta contingencia histórica de la forma del dinero es, precisamente, el fundamento conceptual que permite analizar a Bitcoin como una innovación más dentro de esa larga cadena evolutiva, y no como una anomalía sin precedentes.</w:t>
      </w:r>
    </w:p>
    <w:p>
      <w:pPr>
        <w:pStyle w:val="Heading2"/>
        <w:spacing w:after="180" w:before="360"/>
      </w:pPr>
      <w:r>
        <w:rPr>
          <w:rFonts w:ascii="Garamond" w:cs="Garamond" w:eastAsia="Garamond" w:hAnsi="Garamond"/>
          <w:b/>
          <w:bCs/>
          <w:color w:val="10233F"/>
          <w:sz w:val="28"/>
          <w:szCs w:val="28"/>
        </w:rPr>
        <w:t xml:space="preserve">1.4. El dinero mercancía: de los bienes commodity a los metales preciosos</w:t>
      </w:r>
    </w:p>
    <w:p>
      <w:pPr>
        <w:spacing w:after="160" w:line="300"/>
        <w:jc w:val="both"/>
      </w:pPr>
      <w:r>
        <w:rPr>
          <w:rFonts w:ascii="Garamond" w:cs="Garamond" w:eastAsia="Garamond" w:hAnsi="Garamond"/>
          <w:sz w:val="24"/>
          <w:szCs w:val="24"/>
        </w:rPr>
        <w:t xml:space="preserve">Las formas más primitivas de dinero documentadas —conchas de cauri en amplias regiones de África y Asia, sal en el África subsahariana y parte de Europa antigua, ganado (de donde deriva etimológicamente «pecuniario», del latín pecus), granos de cacao en Mesoamérica, y tabaco en las colonias americanas— comparten la condición de ser dinero mercancía: bienes que poseían valor de uso intrínseco independiente de su función monetaria, y que fueron progresivamente adoptados como medio de intercambio en virtud de propiedades tales como divisibilidad, durabilidad relativa y aceptación social amplia.</w:t>
      </w:r>
    </w:p>
    <w:p>
      <w:pPr>
        <w:spacing w:after="160" w:line="300"/>
        <w:jc w:val="both"/>
      </w:pPr>
      <w:r>
        <w:rPr>
          <w:rFonts w:ascii="Garamond" w:cs="Garamond" w:eastAsia="Garamond" w:hAnsi="Garamond"/>
          <w:sz w:val="24"/>
          <w:szCs w:val="24"/>
        </w:rPr>
        <w:t xml:space="preserve">La progresiva concentración del rol monetario en los metales preciosos —oro y plata, fundamentalmente— no fue casual. Aristóteles, en su Ética a Nicómaco, ya identificaba de modo intuitivo un conjunto de propiedades deseables en el dinero que la literatura contemporánea sistematiza bajo el concepto de «bienes monetarios óptimos»: durabilidad (resistencia física al paso del tiempo y al uso), divisibilidad (posibilidad de fraccionarse sin pérdida proporcional de valor), portabilidad (alta relación valor/peso), fungibilidad (unidades intercambiables entre sí sin pérdida de valor), verificabilidad (facilidad para constatar autenticidad y pureza) y escasez relativa (oferta limitada por la naturaleza o por el costo de extracción, lo que preserva su capacidad de reserva de valor). El oro, en particular, satisface estas condiciones con una eficiencia que ningún otro bien físico disponible antes del siglo XX logró igualar, lo que explica su virtual monopolio como base de los sistemas monetarios internacionales entre la Antigüedad y buena parte del siglo XX.</w:t>
      </w:r>
    </w:p>
    <w:p>
      <w:pPr>
        <w:spacing w:after="160" w:line="300"/>
        <w:jc w:val="both"/>
      </w:pPr>
      <w:r>
        <w:rPr>
          <w:rFonts w:ascii="Garamond" w:cs="Garamond" w:eastAsia="Garamond" w:hAnsi="Garamond"/>
          <w:sz w:val="24"/>
          <w:szCs w:val="24"/>
        </w:rPr>
        <w:t xml:space="preserve">Autores contemporáneos vinculados a la escuela austríaca de economía —cuya obra resulta hoy frecuentemente citada en la literatura sobre Bitcoin, en tanto Bitcoin es presentado por sus proponentes como un intento de replicar digitalmente las propiedades de escasez del oro— han sistematizado esta evolución bajo el concepto de «bienes de venta más fácil» aplicado también a Bitcoin, como se desarrollará en el Capítulo 2 (Ammous, 2018).</w:t>
      </w:r>
    </w:p>
    <w:p>
      <w:pPr>
        <w:pStyle w:val="Heading2"/>
        <w:spacing w:after="180" w:before="360"/>
      </w:pPr>
      <w:r>
        <w:rPr>
          <w:rFonts w:ascii="Garamond" w:cs="Garamond" w:eastAsia="Garamond" w:hAnsi="Garamond"/>
          <w:b/>
          <w:bCs/>
          <w:color w:val="10233F"/>
          <w:sz w:val="28"/>
          <w:szCs w:val="28"/>
        </w:rPr>
        <w:t xml:space="preserve">1.5. La acuñación y el nacimiento de la moneda estatal</w:t>
      </w:r>
    </w:p>
    <w:p>
      <w:pPr>
        <w:spacing w:after="160" w:line="300"/>
        <w:jc w:val="both"/>
      </w:pPr>
      <w:r>
        <w:rPr>
          <w:rFonts w:ascii="Garamond" w:cs="Garamond" w:eastAsia="Garamond" w:hAnsi="Garamond"/>
          <w:sz w:val="24"/>
          <w:szCs w:val="24"/>
        </w:rPr>
        <w:t xml:space="preserve">La acuñación —la transformación de metal en piezas de peso y pureza certificados por una autoridad, típicamente estatal o religiosa— constituye un salto cualitativo respecto del dinero mercancía en bruto, porque reduce drásticamente los costos de verificación en cada transacción. Las monedas de electro atribuidas al reino de Lidia, en el Asia Menor del siglo VII antes de Cristo, son generalmente reconocidas por la historiografía numismática como de las primeras acuñaciones estatales sistemáticas, y desde allí la práctica se extendió al mundo griego, y posteriormente al Imperio romano, cuyo sistema monetario —el denario de plata y el áureo de oro— constituyó durante siglos el patrón de referencia del Mediterráneo occidental.</w:t>
      </w:r>
    </w:p>
    <w:p>
      <w:pPr>
        <w:spacing w:after="160" w:line="300"/>
        <w:jc w:val="both"/>
      </w:pPr>
      <w:r>
        <w:rPr>
          <w:rFonts w:ascii="Garamond" w:cs="Garamond" w:eastAsia="Garamond" w:hAnsi="Garamond"/>
          <w:sz w:val="24"/>
          <w:szCs w:val="24"/>
        </w:rPr>
        <w:t xml:space="preserve">Es en este punto donde emerge un fenómeno de enorme relevancia para la comprensión posterior de la inflación fiduciaria: la degradación monetaria (debasement). Los soberanos, enfrentados a necesidades fiscales crecientes —guerras, obras públicas, mantenimiento de cortes—, recurrieron sistemáticamente a la reducción del contenido metálico real de las monedas manteniendo su valor nominal, generando así un mecanismo temprano de financiamiento estatal mediante la erosión del poder adquisitivo de la moneda en circulación. La crisis del denario romano durante el siglo III, y la consiguiente hiperinflación del Imperio, es el caso de estudio clásico citado por la literatura económica como precedente histórico de los procesos inflacionarios contemporáneos, y es también el argumento central que los defensores de Bitcoin invocan al presentar la oferta fija de 21.000.000 de unidades como una respuesta tecnológica a un problema de naturaleza política tan antiguo como la moneda estatal misma.</w:t>
      </w:r>
    </w:p>
    <w:p>
      <w:pPr>
        <w:pStyle w:val="Heading2"/>
        <w:spacing w:after="180" w:before="360"/>
      </w:pPr>
      <w:r>
        <w:rPr>
          <w:rFonts w:ascii="Garamond" w:cs="Garamond" w:eastAsia="Garamond" w:hAnsi="Garamond"/>
          <w:b/>
          <w:bCs/>
          <w:color w:val="10233F"/>
          <w:sz w:val="28"/>
          <w:szCs w:val="28"/>
        </w:rPr>
        <w:t xml:space="preserve">1.6. El dinero representativo: de la letra de cambio al billete convertible</w:t>
      </w:r>
    </w:p>
    <w:p>
      <w:pPr>
        <w:spacing w:after="160" w:line="300"/>
        <w:jc w:val="both"/>
      </w:pPr>
      <w:r>
        <w:rPr>
          <w:rFonts w:ascii="Garamond" w:cs="Garamond" w:eastAsia="Garamond" w:hAnsi="Garamond"/>
          <w:sz w:val="24"/>
          <w:szCs w:val="24"/>
        </w:rPr>
        <w:t xml:space="preserve">A medida que el comercio de larga distancia se intensificó —particularmente a partir de las ferias comerciales medievales europeas y del auge de las rutas comerciales italianas entre los siglos XII y XIV—, surgió la necesidad de instrumentos que permitieran transferir valor sin el riesgo y el costo logístico de trasladar físicamente metales preciosos. La letra de cambio, desarrollada por los banqueros y comerciantes italianos (particularmente florentinos, genoveses y venecianos), constituye el antecedente más significativo del dinero representativo: un documento que reconocía una obligación de pago en metal, redimible en una plaza distinta de aquella en que había sido emitido.</w:t>
      </w:r>
    </w:p>
    <w:p>
      <w:pPr>
        <w:spacing w:after="160" w:line="300"/>
        <w:jc w:val="both"/>
      </w:pPr>
      <w:r>
        <w:rPr>
          <w:rFonts w:ascii="Garamond" w:cs="Garamond" w:eastAsia="Garamond" w:hAnsi="Garamond"/>
          <w:sz w:val="24"/>
          <w:szCs w:val="24"/>
        </w:rPr>
        <w:t xml:space="preserve">Este principio —la existencia de un documento que representa y es convertible en un bien subyacente de valor intrínseco— se consolidó posteriormente en la banca de depósito europea, particularmente en los bancos públicos de Ámsterdam (Wisselbank, fundado en 1609) y de Inglaterra (Bank of England, fundado en 1694), que emitían certificados de depósito convertibles en oro o plata bajo custodia. El billete bancario moderno es, genealógicamente, un descendiente directo de estos certificados de depósito: un pasivo del banco emisor, respaldado —al menos originalmente— por una reserva metálica que garantizaba su convertibilidad a la vista.</w:t>
      </w:r>
    </w:p>
    <w:p>
      <w:pPr>
        <w:spacing w:after="160" w:line="300"/>
        <w:jc w:val="both"/>
      </w:pPr>
      <w:r>
        <w:rPr>
          <w:rFonts w:ascii="Garamond" w:cs="Garamond" w:eastAsia="Garamond" w:hAnsi="Garamond"/>
          <w:sz w:val="24"/>
          <w:szCs w:val="24"/>
        </w:rPr>
        <w:t xml:space="preserve">Para el contador contemporáneo, este pasaje histórico resulta doblemente relevante: primero, porque introduce la distinción conceptual —central en la contabilidad moderna— entre un activo (el metal depositado) y un pasivo representativo de ese activo (el certificado o billete emitido); y segundo, porque anticipa, con varios siglos de antelación, la lógica de las stablecoins contemporáneas respaldadas por reservas fiduciarias, que se abordarán en el Capítulo 9.</w:t>
      </w:r>
    </w:p>
    <w:p>
      <w:pPr>
        <w:pStyle w:val="Heading2"/>
        <w:spacing w:after="180" w:before="360"/>
      </w:pPr>
      <w:r>
        <w:rPr>
          <w:rFonts w:ascii="Garamond" w:cs="Garamond" w:eastAsia="Garamond" w:hAnsi="Garamond"/>
          <w:b/>
          <w:bCs/>
          <w:color w:val="10233F"/>
          <w:sz w:val="28"/>
          <w:szCs w:val="28"/>
        </w:rPr>
        <w:t xml:space="preserve">1.7. El patrón oro clásico y su crisis</w:t>
      </w:r>
    </w:p>
    <w:p>
      <w:pPr>
        <w:spacing w:after="160" w:line="300"/>
        <w:jc w:val="both"/>
      </w:pPr>
      <w:r>
        <w:rPr>
          <w:rFonts w:ascii="Garamond" w:cs="Garamond" w:eastAsia="Garamond" w:hAnsi="Garamond"/>
          <w:sz w:val="24"/>
          <w:szCs w:val="24"/>
        </w:rPr>
        <w:t xml:space="preserve">El sistema conocido como patrón oro clásico, consolidado internacionalmente entre aproximadamente 1870 y 1914, estableció un régimen en el cual las principales monedas nacionales se definían como una cantidad fija de oro, y los billetes en circulación eran convertibles a esa paridad. Este sistema proporcionó, según la historiografía económica —con Barry Eichengreen (1996) como referencia obligada en la materia—, un período de notable estabilidad de precios internacionales y de expansión del comercio global, al tiempo que imponía una disciplina monetaria severa sobre los gobiernos, que veían restringida su capacidad de financiar déficits fiscales mediante la emisión.</w:t>
      </w:r>
    </w:p>
    <w:p>
      <w:pPr>
        <w:spacing w:after="160" w:line="300"/>
        <w:jc w:val="both"/>
      </w:pPr>
      <w:r>
        <w:rPr>
          <w:rFonts w:ascii="Garamond" w:cs="Garamond" w:eastAsia="Garamond" w:hAnsi="Garamond"/>
          <w:sz w:val="24"/>
          <w:szCs w:val="24"/>
        </w:rPr>
        <w:t xml:space="preserve">La Primera Guerra Mundial quebró ese equilibrio: la generalidad de los beligerantes suspendió la convertibilidad para financiar el esfuerzo bélico mediante emisión monetaria, dando inicio a un ciclo de inestabilidad, hiperinflaciones —el caso alemán de 1923 es el paradigma citado universalmente en la literatura— e intentos fallidos de restauración del patrón oro durante el período de entreguerras, que culminaron en el colapso definitivo del sistema durante la Gran Depresión de la década de 1930.</w:t>
      </w:r>
    </w:p>
    <w:p>
      <w:pPr>
        <w:spacing w:after="160" w:line="300"/>
        <w:jc w:val="both"/>
      </w:pPr>
      <w:r>
        <w:rPr>
          <w:rFonts w:ascii="Garamond" w:cs="Garamond" w:eastAsia="Garamond" w:hAnsi="Garamond"/>
          <w:sz w:val="24"/>
          <w:szCs w:val="24"/>
        </w:rPr>
        <w:t xml:space="preserve">El sistema de Bretton Woods, establecido en 1944 al concluir la Segunda Guerra Mundial, instauró un régimen híbrido en el cual el dólar estadounidense se mantenía convertible en oro a una paridad fija (35 dólares por onza) frente a los bancos centrales extranjeros, mientras que las demás monedas se fijaban respecto del dólar. Este sistema —que constituye el último vínculo formal entre el dinero fiduciario contemporáneo y el patrón metálico— colapsó el 15 de agosto de 1971, cuando el presidente estadounidense Richard Nixon suspendió unilateralmente la convertibilidad del dólar en oro, dando origen al sistema monetario internacional puramente fiduciario (fiat) que rige hasta la actualidad.</w:t>
      </w:r>
    </w:p>
    <w:p>
      <w:pPr>
        <w:pStyle w:val="Heading2"/>
        <w:spacing w:after="180" w:before="360"/>
      </w:pPr>
      <w:r>
        <w:rPr>
          <w:rFonts w:ascii="Garamond" w:cs="Garamond" w:eastAsia="Garamond" w:hAnsi="Garamond"/>
          <w:b/>
          <w:bCs/>
          <w:color w:val="10233F"/>
          <w:sz w:val="28"/>
          <w:szCs w:val="28"/>
        </w:rPr>
        <w:t xml:space="preserve">1.8. El dinero fiduciario contemporáneo</w:t>
      </w:r>
    </w:p>
    <w:p>
      <w:pPr>
        <w:spacing w:after="160" w:line="300"/>
        <w:jc w:val="both"/>
      </w:pPr>
      <w:r>
        <w:rPr>
          <w:rFonts w:ascii="Garamond" w:cs="Garamond" w:eastAsia="Garamond" w:hAnsi="Garamond"/>
          <w:sz w:val="24"/>
          <w:szCs w:val="24"/>
        </w:rPr>
        <w:t xml:space="preserve">Desde 1971, el valor de las principales monedas del mundo no descansa en la convertibilidad a un bien físico, sino en la confianza en la autoridad emisora —típicamente un banco central— y en el curso legal forzoso establecido por el Estado. Este régimen, denominado dinero fiduciario o fiat (del latín fiat, «hágase»), amplió sustancialmente el margen de maniobra de la política monetaria para estabilizar ciclos económicos, pero eliminó simultáneamente el límite físico a la expansión de la oferta monetaria que el patrón oro imponía.</w:t>
      </w:r>
    </w:p>
    <w:p>
      <w:pPr>
        <w:spacing w:after="160" w:line="300"/>
        <w:jc w:val="both"/>
      </w:pPr>
      <w:r>
        <w:rPr>
          <w:rFonts w:ascii="Garamond" w:cs="Garamond" w:eastAsia="Garamond" w:hAnsi="Garamond"/>
          <w:sz w:val="24"/>
          <w:szCs w:val="24"/>
        </w:rPr>
        <w:t xml:space="preserve">Esta característica —la ausencia de un límite exógeno a la creación de dinero— constituye el eje argumental central de la crítica monetaria que, décadas más tarde, motivó el diseño de Bitcoin. En el documento fundacional de Bitcoin, publicado bajo el seudónimo Satoshi Nakamoto en octubre de 2008, meses después del colapso de Lehman Brothers y en pleno desarrollo de la crisis financiera internacional, se plantea explícitamente la necesidad de un sistema de efectivo electrónico peer-to-peer que prescinda de intermediarios financieros de confianza. El primer bloque de la cadena de Bitcoin, minado el 3 de enero de 2009, incorpora en su campo de datos —a modo de sello temporal y de manifiesto político-económico— una referencia al titular de portada del periódico The Times de ese día, alusivo a un segundo rescate bancario británico, vinculando de manera explícita el nacimiento de Bitcoin con la crisis de confianza en el sistema bancario fiduciario contemporáneo (Nakamoto, 2008).</w:t>
      </w:r>
    </w:p>
    <w:p>
      <w:pPr>
        <w:spacing w:after="160" w:line="300"/>
        <w:jc w:val="both"/>
      </w:pPr>
      <w:r>
        <w:rPr>
          <w:rFonts w:ascii="Garamond" w:cs="Garamond" w:eastAsia="Garamond" w:hAnsi="Garamond"/>
          <w:sz w:val="24"/>
          <w:szCs w:val="24"/>
        </w:rPr>
        <w:t xml:space="preserve">Esta genealogía histórica —del trueque al dinero mercancía, de allí a la moneda acuñada, luego al dinero representativo convertible, y finalmente al dinero fiduciario puro— será retomada en el Capítulo 2 para analizar en qué medida Bitcoin constituye una continuidad o una ruptura respecto de esa trayectoria, y en el Capítulo 10 para fundamentar, desde la perspectiva contable, por qué Bitcoin no satisface hoy —bajo la normativa vigente y bajo la interpretación consolidada del IFRS Interpretations Committee (2019)— la definición de efectivo ni de equivalente de efectivo, cuestión que determina de manera decisiva su encuadre contable como activo intangible en los términos de la NIC 38.</w:t>
      </w:r>
    </w:p>
    <w:p>
      <w:pPr>
        <w:pStyle w:val="Heading2"/>
        <w:spacing w:after="180" w:before="360"/>
      </w:pPr>
      <w:r>
        <w:rPr>
          <w:rFonts w:ascii="Garamond" w:cs="Garamond" w:eastAsia="Garamond" w:hAnsi="Garamond"/>
          <w:b/>
          <w:bCs/>
          <w:color w:val="10233F"/>
          <w:sz w:val="28"/>
          <w:szCs w:val="28"/>
        </w:rPr>
        <w:t xml:space="preserve">1.9. Síntesis del capítulo</w:t>
      </w:r>
    </w:p>
    <w:p>
      <w:pPr>
        <w:spacing w:after="160" w:line="300"/>
        <w:jc w:val="both"/>
      </w:pPr>
      <w:r>
        <w:rPr>
          <w:rFonts w:ascii="Garamond" w:cs="Garamond" w:eastAsia="Garamond" w:hAnsi="Garamond"/>
          <w:sz w:val="24"/>
          <w:szCs w:val="24"/>
        </w:rPr>
        <w:t xml:space="preserve">El recorrido histórico expuesto permite extraer tres conclusiones que operan como premisas de todo el desarrollo posterior de esta obra. Primera: el dinero es una institución social funcional, no una categoría física fija; su forma concreta ha variado sustancialmente a lo largo de la historia en función de la tecnología disponible y de la organización social e institucional de cada época. Segunda: la evaluación de cualquier bien como dinero —incluido Bitcoin— debe realizarse a la luz de las tres funciones clásicas (medio de intercambio, unidad de cuenta y reserva de valor), y no basta con que un bien cumpla parcialmente alguna de ellas para que merezca, desde el punto de vista contable y normativo, la calificación de efectivo o equivalente de efectivo. Tercera: la historia monetaria muestra una tensión recurrente entre los bienes monetarios sujetos a un límite físico o algorítmico de emisión —metales preciosos, y hoy Bitcoin— y los bienes monetarios de emisión discrecional por parte de una autoridad central —moneda fiduciaria—, tensión que constituye el trasfondo económico-político indispensable para comprender tanto el diseño técnico de Bitcoin como los debates normativos en torno a su tratamiento contable, que se desarrollan a partir del Capítulo 10 de esta obra.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w:t>
      </w:r>
    </w:p>
    <w:p>
      <w:pPr>
        <w:spacing w:after="160"/>
        <w:ind w:left="480" w:hanging="480"/>
        <w:jc w:val="both"/>
      </w:pPr>
      <w:r>
        <w:rPr>
          <w:rFonts w:ascii="Garamond" w:cs="Garamond" w:eastAsia="Garamond" w:hAnsi="Garamond"/>
          <w:sz w:val="22"/>
          <w:szCs w:val="22"/>
        </w:rPr>
        <w:t xml:space="preserve">Ammous, S. (2018). The Bitcoin standard: The decentralized alternative to central banking. Wiley.</w:t>
      </w:r>
    </w:p>
    <w:p>
      <w:pPr>
        <w:spacing w:after="160"/>
        <w:ind w:left="480" w:hanging="480"/>
        <w:jc w:val="both"/>
      </w:pPr>
      <w:r>
        <w:rPr>
          <w:rFonts w:ascii="Garamond" w:cs="Garamond" w:eastAsia="Garamond" w:hAnsi="Garamond"/>
          <w:sz w:val="22"/>
          <w:szCs w:val="22"/>
        </w:rPr>
        <w:t xml:space="preserve">Eichengreen, B. (1996). Globalizing capital: A history of the international monetary system. Princeton University Press.</w:t>
      </w:r>
    </w:p>
    <w:p>
      <w:pPr>
        <w:spacing w:after="160"/>
        <w:ind w:left="480" w:hanging="480"/>
        <w:jc w:val="both"/>
      </w:pPr>
      <w:r>
        <w:rPr>
          <w:rFonts w:ascii="Garamond" w:cs="Garamond" w:eastAsia="Garamond" w:hAnsi="Garamond"/>
          <w:sz w:val="22"/>
          <w:szCs w:val="22"/>
        </w:rPr>
        <w:t xml:space="preserve">Graeber, D. (2011). Debt: The first 5,000 years. Melville House.</w:t>
      </w:r>
    </w:p>
    <w:p>
      <w:pPr>
        <w:spacing w:after="160"/>
        <w:ind w:left="480" w:hanging="480"/>
        <w:jc w:val="both"/>
      </w:pPr>
      <w:r>
        <w:rPr>
          <w:rFonts w:ascii="Garamond" w:cs="Garamond" w:eastAsia="Garamond" w:hAnsi="Garamond"/>
          <w:sz w:val="22"/>
          <w:szCs w:val="22"/>
        </w:rPr>
        <w:t xml:space="preserve">Jevons, W. S. (1875). Money and the mechanism of exchange. D. Appleton and Company.</w:t>
      </w:r>
    </w:p>
    <w:p>
      <w:pPr>
        <w:spacing w:after="160"/>
        <w:ind w:left="480" w:hanging="480"/>
        <w:jc w:val="both"/>
      </w:pPr>
      <w:r>
        <w:rPr>
          <w:rFonts w:ascii="Garamond" w:cs="Garamond" w:eastAsia="Garamond" w:hAnsi="Garamond"/>
          <w:sz w:val="22"/>
          <w:szCs w:val="22"/>
        </w:rPr>
        <w:t xml:space="preserve">Menger, C. (1970). El origen del dinero (J. Alonso, Trad.). Unión Editorial. (Obra original publicada en 1892).</w:t>
      </w:r>
    </w:p>
    <w:p>
      <w:pPr>
        <w:spacing w:after="160"/>
        <w:ind w:left="480" w:hanging="480"/>
        <w:jc w:val="both"/>
      </w:pPr>
      <w:r>
        <w:rPr>
          <w:rFonts w:ascii="Garamond" w:cs="Garamond" w:eastAsia="Garamond" w:hAnsi="Garamond"/>
          <w:sz w:val="22"/>
          <w:szCs w:val="22"/>
        </w:rPr>
        <w:t xml:space="preserve">Nakamoto, S. (2008). Bitcoin: A peer-to-peer electronic cash system. https://bitcoin.org/bitcoin.pdf</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w:t>
      </w:r>
    </w:p>
    <w:p>
      <w:pPr>
        <w:spacing w:after="400"/>
      </w:pPr>
      <w:r>
        <w:rPr>
          <w:rFonts w:ascii="Garamond" w:cs="Garamond" w:eastAsia="Garamond" w:hAnsi="Garamond"/>
          <w:b/>
          <w:bCs/>
          <w:color w:val="9C7A2E"/>
          <w:sz w:val="40"/>
          <w:szCs w:val="40"/>
        </w:rPr>
        <w:t xml:space="preserve">Historia de Bitcoin</w:t>
      </w:r>
    </w:p>
    <w:p>
      <w:pPr>
        <w:pStyle w:val="Heading2"/>
        <w:spacing w:after="180" w:before="360"/>
      </w:pPr>
      <w:r>
        <w:rPr>
          <w:rFonts w:ascii="Garamond" w:cs="Garamond" w:eastAsia="Garamond" w:hAnsi="Garamond"/>
          <w:b/>
          <w:bCs/>
          <w:color w:val="10233F"/>
          <w:sz w:val="28"/>
          <w:szCs w:val="28"/>
        </w:rPr>
        <w:t xml:space="preserve">2.1. Introducción: de la crítica monetaria al protocolo</w:t>
      </w:r>
    </w:p>
    <w:p>
      <w:pPr>
        <w:spacing w:after="160" w:line="300"/>
        <w:jc w:val="both"/>
      </w:pPr>
      <w:r>
        <w:rPr>
          <w:rFonts w:ascii="Garamond" w:cs="Garamond" w:eastAsia="Garamond" w:hAnsi="Garamond"/>
          <w:sz w:val="24"/>
          <w:szCs w:val="24"/>
        </w:rPr>
        <w:t xml:space="preserve">El Capítulo 1 concluyó identificando la crítica al régimen monetario fiduciario contemporáneo —la ausencia de un límite exógeno a la creación de dinero— como el trasfondo económico-político que explica la aparición de Bitcoin en el contexto de la crisis financiera internacional de 2008. Ese trasfondo, sin embargo, no explica por sí solo por qué Bitcoin pudo materializarse recién en ese momento histórico y no antes. La respuesta exige reconstruir una segunda genealogía, de naturaleza técnica antes que económica: la de tres décadas de investigación en criptografía aplicada al dinero digital, desarrollada principalmente por el movimiento conocido como cypherpunk, cuyos intentos sucesivos —y sucesivamente fallidos en su implementación práctica— de crear dinero digital descentralizado constituyen el linaje técnico directo de Bitcoin.</w:t>
      </w:r>
    </w:p>
    <w:p>
      <w:pPr>
        <w:spacing w:after="160" w:line="300"/>
        <w:jc w:val="both"/>
      </w:pPr>
      <w:r>
        <w:rPr>
          <w:rFonts w:ascii="Garamond" w:cs="Garamond" w:eastAsia="Garamond" w:hAnsi="Garamond"/>
          <w:sz w:val="24"/>
          <w:szCs w:val="24"/>
        </w:rPr>
        <w:t xml:space="preserve">Este capítulo reconstruye esa historia en tres tramos: los antecedentes técnicos previos a 2008 (sección 2.2); la publicación del documento fundacional y el lanzamiento de la red (sección 2.3); y la evolución de Bitcoin desde una curiosidad técnica marginal hasta un activo reconocido en balances corporativos, fondos cotizados y reservas de tesorería soberana (sección 2.4). El capítulo cierra con una síntesis (sección 2.5) que vincula esta cronología con las cuestiones contables que se desarrollarán a partir de la Parte II de esta obra.</w:t>
      </w:r>
    </w:p>
    <w:p>
      <w:pPr>
        <w:pStyle w:val="Heading2"/>
        <w:spacing w:after="180" w:before="360"/>
      </w:pPr>
      <w:r>
        <w:rPr>
          <w:rFonts w:ascii="Garamond" w:cs="Garamond" w:eastAsia="Garamond" w:hAnsi="Garamond"/>
          <w:b/>
          <w:bCs/>
          <w:color w:val="10233F"/>
          <w:sz w:val="28"/>
          <w:szCs w:val="28"/>
        </w:rPr>
        <w:t xml:space="preserve">2.2. Antecedentes técnicos: el movimiento cypherpunk y el dinero digital</w:t>
      </w:r>
    </w:p>
    <w:p>
      <w:pPr>
        <w:pStyle w:val="Heading3"/>
        <w:spacing w:after="140" w:before="280"/>
      </w:pPr>
      <w:r>
        <w:rPr>
          <w:rFonts w:ascii="Garamond" w:cs="Garamond" w:eastAsia="Garamond" w:hAnsi="Garamond"/>
          <w:b/>
          <w:bCs/>
          <w:i/>
          <w:iCs/>
          <w:color w:val="1A1A1A"/>
          <w:sz w:val="24"/>
          <w:szCs w:val="24"/>
        </w:rPr>
        <w:t xml:space="preserve">2.2.1. El manifiesto cypherpunk</w:t>
      </w:r>
    </w:p>
    <w:p>
      <w:pPr>
        <w:spacing w:after="160" w:line="300"/>
        <w:jc w:val="both"/>
      </w:pPr>
      <w:r>
        <w:rPr>
          <w:rFonts w:ascii="Garamond" w:cs="Garamond" w:eastAsia="Garamond" w:hAnsi="Garamond"/>
          <w:sz w:val="24"/>
          <w:szCs w:val="24"/>
        </w:rPr>
        <w:t xml:space="preserve">El término cypherpunk fue acuñado a fines de la década de 1980 para designar a un grupo informal de criptógrafos, programadores y activistas que sostenían que la criptografía fuerte, puesta a disposición del ciudadano común, constituía una herramienta política de primer orden para preservar la privacidad individual frente al poder creciente de los Estados y las corporaciones en la era digital. Eric Hughes sintetizó ese programa en el difundido A Cypherpunk's Manifesto (1993), donde sostuvo que la privacidad en una sociedad abierta requiere sistemas de transacciones anónimas, y que los cypherpunks debían escribir código para defender esa privacidad, en lugar de esperar que los gobiernos, las corporaciones u otras organizaciones se la concedieran (Hughes, 1993).</w:t>
      </w:r>
    </w:p>
    <w:p>
      <w:pPr>
        <w:spacing w:after="160" w:line="300"/>
        <w:jc w:val="both"/>
      </w:pPr>
      <w:r>
        <w:rPr>
          <w:rFonts w:ascii="Garamond" w:cs="Garamond" w:eastAsia="Garamond" w:hAnsi="Garamond"/>
          <w:sz w:val="24"/>
          <w:szCs w:val="24"/>
        </w:rPr>
        <w:t xml:space="preserve">Dentro de esa comunidad —articulada principalmente en torno a una lista de correo electrónico activa desde 1992— la cuestión del dinero digital ocupó un lugar central, en la medida en que cualquier sistema de comunicación privada resultaba incompleto si las transacciones económicas asociadas a esa comunicación debían pasar, inevitablemente, por intermediarios bancarios capaces de identificar y vigilar a las partes.</w:t>
      </w:r>
    </w:p>
    <w:p>
      <w:pPr>
        <w:pStyle w:val="Heading3"/>
        <w:spacing w:after="140" w:before="280"/>
      </w:pPr>
      <w:r>
        <w:rPr>
          <w:rFonts w:ascii="Garamond" w:cs="Garamond" w:eastAsia="Garamond" w:hAnsi="Garamond"/>
          <w:b/>
          <w:bCs/>
          <w:i/>
          <w:iCs/>
          <w:color w:val="1A1A1A"/>
          <w:sz w:val="24"/>
          <w:szCs w:val="24"/>
        </w:rPr>
        <w:t xml:space="preserve">2.2.2. DigiCash y el problema de la centralización</w:t>
      </w:r>
    </w:p>
    <w:p>
      <w:pPr>
        <w:spacing w:after="160" w:line="300"/>
        <w:jc w:val="both"/>
      </w:pPr>
      <w:r>
        <w:rPr>
          <w:rFonts w:ascii="Garamond" w:cs="Garamond" w:eastAsia="Garamond" w:hAnsi="Garamond"/>
          <w:sz w:val="24"/>
          <w:szCs w:val="24"/>
        </w:rPr>
        <w:t xml:space="preserve">El primer intento serio de implementación práctica de dinero digital criptográfico corresponde a David Chaum, quien desarrolló durante la década de 1980 el protocolo de firma ciega (blind signature) y fundó en 1989 la empresa DigiCash para comercializarlo bajo el nombre de eCash. El sistema de Chaum lograba un objetivo técnico notable para su época: permitía transacciones digitales que preservaban el anonimato del pagador frente al banco emisor, replicando digitalmente una propiedad característica del efectivo físico (Chaum, 1983).</w:t>
      </w:r>
    </w:p>
    <w:p>
      <w:pPr>
        <w:spacing w:after="160" w:line="300"/>
        <w:jc w:val="both"/>
      </w:pPr>
      <w:r>
        <w:rPr>
          <w:rFonts w:ascii="Garamond" w:cs="Garamond" w:eastAsia="Garamond" w:hAnsi="Garamond"/>
          <w:sz w:val="24"/>
          <w:szCs w:val="24"/>
        </w:rPr>
        <w:t xml:space="preserve">Sin embargo, el diseño de DigiCash dependía estructuralmente de una entidad emisora centralizada que validaba cada transacción y prevenía el problema del doble gasto —la posibilidad de que una misma unidad digital fuera utilizada dos veces— mediante el control centralizado de una base de datos. Esa dependencia de un tercero de confianza resultó, en última instancia, el talón de Aquiles del proyecto: DigiCash no logró la adopción comercial masiva que sus fundadores anticipaban, y la empresa se declaró en quiebra en 1998. La lección que la comunidad cypherpunk extrajo de ese fracaso fue determinante para el desarrollo posterior de Bitcoin: cualquier sistema de dinero digital que dependiera de una autoridad central para prevenir el doble gasto replicaría, en definitiva, los mismos problemas de confianza, censura y punto único de falla que pretendía superar.</w:t>
      </w:r>
    </w:p>
    <w:p>
      <w:pPr>
        <w:pStyle w:val="Heading3"/>
        <w:spacing w:after="140" w:before="280"/>
      </w:pPr>
      <w:r>
        <w:rPr>
          <w:rFonts w:ascii="Garamond" w:cs="Garamond" w:eastAsia="Garamond" w:hAnsi="Garamond"/>
          <w:b/>
          <w:bCs/>
          <w:i/>
          <w:iCs/>
          <w:color w:val="1A1A1A"/>
          <w:sz w:val="24"/>
          <w:szCs w:val="24"/>
        </w:rPr>
        <w:t xml:space="preserve">2.2.3. b-money, bit gold y hashcash: los eslabones inmediatos</w:t>
      </w:r>
    </w:p>
    <w:p>
      <w:pPr>
        <w:spacing w:after="160" w:line="300"/>
        <w:jc w:val="both"/>
      </w:pPr>
      <w:r>
        <w:rPr>
          <w:rFonts w:ascii="Garamond" w:cs="Garamond" w:eastAsia="Garamond" w:hAnsi="Garamond"/>
          <w:sz w:val="24"/>
          <w:szCs w:val="24"/>
        </w:rPr>
        <w:t xml:space="preserve">Entre fines de la década de 1990 y comienzos de la de 2000, tres propuestas técnicas —ninguna de ellas implementada de manera operativa en su momento— anticiparon con notable precisión los componentes centrales del diseño que Bitcoin adoptaría años más tarde.</w:t>
      </w:r>
    </w:p>
    <w:p>
      <w:pPr>
        <w:spacing w:after="160" w:line="300"/>
        <w:jc w:val="both"/>
      </w:pPr>
      <w:r>
        <w:rPr>
          <w:rFonts w:ascii="Garamond" w:cs="Garamond" w:eastAsia="Garamond" w:hAnsi="Garamond"/>
          <w:sz w:val="24"/>
          <w:szCs w:val="24"/>
        </w:rPr>
        <w:t xml:space="preserve">Wei Dai publicó en 1998 una propuesta denominada b-money, en la que describió un esquema de dinero electrónico en el cual los participantes de una red distribuida mantenían de manera colectiva un registro de cuánto dinero pertenecía a cada seudónimo, y en el que la creación de nuevas unidades monetarias exigía la resolución de un problema computacional costoso —un antecedente conceptual directo del mecanismo de prueba de trabajo (proof of work) que Bitcoin implementaría (Dai, 1998). El propio documento fundacional de Bitcoin cita expresamente a b-money entre sus referencias.</w:t>
      </w:r>
    </w:p>
    <w:p>
      <w:pPr>
        <w:spacing w:after="160" w:line="300"/>
        <w:jc w:val="both"/>
      </w:pPr>
      <w:r>
        <w:rPr>
          <w:rFonts w:ascii="Garamond" w:cs="Garamond" w:eastAsia="Garamond" w:hAnsi="Garamond"/>
          <w:sz w:val="24"/>
          <w:szCs w:val="24"/>
        </w:rPr>
        <w:t xml:space="preserve">Nick Szabo, por su parte, desarrolló entre 1998 y 2005 la propuesta conocida como bit gold, en la que planteó un mecanismo de creación de valor digital escaso mediante la resolución de cadenas de problemas computacionales (puzzles), cuyas soluciones quedaban registradas de manera pública y vinculada criptográficamente a la solución anterior —un antecedente directo de la estructura de cadena de bloques encadenados que caracteriza a Bitcoin (Szabo, 2005). La atribución de la autoría del propio seudónimo Satoshi Nakamoto a Szabo ha sido objeto de especulación periodística recurrente, aunque sin confirmación fehaciente ni por parte de Szabo ni de fuente independiente concluyente.</w:t>
      </w:r>
    </w:p>
    <w:p>
      <w:pPr>
        <w:spacing w:after="160" w:line="300"/>
        <w:jc w:val="both"/>
      </w:pPr>
      <w:r>
        <w:rPr>
          <w:rFonts w:ascii="Garamond" w:cs="Garamond" w:eastAsia="Garamond" w:hAnsi="Garamond"/>
          <w:sz w:val="24"/>
          <w:szCs w:val="24"/>
        </w:rPr>
        <w:t xml:space="preserve">Adam Back, finalmente, diseñó en 1997 el sistema hashcash, originalmente concebido como un mecanismo antispam: exigir al remitente de un correo electrónico la resolución de un pequeño problema computacional —costoso de calcular pero trivial de verificar— antes de que el mensaje fuera aceptado, elevando el costo marginal del envío masivo no deseado. Bitcoin adoptó directamente el algoritmo de hashcash como base de su mecanismo de minería, según reconoce el propio documento fundacional (Back, 2002; Nakamoto, 2008).</w:t>
      </w:r>
    </w:p>
    <w:p>
      <w:pPr>
        <w:spacing w:after="160" w:line="300"/>
        <w:jc w:val="both"/>
      </w:pPr>
      <w:r>
        <w:rPr>
          <w:rFonts w:ascii="Garamond" w:cs="Garamond" w:eastAsia="Garamond" w:hAnsi="Garamond"/>
          <w:sz w:val="24"/>
          <w:szCs w:val="24"/>
        </w:rPr>
        <w:t xml:space="preserve">Estos tres antecedentes —el registro distribuido y el costo computacional de Dai, la cadena de pruebas encadenadas de Szabo y la prueba de trabajo verificable de Back— constituyen, junto con la criptografía de clave pública desarrollada por Diffie y Hellman (1976) y las firmas digitales de curva elíptica, el conjunto de piezas técnicas preexistentes que Satoshi Nakamoto combinó, de manera original, en el diseño de Bitcoin. La innovación de Nakamoto no residió, por lo tanto, en la invención de tecnología criptográfica nueva, sino en la resolución de un problema que había resultado esquivo a todos los intentos anteriores: cómo lograr que una red de participantes mutuamente desconocidos y no confiables entre sí alcanzara consenso sobre un único historial de transacciones válido, sin recurrir a ninguna autoridad central —el denominado problema de los generales bizantinos aplicado al dinero digital.</w:t>
      </w:r>
    </w:p>
    <w:p>
      <w:pPr>
        <w:pStyle w:val="Heading2"/>
        <w:spacing w:after="180" w:before="360"/>
      </w:pPr>
      <w:r>
        <w:rPr>
          <w:rFonts w:ascii="Garamond" w:cs="Garamond" w:eastAsia="Garamond" w:hAnsi="Garamond"/>
          <w:b/>
          <w:bCs/>
          <w:color w:val="10233F"/>
          <w:sz w:val="28"/>
          <w:szCs w:val="28"/>
        </w:rPr>
        <w:t xml:space="preserve">2.3. El nacimiento de Bitcoin (2008–2010)</w:t>
      </w:r>
    </w:p>
    <w:p>
      <w:pPr>
        <w:pStyle w:val="Heading3"/>
        <w:spacing w:after="140" w:before="280"/>
      </w:pPr>
      <w:r>
        <w:rPr>
          <w:rFonts w:ascii="Garamond" w:cs="Garamond" w:eastAsia="Garamond" w:hAnsi="Garamond"/>
          <w:b/>
          <w:bCs/>
          <w:i/>
          <w:iCs/>
          <w:color w:val="1A1A1A"/>
          <w:sz w:val="24"/>
          <w:szCs w:val="24"/>
        </w:rPr>
        <w:t xml:space="preserve">2.3.1. El documento fundacional</w:t>
      </w:r>
    </w:p>
    <w:p>
      <w:pPr>
        <w:spacing w:after="160" w:line="300"/>
        <w:jc w:val="both"/>
      </w:pPr>
      <w:r>
        <w:rPr>
          <w:rFonts w:ascii="Garamond" w:cs="Garamond" w:eastAsia="Garamond" w:hAnsi="Garamond"/>
          <w:sz w:val="24"/>
          <w:szCs w:val="24"/>
        </w:rPr>
        <w:t xml:space="preserve">El 31 de octubre de 2008, una persona o grupo de personas operando bajo el seudónimo Satoshi Nakamoto publicó en una lista de correo de criptografía un documento de nueve páginas titulado Bitcoin: A Peer-to-Peer Electronic Cash System. El documento describía un sistema que permitía a las partes realizar pagos electrónicos directos entre sí, sin necesidad de una institución financiera intermediaria, resolviendo el problema del doble gasto mediante una red distribuida de nodos que registraba las transacciones en una cadena pública de bloques, ordenada cronológicamente y asegurada mediante prueba de trabajo (Nakamoto, 2008).</w:t>
      </w:r>
    </w:p>
    <w:p>
      <w:pPr>
        <w:spacing w:after="160" w:line="300"/>
        <w:jc w:val="both"/>
      </w:pPr>
      <w:r>
        <w:rPr>
          <w:rFonts w:ascii="Garamond" w:cs="Garamond" w:eastAsia="Garamond" w:hAnsi="Garamond"/>
          <w:sz w:val="24"/>
          <w:szCs w:val="24"/>
        </w:rPr>
        <w:t xml:space="preserve">La identidad real de Satoshi Nakamoto permanece, hasta la fecha de esta edición, sin confirmación fehaciente. Diversas personas han sido especuladas o se han autoproclamado como su autor —entre ellas, de manera notoria, el empresario australiano Craig Wright, cuyas reclamaciones fueron rechazadas de manera contundente por la Justicia del Reino Unido en el fallo Crypto Open Patent Alliance v. Wright de 2024, que determinó judicialmente que Wright no es Satoshi Nakamoto—. Para los fines de esta obra, la cuestión de la identidad del creador resulta irrelevante desde el punto de vista técnico y normativo: Bitcoin, a diferencia de otros criptoactivos, no reconoce una entidad emisora ni un equipo fundador con control residual sobre el protocolo, lo cual constituye, como se desarrollará en el Capítulo 10, un elemento central para su caracterización jurídica y contable.</w:t>
      </w:r>
    </w:p>
    <w:p>
      <w:pPr>
        <w:pStyle w:val="Heading3"/>
        <w:spacing w:after="140" w:before="280"/>
      </w:pPr>
      <w:r>
        <w:rPr>
          <w:rFonts w:ascii="Garamond" w:cs="Garamond" w:eastAsia="Garamond" w:hAnsi="Garamond"/>
          <w:b/>
          <w:bCs/>
          <w:i/>
          <w:iCs/>
          <w:color w:val="1A1A1A"/>
          <w:sz w:val="24"/>
          <w:szCs w:val="24"/>
        </w:rPr>
        <w:t xml:space="preserve">2.3.2. El bloque génesis y los primeros años de la red</w:t>
      </w:r>
    </w:p>
    <w:p>
      <w:pPr>
        <w:spacing w:after="160" w:line="300"/>
        <w:jc w:val="both"/>
      </w:pPr>
      <w:r>
        <w:rPr>
          <w:rFonts w:ascii="Garamond" w:cs="Garamond" w:eastAsia="Garamond" w:hAnsi="Garamond"/>
          <w:sz w:val="24"/>
          <w:szCs w:val="24"/>
        </w:rPr>
        <w:t xml:space="preserve">El 3 de enero de 2009, Nakamoto minó el primer bloque de la cadena de Bitcoin, conocido como bloque génesis. En el campo de datos de la transacción coinbase de ese bloque —el mecanismo mediante el cual se acuñan las primeras unidades de cada bloque— Nakamoto incluyó el texto «The Times 03/Jan/2009 Chancellor on brink of second bailout for banks», una referencia verificable al titular de portada de ese día del periódico The Times, que cumple simultáneamente dos funciones: servir de prueba criptográfica de que el bloque no pudo minarse antes de esa fecha, y dejar constancia del contexto de crisis bancaria que motivó el desarrollo del proyecto.</w:t>
      </w:r>
    </w:p>
    <w:p>
      <w:pPr>
        <w:spacing w:after="160" w:line="300"/>
        <w:jc w:val="both"/>
      </w:pPr>
      <w:r>
        <w:rPr>
          <w:rFonts w:ascii="Garamond" w:cs="Garamond" w:eastAsia="Garamond" w:hAnsi="Garamond"/>
          <w:sz w:val="24"/>
          <w:szCs w:val="24"/>
        </w:rPr>
        <w:t xml:space="preserve">El 12 de enero de 2009, Nakamoto envió diez bitcoins al programador Hal Finney, en lo que constituye la primera transacción documentada de la red. Finney, criptógrafo con participación previa en el desarrollo de sistemas de prueba de trabajo reutilizable, fue uno de los primeros colaboradores activos del proyecto y uno de los pocos interlocutores directos conocidos de Nakamoto durante ese período inicial.</w:t>
      </w:r>
    </w:p>
    <w:p>
      <w:pPr>
        <w:spacing w:after="160" w:line="300"/>
        <w:jc w:val="both"/>
      </w:pPr>
      <w:r>
        <w:rPr>
          <w:rFonts w:ascii="Garamond" w:cs="Garamond" w:eastAsia="Garamond" w:hAnsi="Garamond"/>
          <w:sz w:val="24"/>
          <w:szCs w:val="24"/>
        </w:rPr>
        <w:t xml:space="preserve">El episodio conocido popularmente como «Bitcoin Pizza Day» —el 22 de mayo de 2010, cuando el programador Laszlo Hanyecz pagó 10.000 bitcoins por dos pizzas, en lo que se considera la primera transacción comercial documentada con Bitcoin— es citado habitualmente en la literatura de divulgación como hito simbólico de la primera valuación de mercado implícita de la moneda, y es recordado anualmente por la comunidad como fecha conmemorativa.</w:t>
      </w:r>
    </w:p>
    <w:p>
      <w:pPr>
        <w:spacing w:after="160" w:line="300"/>
        <w:jc w:val="both"/>
      </w:pPr>
      <w:r>
        <w:rPr>
          <w:rFonts w:ascii="Garamond" w:cs="Garamond" w:eastAsia="Garamond" w:hAnsi="Garamond"/>
          <w:sz w:val="24"/>
          <w:szCs w:val="24"/>
        </w:rPr>
        <w:t xml:space="preserve">Durante 2010 comenzaron a operar los primeros mercados de intercambio (exchanges), entre los cuales Mt. Gox —fundado originalmente como plataforma de intercambio de cartas del juego Magic: The Gathering y reconvertido a exchange de Bitcoin— llegó a concentrar, hacia 2013, la mayor parte del volumen mundial de operaciones. Su colapso en febrero de 2014, tras la pérdida o sustracción de aproximadamente 850.000 bitcoins pertenecientes a la plataforma y a sus usuarios, constituye uno de los primeros grandes casos de estudio sobre riesgo de custodia centralizada en el ecosistema, con implicancias directas —que se desarrollarán en el Capítulo 32— sobre las prácticas de control interno y auditoría que hoy se exigen a las entidades que custodian criptoactivos de terceros.</w:t>
      </w:r>
    </w:p>
    <w:p>
      <w:pPr>
        <w:pStyle w:val="Heading2"/>
        <w:spacing w:after="180" w:before="360"/>
      </w:pPr>
      <w:r>
        <w:rPr>
          <w:rFonts w:ascii="Garamond" w:cs="Garamond" w:eastAsia="Garamond" w:hAnsi="Garamond"/>
          <w:b/>
          <w:bCs/>
          <w:color w:val="10233F"/>
          <w:sz w:val="28"/>
          <w:szCs w:val="28"/>
        </w:rPr>
        <w:t xml:space="preserve">2.4. De la curiosidad técnica al activo institucional (2013–2026)</w:t>
      </w:r>
    </w:p>
    <w:p>
      <w:pPr>
        <w:pStyle w:val="Heading3"/>
        <w:spacing w:after="140" w:before="280"/>
      </w:pPr>
      <w:r>
        <w:rPr>
          <w:rFonts w:ascii="Garamond" w:cs="Garamond" w:eastAsia="Garamond" w:hAnsi="Garamond"/>
          <w:b/>
          <w:bCs/>
          <w:i/>
          <w:iCs/>
          <w:color w:val="1A1A1A"/>
          <w:sz w:val="24"/>
          <w:szCs w:val="24"/>
        </w:rPr>
        <w:t xml:space="preserve">2.4.1. Maduración del protocolo y primeras controversias de escalabilidad</w:t>
      </w:r>
    </w:p>
    <w:p>
      <w:pPr>
        <w:spacing w:after="160" w:line="300"/>
        <w:jc w:val="both"/>
      </w:pPr>
      <w:r>
        <w:rPr>
          <w:rFonts w:ascii="Garamond" w:cs="Garamond" w:eastAsia="Garamond" w:hAnsi="Garamond"/>
          <w:sz w:val="24"/>
          <w:szCs w:val="24"/>
        </w:rPr>
        <w:t xml:space="preserve">Entre 2013 y 2017, el crecimiento de la base de usuarios de Bitcoin expuso limitaciones técnicas del diseño original vinculadas a la capacidad de procesamiento de transacciones por bloque, dando lugar a un extenso debate comunitario —conocido como el «debate del tamaño de bloque»— sobre la mejor estrategia de escalabilidad. Ese debate culminó, en agosto de 2017, con la activación de la mejora de protocolo conocida como Segregated Witness (SegWit), y con la escisión (hard fork) de una porción de la comunidad hacia una cadena alternativa, Bitcoin Cash, que optó por incrementar directamente el tamaño de bloque en lugar de adoptar SegWit. Este episodio resulta relevante para el contador en tanto ilustra un fenómeno con consecuencias contables directas y no triviales —la generación de un nuevo activo digital a partir de una tenencia preexistente mediante un fork—, cuestión que se retomará en el Capítulo 12 al abordar el reconocimiento inicial de activos digitales obtenidos por vías distintas de la compra.</w:t>
      </w:r>
    </w:p>
    <w:p>
      <w:pPr>
        <w:spacing w:after="160" w:line="300"/>
        <w:jc w:val="both"/>
      </w:pPr>
      <w:r>
        <w:rPr>
          <w:rFonts w:ascii="Garamond" w:cs="Garamond" w:eastAsia="Garamond" w:hAnsi="Garamond"/>
          <w:sz w:val="24"/>
          <w:szCs w:val="24"/>
        </w:rPr>
        <w:t xml:space="preserve">En diciembre de 2017, el Chicago Mercantile Exchange (CME) y el Chicago Board Options Exchange (CBOE) lanzaron los primeros contratos de futuros de Bitcoin regulados en un mercado institucional estadounidense, marcando el primer puente formal entre Bitcoin y la infraestructura de mercados financieros tradicionales, coincidiendo con el primer gran ciclo especulativo de precio de la moneda, que alcanzó máximos cercanos a los 20.000 dólares estadounidenses hacia fines de ese año.</w:t>
      </w:r>
    </w:p>
    <w:p>
      <w:pPr>
        <w:pStyle w:val="Heading3"/>
        <w:spacing w:after="140" w:before="280"/>
      </w:pPr>
      <w:r>
        <w:rPr>
          <w:rFonts w:ascii="Garamond" w:cs="Garamond" w:eastAsia="Garamond" w:hAnsi="Garamond"/>
          <w:b/>
          <w:bCs/>
          <w:i/>
          <w:iCs/>
          <w:color w:val="1A1A1A"/>
          <w:sz w:val="24"/>
          <w:szCs w:val="24"/>
        </w:rPr>
        <w:t xml:space="preserve">2.4.2. La adopción corporativa: MicroStrategy y el estándar de tesorería en Bitcoin</w:t>
      </w:r>
    </w:p>
    <w:p>
      <w:pPr>
        <w:spacing w:after="160" w:line="300"/>
        <w:jc w:val="both"/>
      </w:pPr>
      <w:r>
        <w:rPr>
          <w:rFonts w:ascii="Garamond" w:cs="Garamond" w:eastAsia="Garamond" w:hAnsi="Garamond"/>
          <w:sz w:val="24"/>
          <w:szCs w:val="24"/>
        </w:rPr>
        <w:t xml:space="preserve">Agosto de 2020 marca un punto de inflexión en la historia de Bitcoin como activo corporativo: la empresa de software MicroStrategy Incorporated, bajo la conducción de su entonces director ejecutivo Michael Saylor, anunció la adquisición de 21.454 bitcoins como parte de su estrategia de reserva de tesorería, argumentando la necesidad de proteger el valor real de sus excedentes de caja frente a la política monetaria expansiva adoptada por la Reserva Federal de los Estados Unidos en el contexto de la pandemia de COVID-19. Esa decisión inaugural fue seguida por adquisiciones sucesivas y sostenidas en los años siguientes, que consolidaron a la compañía —renombrada posteriormente como Strategy— como la mayor tenedora corporativa de Bitcoin del mundo, y que motivaron un pronunciamiento específico de la Financial Accounting Standards Board (FASB) estadounidense —el Accounting Standards Update 2023-08— que, a diferencia del criterio NIIF vigente basado en costo menos deterioro bajo NIC 38, habilitó desde 2025 la medición de criptoactivos a valor razonable con cambios en resultados para las entidades que reportan bajo normas contables estadounidenses (US GAAP), cuestión que se analizará comparativamente en el Capítulo 13.</w:t>
      </w:r>
    </w:p>
    <w:p>
      <w:pPr>
        <w:spacing w:after="160" w:line="300"/>
        <w:jc w:val="both"/>
      </w:pPr>
      <w:r>
        <w:rPr>
          <w:rFonts w:ascii="Garamond" w:cs="Garamond" w:eastAsia="Garamond" w:hAnsi="Garamond"/>
          <w:sz w:val="24"/>
          <w:szCs w:val="24"/>
        </w:rPr>
        <w:t xml:space="preserve">En febrero de 2021, Tesla, Inc. anunció la adquisición de 1.500 millones de dólares en Bitcoin como parte de su política de gestión de tesorería, y por un breve período aceptó Bitcoin como medio de pago para la adquisición de sus vehículos, política que suspendió meses más tarde invocando preocupaciones ambientales vinculadas al consumo energético de la minería. El caso Tesla —que se desarrollará con mayor detalle en el Capítulo 37— resulta paradigmático para ilustrar, en la práctica, los efectos del criterio de deterioro sin reversión propio de la NIC 38 sobre los estados contables de una empresa que reporta bajo NIIF, en contraste con el tratamiento a valor razonable aplicable bajo US GAAP a partir de 2025.</w:t>
      </w:r>
    </w:p>
    <w:p>
      <w:pPr>
        <w:pStyle w:val="Heading3"/>
        <w:spacing w:after="140" w:before="280"/>
      </w:pPr>
      <w:r>
        <w:rPr>
          <w:rFonts w:ascii="Garamond" w:cs="Garamond" w:eastAsia="Garamond" w:hAnsi="Garamond"/>
          <w:b/>
          <w:bCs/>
          <w:i/>
          <w:iCs/>
          <w:color w:val="1A1A1A"/>
          <w:sz w:val="24"/>
          <w:szCs w:val="24"/>
        </w:rPr>
        <w:t xml:space="preserve">2.4.3. El Salvador y el curso legal: el primer experimento estatal</w:t>
      </w:r>
    </w:p>
    <w:p>
      <w:pPr>
        <w:spacing w:after="160" w:line="300"/>
        <w:jc w:val="both"/>
      </w:pPr>
      <w:r>
        <w:rPr>
          <w:rFonts w:ascii="Garamond" w:cs="Garamond" w:eastAsia="Garamond" w:hAnsi="Garamond"/>
          <w:sz w:val="24"/>
          <w:szCs w:val="24"/>
        </w:rPr>
        <w:t xml:space="preserve">El 8 de junio de 2021, la Asamblea Legislativa de El Salvador aprobó la Ley Bitcoin, que entró en vigencia el 7 de septiembre de 2021 y convirtió a ese país en el primer Estado del mundo en adoptar Bitcoin como moneda de curso legal junto al dólar estadounidense, obligando en su redacción original a los comercios a aceptarlo como medio de pago cuando la tecnología disponible lo permitiera. La experiencia salvadoreña —seguida con atención por organismos financieros internacionales, que expresaron reparos formales vinculados a la volatilidad del activo y a riesgos de estabilidad financiera— constituye un caso de estudio obligado en materia de política monetaria comparada, y será retomada en el Capítulo 30 al abordar la tributación internacional de Bitcoin, en tanto la condición de moneda de curso legal en una jurisdicción determinada tiene incidencia directa sobre su calificación contable como efectivo en los estados financieros de entidades sujetas a esa jurisdicción.</w:t>
      </w:r>
    </w:p>
    <w:p>
      <w:pPr>
        <w:pStyle w:val="Heading3"/>
        <w:spacing w:after="140" w:before="280"/>
      </w:pPr>
      <w:r>
        <w:rPr>
          <w:rFonts w:ascii="Garamond" w:cs="Garamond" w:eastAsia="Garamond" w:hAnsi="Garamond"/>
          <w:b/>
          <w:bCs/>
          <w:i/>
          <w:iCs/>
          <w:color w:val="1A1A1A"/>
          <w:sz w:val="24"/>
          <w:szCs w:val="24"/>
        </w:rPr>
        <w:t xml:space="preserve">2.4.4. Los fondos cotizados y la integración al sistema financiero regulado</w:t>
      </w:r>
    </w:p>
    <w:p>
      <w:pPr>
        <w:spacing w:after="160" w:line="300"/>
        <w:jc w:val="both"/>
      </w:pPr>
      <w:r>
        <w:rPr>
          <w:rFonts w:ascii="Garamond" w:cs="Garamond" w:eastAsia="Garamond" w:hAnsi="Garamond"/>
          <w:sz w:val="24"/>
          <w:szCs w:val="24"/>
        </w:rPr>
        <w:t xml:space="preserve">El 10 de enero de 2024, la Securities and Exchange Commission (SEC) de los Estados Unidos aprobó, tras más de una década de solicitudes previas rechazadas, la cotización de los primeros fondos cotizados en bolsa (ETF) de Bitcoin al contado (spot) en mercados estadounidenses, permitiendo a inversores institucionales y minoristas obtener exposición regulada al precio de Bitcoin sin necesidad de custodiar directamente el activo subyacente. Gestoras de fondos de la magnitud de BlackRock —cuyo producto iShares Bitcoin Trust se convirtió en uno de los ETF de mayor captación de activos en la historia de la industria— y Fidelity lideraron esa oferta, consolidando un puente definitivo entre Bitcoin y la arquitectura regulada de los mercados de capitales globales. Este desarrollo, junto con la evolución posterior de la adopción institucional hasta la fecha de esta edición, se analiza en profundidad en el Capítulo 37.</w:t>
      </w:r>
    </w:p>
    <w:p>
      <w:pPr>
        <w:spacing w:after="160" w:line="300"/>
        <w:jc w:val="both"/>
      </w:pPr>
      <w:r>
        <w:rPr>
          <w:rFonts w:ascii="Garamond" w:cs="Garamond" w:eastAsia="Garamond" w:hAnsi="Garamond"/>
          <w:sz w:val="24"/>
          <w:szCs w:val="24"/>
        </w:rPr>
        <w:t xml:space="preserve">Los sucesivos halvings del protocolo —reducciones programadas a la mitad de la recompensa que reciben los mineros por cada bloque, ocurridas en noviembre de 2012, julio de 2016, mayo de 2020 y abril de 2024, y programadas para continuar aproximadamente cada cuatro años hasta la emisión del último satoshi, estimada hacia el año 2140— constituyen el mecanismo mediante el cual el protocolo garantiza de manera algorítmica y verificable la escasez absoluta de 21.000.000 de bitcoins, propiedad que, como se adelantó en el Capítulo 1, constituye el argumento central invocado tanto por los defensores de Bitcoin como reserva de valor cuanto por la literatura crítica que cuestiona la sostenibilidad de un régimen monetario sin capacidad de ajuste discrecional ante shocks económicos.</w:t>
      </w:r>
    </w:p>
    <w:p>
      <w:pPr>
        <w:pStyle w:val="Heading2"/>
        <w:spacing w:after="180" w:before="360"/>
      </w:pPr>
      <w:r>
        <w:rPr>
          <w:rFonts w:ascii="Garamond" w:cs="Garamond" w:eastAsia="Garamond" w:hAnsi="Garamond"/>
          <w:b/>
          <w:bCs/>
          <w:color w:val="10233F"/>
          <w:sz w:val="28"/>
          <w:szCs w:val="28"/>
        </w:rPr>
        <w:t xml:space="preserve">2.5. Síntesis del capítulo</w:t>
      </w:r>
    </w:p>
    <w:p>
      <w:pPr>
        <w:spacing w:after="160" w:line="300"/>
        <w:jc w:val="both"/>
      </w:pPr>
      <w:r>
        <w:rPr>
          <w:rFonts w:ascii="Garamond" w:cs="Garamond" w:eastAsia="Garamond" w:hAnsi="Garamond"/>
          <w:sz w:val="24"/>
          <w:szCs w:val="24"/>
        </w:rPr>
        <w:t xml:space="preserve">La historia de Bitcoin reconstruida en este capítulo permite fijar tres coordenadas indispensables para el análisis contable, tributario y de auditoría que se desarrolla en el resto de la obra. Primera: Bitcoin no es una invención tecnológica aislada, sino la culminación exitosa de tres décadas de investigación cypherpunk en dinero digital, cuya innovación decisiva —resolver el problema del doble gasto sin autoridad central— explica por qué carece, a diferencia de otros criptoactivos y de las monedas fiduciarias, de un emisor identificable con control residual sobre el protocolo, atributo con consecuencias jurídicas y contables directas que se desarrollarán en el Capítulo 10. Segunda: la trayectoria de Bitcoin —de experimento técnico marginal a activo de tesorería corporativa, moneda de curso legal en al menos una jurisdicción soberana, y subyacente de fondos cotizados regulados en los principales mercados de capitales del mundo— documenta una maduración institucional acelerada que la normativa contable, tributaria y de auditoría se encuentra todavía en proceso de asimilar, y que justifica precisamente el propósito de esta obra. Tercera: episodios como el colapso de Mt. Gox, la escisión de Bitcoin Cash o el tratamiento contable divergente entre NIIF y US GAAP no son curiosidades anecdóticas, sino antecedentes que estructuran directamente el contenido técnico de los capítulos siguientes, referidos a custodia y control interno, reconocimiento de activos derivados de eventos de fork, y comparación normativa internacional, respectivamente.</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w:t>
      </w:r>
    </w:p>
    <w:p>
      <w:pPr>
        <w:spacing w:after="160"/>
        <w:ind w:left="480" w:hanging="480"/>
        <w:jc w:val="both"/>
      </w:pPr>
      <w:r>
        <w:rPr>
          <w:rFonts w:ascii="Garamond" w:cs="Garamond" w:eastAsia="Garamond" w:hAnsi="Garamond"/>
          <w:sz w:val="22"/>
          <w:szCs w:val="22"/>
        </w:rPr>
        <w:t xml:space="preserve">Back, A. (2002). Hashcash: A denial of service counter-measure. http://www.hashcash.org/papers/hashcash.pdf</w:t>
      </w:r>
    </w:p>
    <w:p>
      <w:pPr>
        <w:spacing w:after="160"/>
        <w:ind w:left="480" w:hanging="480"/>
        <w:jc w:val="both"/>
      </w:pPr>
      <w:r>
        <w:rPr>
          <w:rFonts w:ascii="Garamond" w:cs="Garamond" w:eastAsia="Garamond" w:hAnsi="Garamond"/>
          <w:sz w:val="22"/>
          <w:szCs w:val="22"/>
        </w:rPr>
        <w:t xml:space="preserve">Chaum, D. (1983). Blind signatures for untraceable payments. En D. Chaum, R. L. Rivest y A. T. Sherman (Eds.), Advances in Cryptology: Proceedings of Crypto 82 (pp. 199-203). Springer.</w:t>
      </w:r>
    </w:p>
    <w:p>
      <w:pPr>
        <w:spacing w:after="160"/>
        <w:ind w:left="480" w:hanging="480"/>
        <w:jc w:val="both"/>
      </w:pPr>
      <w:r>
        <w:rPr>
          <w:rFonts w:ascii="Garamond" w:cs="Garamond" w:eastAsia="Garamond" w:hAnsi="Garamond"/>
          <w:sz w:val="22"/>
          <w:szCs w:val="22"/>
        </w:rPr>
        <w:t xml:space="preserve">Dai, W. (1998). b-money. http://www.weidai.com/bmoney.txt</w:t>
      </w:r>
    </w:p>
    <w:p>
      <w:pPr>
        <w:spacing w:after="160"/>
        <w:ind w:left="480" w:hanging="480"/>
        <w:jc w:val="both"/>
      </w:pPr>
      <w:r>
        <w:rPr>
          <w:rFonts w:ascii="Garamond" w:cs="Garamond" w:eastAsia="Garamond" w:hAnsi="Garamond"/>
          <w:sz w:val="22"/>
          <w:szCs w:val="22"/>
        </w:rPr>
        <w:t xml:space="preserve">Diffie, W., y Hellman, M. (1976). New directions in cryptography. IEEE Transactions on Information Theory, 22(6), 644-654.</w:t>
      </w:r>
    </w:p>
    <w:p>
      <w:pPr>
        <w:spacing w:after="160"/>
        <w:ind w:left="480" w:hanging="480"/>
        <w:jc w:val="both"/>
      </w:pPr>
      <w:r>
        <w:rPr>
          <w:rFonts w:ascii="Garamond" w:cs="Garamond" w:eastAsia="Garamond" w:hAnsi="Garamond"/>
          <w:sz w:val="22"/>
          <w:szCs w:val="22"/>
        </w:rPr>
        <w:t xml:space="preserve">Hughes, E. (1993). A cypherpunk's manifesto. https://www.activism.net/cypherpunk/manifesto.html</w:t>
      </w:r>
    </w:p>
    <w:p>
      <w:pPr>
        <w:spacing w:after="160"/>
        <w:ind w:left="480" w:hanging="480"/>
        <w:jc w:val="both"/>
      </w:pPr>
      <w:r>
        <w:rPr>
          <w:rFonts w:ascii="Garamond" w:cs="Garamond" w:eastAsia="Garamond" w:hAnsi="Garamond"/>
          <w:sz w:val="22"/>
          <w:szCs w:val="22"/>
        </w:rPr>
        <w:t xml:space="preserve">Nakamoto, S. (2008). Bitcoin: A peer-to-peer electronic cash system. https://bitcoin.org/bitcoin.pdf</w:t>
      </w:r>
    </w:p>
    <w:p>
      <w:pPr>
        <w:spacing w:after="160"/>
        <w:ind w:left="480" w:hanging="480"/>
        <w:jc w:val="both"/>
      </w:pPr>
      <w:r>
        <w:rPr>
          <w:rFonts w:ascii="Garamond" w:cs="Garamond" w:eastAsia="Garamond" w:hAnsi="Garamond"/>
          <w:sz w:val="22"/>
          <w:szCs w:val="22"/>
        </w:rPr>
        <w:t xml:space="preserve">Szabo, N. (2005). Bit gold. https://unenumerated.blogspot.com/2005/12/bit-gold.html</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3</w:t>
      </w:r>
    </w:p>
    <w:p>
      <w:pPr>
        <w:spacing w:after="400"/>
      </w:pPr>
      <w:r>
        <w:rPr>
          <w:rFonts w:ascii="Garamond" w:cs="Garamond" w:eastAsia="Garamond" w:hAnsi="Garamond"/>
          <w:b/>
          <w:bCs/>
          <w:color w:val="9C7A2E"/>
          <w:sz w:val="40"/>
          <w:szCs w:val="40"/>
        </w:rPr>
        <w:t xml:space="preserve">Fundamentos técnicos de blockchain</w:t>
      </w:r>
    </w:p>
    <w:p>
      <w:pPr>
        <w:pStyle w:val="Heading2"/>
        <w:spacing w:after="180" w:before="360"/>
      </w:pPr>
      <w:r>
        <w:rPr>
          <w:rFonts w:ascii="Garamond" w:cs="Garamond" w:eastAsia="Garamond" w:hAnsi="Garamond"/>
          <w:b/>
          <w:bCs/>
          <w:color w:val="10233F"/>
          <w:sz w:val="28"/>
          <w:szCs w:val="28"/>
        </w:rPr>
        <w:t xml:space="preserve">3.1. Introducción: por qué el contador necesita entender la arquitectura técnica</w:t>
      </w:r>
    </w:p>
    <w:p>
      <w:pPr>
        <w:spacing w:after="160" w:line="300"/>
        <w:jc w:val="both"/>
      </w:pPr>
      <w:r>
        <w:rPr>
          <w:rFonts w:ascii="Garamond" w:cs="Garamond" w:eastAsia="Garamond" w:hAnsi="Garamond"/>
          <w:sz w:val="24"/>
          <w:szCs w:val="24"/>
        </w:rPr>
        <w:t xml:space="preserve">Los Capítulos 1 y 2 reconstruyeron, respectivamente, el linaje económico y el linaje técnico-histórico de Bitcoin. Este capítulo completa esa base conceptual describiendo, con el nivel de detalle necesario para un profesional contable —no para un desarrollador de software—, la arquitectura técnica que sostiene a Bitcoin: qué es una cadena de bloques, cómo se estructura una transacción, qué garantiza la inmutabilidad del registro, y qué diferencia una red pública y no permisionada como Bitcoin de las bases de datos distribuidas privadas que numerosas entidades financieras y gubernamentales han comenzado a explorar bajo el mismo rótulo genérico de «blockchain».</w:t>
      </w:r>
    </w:p>
    <w:p>
      <w:pPr>
        <w:spacing w:after="160" w:line="300"/>
        <w:jc w:val="both"/>
      </w:pPr>
      <w:r>
        <w:rPr>
          <w:rFonts w:ascii="Garamond" w:cs="Garamond" w:eastAsia="Garamond" w:hAnsi="Garamond"/>
          <w:sz w:val="24"/>
          <w:szCs w:val="24"/>
        </w:rPr>
        <w:t xml:space="preserve">Esta comprensión técnica no es un ejercicio de erudición ajeno a la disciplina contable: como se desarrollará en la Parte III de esta obra, la calificación de Bitcoin como activo intangible bajo NIC 38, la determinación del momento de reconocimiento de una transacción, la evaluación de la existencia y de los derechos sobre el activo que exige la auditoría, y la trazabilidad exigida por la normativa de prevención de lavado de activos, dependen todas ellas de una comprensión correcta de cómo se genera, se transmite y se verifica la propiedad de una unidad de Bitcoin. Un profesional que desconozca esta arquitectura corre el riesgo de aplicar analogías contables inadecuadas —por ejemplo, tratar a Bitcoin como si fuera una cuenta bancaria remota, cuando en realidad no existe cuenta ni entidad depositaria alguna, sino un registro público verificable por criptografía—.</w:t>
      </w:r>
    </w:p>
    <w:p>
      <w:pPr>
        <w:pStyle w:val="Heading2"/>
        <w:spacing w:after="180" w:before="360"/>
      </w:pPr>
      <w:r>
        <w:rPr>
          <w:rFonts w:ascii="Garamond" w:cs="Garamond" w:eastAsia="Garamond" w:hAnsi="Garamond"/>
          <w:b/>
          <w:bCs/>
          <w:color w:val="10233F"/>
          <w:sz w:val="28"/>
          <w:szCs w:val="28"/>
        </w:rPr>
        <w:t xml:space="preserve">3.2. Qué es una cadena de bloques</w:t>
      </w:r>
    </w:p>
    <w:p>
      <w:pPr>
        <w:spacing w:after="160" w:line="300"/>
        <w:jc w:val="both"/>
      </w:pPr>
      <w:r>
        <w:rPr>
          <w:rFonts w:ascii="Garamond" w:cs="Garamond" w:eastAsia="Garamond" w:hAnsi="Garamond"/>
          <w:sz w:val="24"/>
          <w:szCs w:val="24"/>
        </w:rPr>
        <w:t xml:space="preserve">Una cadena de bloques (blockchain) es, en su definición técnica más elemental, un registro de datos estructurado en unidades sucesivas llamadas bloques, cada uno de los cuales contiene un conjunto de transacciones válidas y una referencia criptográfica —un resumen o hash— al bloque inmediatamente anterior. Esa referencia encadenada es lo que da nombre a la estructura y lo que provee su propiedad más relevante desde el punto de vista contable y de auditoría: la inmutabilidad práctica del historial registrado.</w:t>
      </w:r>
    </w:p>
    <w:p>
      <w:pPr>
        <w:spacing w:after="160" w:line="300"/>
        <w:jc w:val="both"/>
      </w:pPr>
      <w:r>
        <w:rPr>
          <w:rFonts w:ascii="Garamond" w:cs="Garamond" w:eastAsia="Garamond" w:hAnsi="Garamond"/>
          <w:sz w:val="24"/>
          <w:szCs w:val="24"/>
        </w:rPr>
        <w:t xml:space="preserve">La función criptográfica de resumen (hash function) constituye el componente matemático central de esta arquitectura. Una función de hash toma una entrada de tamaño arbitrario —desde un carácter hasta un archivo completo— y produce una salida de tamaño fijo, denominada resumen o huella digital, con tres propiedades críticas: determinismo (la misma entrada siempre produce la misma salida), aleatoriedad aparente (una modificación mínima en la entrada produce una salida completamente distinta e impredecible, propiedad conocida como efecto avalancha) y resistencia computacional a la inversión (resulta computacionalmente inviable, dado un resumen, reconstruir la entrada que lo generó). Bitcoin emplea el algoritmo SHA-256 (Secure Hash Algorithm de 256 bits), desarrollado originalmente por la Agencia de Seguridad Nacional de los Estados Unidos y publicado como estándar federal de procesamiento de información en 2001 (National Institute of Standards and Technology [NIST], 2015).</w:t>
      </w:r>
    </w:p>
    <w:p>
      <w:pPr>
        <w:spacing w:after="160" w:line="300"/>
        <w:jc w:val="both"/>
      </w:pPr>
      <w:r>
        <w:rPr>
          <w:rFonts w:ascii="Garamond" w:cs="Garamond" w:eastAsia="Garamond" w:hAnsi="Garamond"/>
          <w:sz w:val="24"/>
          <w:szCs w:val="24"/>
        </w:rPr>
        <w:t xml:space="preserve">Puesto que cada bloque incorpora el hash del bloque anterior dentro de los datos que a su vez se someten a la función de hash para producir su propio identificador, cualquier alteración retroactiva de una transacción contenida en un bloque ya confirmado modificaría el resumen de ese bloque, lo cual rompería el enlace con el bloque siguiente y con todos los posteriores, exigiendo al atacante recalcular —y volver a resolver la prueba de trabajo de— la totalidad de los bloques subsiguientes antes de que la red honesta extienda la cadena legítima. Esta propiedad —cuya robustez depende directamente del poder computacional agregado de la red, según se desarrollará en el Capítulo 4— es la que la literatura técnica denomina inmutabilidad práctica: no se trata de una imposibilidad matemática absoluta, sino de un costo económico de reversión que, en una red suficientemente grande y descentralizada como Bitcoin, resulta prohibitivo en términos prácticos.</w:t>
      </w:r>
    </w:p>
    <w:p>
      <w:pPr>
        <w:pStyle w:val="Heading2"/>
        <w:spacing w:after="180" w:before="360"/>
      </w:pPr>
      <w:r>
        <w:rPr>
          <w:rFonts w:ascii="Garamond" w:cs="Garamond" w:eastAsia="Garamond" w:hAnsi="Garamond"/>
          <w:b/>
          <w:bCs/>
          <w:color w:val="10233F"/>
          <w:sz w:val="28"/>
          <w:szCs w:val="28"/>
        </w:rPr>
        <w:t xml:space="preserve">3.3. La estructura de una transacción</w:t>
      </w:r>
    </w:p>
    <w:p>
      <w:pPr>
        <w:spacing w:after="160" w:line="300"/>
        <w:jc w:val="both"/>
      </w:pPr>
      <w:r>
        <w:rPr>
          <w:rFonts w:ascii="Garamond" w:cs="Garamond" w:eastAsia="Garamond" w:hAnsi="Garamond"/>
          <w:sz w:val="24"/>
          <w:szCs w:val="24"/>
        </w:rPr>
        <w:t xml:space="preserve">A diferencia de los sistemas bancarios tradicionales, que registran saldos de cuenta, Bitcoin no mantiene un registro de «cuentas» en sentido contable estricto, sino un registro de transacciones individuales que consumen y generan lo que se denomina salidas de transacción no gastadas (Unspent Transaction Outputs, o UTXO), modelo que se desarrollará en profundidad en el Capítulo 8 de esta obra por su relevancia directa para la determinación del costo computable y el resultado de cada enajenación de Bitcoin a efectos contables e impositivos.</w:t>
      </w:r>
    </w:p>
    <w:p>
      <w:pPr>
        <w:spacing w:after="160" w:line="300"/>
        <w:jc w:val="both"/>
      </w:pPr>
      <w:r>
        <w:rPr>
          <w:rFonts w:ascii="Garamond" w:cs="Garamond" w:eastAsia="Garamond" w:hAnsi="Garamond"/>
          <w:sz w:val="24"/>
          <w:szCs w:val="24"/>
        </w:rPr>
        <w:t xml:space="preserve">Toda transacción de Bitcoin se compone, en su estructura básica, de tres elementos: una o más entradas (inputs), que referencian salidas no gastadas de transacciones previas y que el emisor debe demostrar poder gastar mediante una firma criptográfica válida; una o más salidas (outputs), que asignan determinadas cantidades de bitcoin a nuevas condiciones de gasto —habitualmente, la clave pública o el hash de la clave pública del destinatario—; y una comisión implícita (fee), calculada como la diferencia entre la suma de las entradas y la suma de las salidas, que constituye el incentivo económico que percibe el minero que incluye la transacción en un bloque. La ausencia de comisión explícita como campo obligatorio, sustituida por este mecanismo de diferencia implícita, es una característica de diseño que distingue a Bitcoin de sistemas de pago tradicionales y que tiene, como se verá en el Capítulo 24, implicancias sobre el tratamiento contable de los costos de transacción asociados a la adquisición o transferencia de Bitcoin.</w:t>
      </w:r>
    </w:p>
    <w:p>
      <w:pPr>
        <w:spacing w:after="160" w:line="300"/>
        <w:jc w:val="both"/>
      </w:pPr>
      <w:r>
        <w:rPr>
          <w:rFonts w:ascii="Garamond" w:cs="Garamond" w:eastAsia="Garamond" w:hAnsi="Garamond"/>
          <w:sz w:val="24"/>
          <w:szCs w:val="24"/>
        </w:rPr>
        <w:t xml:space="preserve">Cada transacción, una vez difundida a la red, es verificada de manera independiente por cada nodo participante, que comprueba —sin necesidad de confiar en ningún tercero— que las firmas criptográficas son válidas, que las entradas referencian salidas efectivamente no gastadas, y que la transacción respeta las reglas de consenso del protocolo. Solo tras superar esa verificación distribuida, la transacción queda disponible para ser incluida por un minero en un bloque candidato.</w:t>
      </w:r>
    </w:p>
    <w:p>
      <w:pPr>
        <w:pStyle w:val="Heading2"/>
        <w:spacing w:after="180" w:before="360"/>
      </w:pPr>
      <w:r>
        <w:rPr>
          <w:rFonts w:ascii="Garamond" w:cs="Garamond" w:eastAsia="Garamond" w:hAnsi="Garamond"/>
          <w:b/>
          <w:bCs/>
          <w:color w:val="10233F"/>
          <w:sz w:val="28"/>
          <w:szCs w:val="28"/>
        </w:rPr>
        <w:t xml:space="preserve">3.4. Naturaleza pública, distribuida y no permisionada de la red</w:t>
      </w:r>
    </w:p>
    <w:p>
      <w:pPr>
        <w:spacing w:after="160" w:line="300"/>
        <w:jc w:val="both"/>
      </w:pPr>
      <w:r>
        <w:rPr>
          <w:rFonts w:ascii="Garamond" w:cs="Garamond" w:eastAsia="Garamond" w:hAnsi="Garamond"/>
          <w:sz w:val="24"/>
          <w:szCs w:val="24"/>
        </w:rPr>
        <w:t xml:space="preserve">Un rasgo que distingue categóricamente a Bitcoin de las denominadas «blockchains privadas» o «de consorcio» —adoptadas por numerosas entidades financieras y organismos gubernamentales bajo plataformas como Hyperledger Fabric o Corda, y frecuentemente confundidas con Bitcoin por el uso genérico del término «blockchain» en el discurso corporativo— es su condición pública, distribuida y no permisionada (permissionless).</w:t>
      </w:r>
    </w:p>
    <w:p>
      <w:pPr>
        <w:spacing w:after="160" w:line="300"/>
        <w:jc w:val="both"/>
      </w:pPr>
      <w:r>
        <w:rPr>
          <w:rFonts w:ascii="Garamond" w:cs="Garamond" w:eastAsia="Garamond" w:hAnsi="Garamond"/>
          <w:sz w:val="24"/>
          <w:szCs w:val="24"/>
        </w:rPr>
        <w:t xml:space="preserve">Pública significa que cualquier persona, sin autorización previa de entidad alguna, puede descargar el software del protocolo, ejecutar un nodo completo y verificar la totalidad del historial de transacciones desde el bloque génesis. Distribuida significa que no existe un servidor central ni una autoridad que aloje el registro: miles de nodos independientes, operados por participantes no coordinados entre sí y dispersos geográficamente, mantienen copias completas y actualizadas del historial. No permisionada significa que cualquier persona puede participar en el proceso de validación y de minería sin requerir aprobación de ninguna entidad, a diferencia de las redes de consorcio, en las que un número limitado y preaprobado de participantes —típicamente instituciones conocidas entre sí— opera los nodos validadores.</w:t>
      </w:r>
    </w:p>
    <w:p>
      <w:pPr>
        <w:spacing w:after="160" w:line="300"/>
        <w:jc w:val="both"/>
      </w:pPr>
      <w:r>
        <w:rPr>
          <w:rFonts w:ascii="Garamond" w:cs="Garamond" w:eastAsia="Garamond" w:hAnsi="Garamond"/>
          <w:sz w:val="24"/>
          <w:szCs w:val="24"/>
        </w:rPr>
        <w:t xml:space="preserve">Esta distinción no es meramente técnica: tiene consecuencias jurídicas y contables directas. Una blockchain privada de consorcio, al depender de un conjunto identificable y limitado de operadores con capacidad de modificar las reglas de la red por acuerdo entre ellos, se asemeja más, desde el punto de vista del control, a una base de datos compartida entre partes contratantes que a un activo verdaderamente descentralizado; Bitcoin, en cambio, al no reconocer autoridad central alguna con capacidad de alterar unilateralmente el protocolo o de revertir transacciones, plantea un desafío distintivo para el auditor y para el organismo de contralor, que se desarrollará en el Capítulo 31: la imposibilidad de dirigir una confirmación de saldo a un tercero custodio tradicional cuando el activo se mantiene en autocustodia (self-custody), exigiendo procedimientos alternativos de verificación de existencia basados en criptografía —firma de mensajes y prueba de reservas— que se abordarán en el Capítulo 35.</w:t>
      </w:r>
    </w:p>
    <w:p>
      <w:pPr>
        <w:pStyle w:val="Heading2"/>
        <w:spacing w:after="180" w:before="360"/>
      </w:pPr>
      <w:r>
        <w:rPr>
          <w:rFonts w:ascii="Garamond" w:cs="Garamond" w:eastAsia="Garamond" w:hAnsi="Garamond"/>
          <w:b/>
          <w:bCs/>
          <w:color w:val="10233F"/>
          <w:sz w:val="28"/>
          <w:szCs w:val="28"/>
        </w:rPr>
        <w:t xml:space="preserve">3.5. La red de nodos y la propagación de información</w:t>
      </w:r>
    </w:p>
    <w:p>
      <w:pPr>
        <w:spacing w:after="160" w:line="300"/>
        <w:jc w:val="both"/>
      </w:pPr>
      <w:r>
        <w:rPr>
          <w:rFonts w:ascii="Garamond" w:cs="Garamond" w:eastAsia="Garamond" w:hAnsi="Garamond"/>
          <w:sz w:val="24"/>
          <w:szCs w:val="24"/>
        </w:rPr>
        <w:t xml:space="preserve">El funcionamiento de Bitcoin descansa sobre una red de tipo par a par (peer-to-peer), en la cual los nodos se conectan entre sí de manera directa y descentralizada, sin depender de un servidor central que coordine la comunicación. Cuando un usuario difunde una transacción, esta se propaga de nodo en nodo —en un proceso conocido como gossip protocol— hasta alcanzar, en cuestión de segundos, a la práctica totalidad de los nodos activos de la red mundial.</w:t>
      </w:r>
    </w:p>
    <w:p>
      <w:pPr>
        <w:spacing w:after="160" w:line="300"/>
        <w:jc w:val="both"/>
      </w:pPr>
      <w:r>
        <w:rPr>
          <w:rFonts w:ascii="Garamond" w:cs="Garamond" w:eastAsia="Garamond" w:hAnsi="Garamond"/>
          <w:sz w:val="24"/>
          <w:szCs w:val="24"/>
        </w:rPr>
        <w:t xml:space="preserve">Cabe distinguir, dentro de la red, entre nodos completos (full nodes), que descargan, almacenan y verifican de manera independiente la totalidad del historial de la cadena de bloques desde su origen, y nodos ligeros (lightweight o SPV nodes, por Simplified Payment Verification), que, sin almacenar el historial completo, confían en la información provista por nodos completos para verificar de manera parcial la validez de determinadas transacciones, a costa de un menor grado de verificación independiente. La proporción y distribución geográfica de nodos completos operados por participantes no coordinados entre sí constituye, en la literatura técnica, uno de los indicadores empíricos habitualmente citados para evaluar el grado de descentralización efectiva de una red —cuestión con incidencia directa, como se verá en el Capítulo 10, sobre la calificación jurídica de un criptoactivo como valor negociable (security) o como mercancía (commodity) en jurisdicciones como los Estados Unidos.</w:t>
      </w:r>
    </w:p>
    <w:p>
      <w:pPr>
        <w:pStyle w:val="Heading2"/>
        <w:spacing w:after="180" w:before="360"/>
      </w:pPr>
      <w:r>
        <w:rPr>
          <w:rFonts w:ascii="Garamond" w:cs="Garamond" w:eastAsia="Garamond" w:hAnsi="Garamond"/>
          <w:b/>
          <w:bCs/>
          <w:color w:val="10233F"/>
          <w:sz w:val="28"/>
          <w:szCs w:val="28"/>
        </w:rPr>
        <w:t xml:space="preserve">3.6. Blockchain, base de datos distribuida y libro mayor distribuido: precisiones terminológicas</w:t>
      </w:r>
    </w:p>
    <w:p>
      <w:pPr>
        <w:spacing w:after="160" w:line="300"/>
        <w:jc w:val="both"/>
      </w:pPr>
      <w:r>
        <w:rPr>
          <w:rFonts w:ascii="Garamond" w:cs="Garamond" w:eastAsia="Garamond" w:hAnsi="Garamond"/>
          <w:sz w:val="24"/>
          <w:szCs w:val="24"/>
        </w:rPr>
        <w:t xml:space="preserve">La literatura de divulgación emplea con frecuencia, de manera intercambiable, los términos «blockchain», «tecnología de libro mayor distribuido» (Distributed Ledger Technology, DLT) y «base de datos distribuida», lo cual genera una imprecisión terminológica que conviene despejar para el lector contable. Toda blockchain es una forma particular de libro mayor distribuido, pero no todo libro mayor distribuido emplea una estructura de bloques encadenados: existen, por ejemplo, arquitecturas de grafo acíclico dirigido (Directed Acyclic Graph, DAG) que prescinden de la agrupación en bloques secuenciales. Asimismo, no toda base de datos distribuida constituye un libro mayor en sentido contable —es decir, un registro sistemático y cronológico de transacciones que afectan la titularidad de un activo—, ni emplea necesariamente mecanismos criptográficos de consenso descentralizado.</w:t>
      </w:r>
    </w:p>
    <w:p>
      <w:pPr>
        <w:spacing w:after="160" w:line="300"/>
        <w:jc w:val="both"/>
      </w:pPr>
      <w:r>
        <w:rPr>
          <w:rFonts w:ascii="Garamond" w:cs="Garamond" w:eastAsia="Garamond" w:hAnsi="Garamond"/>
          <w:sz w:val="24"/>
          <w:szCs w:val="24"/>
        </w:rPr>
        <w:t xml:space="preserve">Esta precisión resulta relevante porque buena parte de la literatura contable y de auditoría publicada por las grandes firmas internacionales entre 2016 y 2020 abordó la «tecnología blockchain» en términos genéricos, orientados principalmente a sus aplicaciones potenciales en la automatización de procesos de auditoría continua y en la trazabilidad de cadenas de suministro, sin distinguir con suficiente precisión entre esas aplicaciones empresariales de arquitecturas permisionadas y el caso específico de Bitcoin como red pública no permisionada que subyace a un activo objeto de reconocimiento contable. Esta obra se ocupa exclusivamente del segundo caso, remitiendo al lector interesado en las aplicaciones de auditoría continua sobre libros mayores distribuidos privados a la literatura especializada citada en la bibliografía general.</w:t>
      </w:r>
    </w:p>
    <w:p>
      <w:pPr>
        <w:pStyle w:val="Heading2"/>
        <w:spacing w:after="180" w:before="360"/>
      </w:pPr>
      <w:r>
        <w:rPr>
          <w:rFonts w:ascii="Garamond" w:cs="Garamond" w:eastAsia="Garamond" w:hAnsi="Garamond"/>
          <w:b/>
          <w:bCs/>
          <w:color w:val="10233F"/>
          <w:sz w:val="28"/>
          <w:szCs w:val="28"/>
        </w:rPr>
        <w:t xml:space="preserve">3.7. Síntesis del capítulo</w:t>
      </w:r>
    </w:p>
    <w:p>
      <w:pPr>
        <w:spacing w:after="160" w:line="300"/>
        <w:jc w:val="both"/>
      </w:pPr>
      <w:r>
        <w:rPr>
          <w:rFonts w:ascii="Garamond" w:cs="Garamond" w:eastAsia="Garamond" w:hAnsi="Garamond"/>
          <w:sz w:val="24"/>
          <w:szCs w:val="24"/>
        </w:rPr>
        <w:t xml:space="preserve">Este capítulo estableció los fundamentos técnicos mínimos indispensables para el análisis contable que se desarrolla en el resto de la obra: la función de hash criptográfico como mecanismo de encadenamiento e inmutabilidad práctica; la estructura de una transacción basada en el consumo y la generación de salidas no gastadas, que se retomará en el Capítulo 8 al abordar el modelo UTXO; la condición pública, distribuida y no permisionada de la red de Bitcoin, que la distingue de las blockchains privadas de consorcio y que plantea desafíos específicos de auditoría desarrollados en la Parte VI; y la precisión terminológica entre blockchain, libro mayor distribuido y base de datos distribuida, necesaria para evitar analogías contables inadecuadas. El Capítulo 4 continúa este desarrollo técnico abordando el mecanismo de consenso por prueba de trabajo y el proceso de minería, que determina cómo se crean nuevas unidades de Bitcoin y cómo se asegura, en términos económicos, la inmutabilidad del registro descrita en este capítulo.</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3</w:t>
      </w:r>
    </w:p>
    <w:p>
      <w:pPr>
        <w:spacing w:after="160"/>
        <w:ind w:left="480" w:hanging="480"/>
        <w:jc w:val="both"/>
      </w:pPr>
      <w:r>
        <w:rPr>
          <w:rFonts w:ascii="Garamond" w:cs="Garamond" w:eastAsia="Garamond" w:hAnsi="Garamond"/>
          <w:sz w:val="22"/>
          <w:szCs w:val="22"/>
        </w:rPr>
        <w:t xml:space="preserve">Antonopoulos, A. M. (2017). Mastering Bitcoin: Programming the open blockchain (2.ª ed.). O'Reilly Media.</w:t>
      </w:r>
    </w:p>
    <w:p>
      <w:pPr>
        <w:spacing w:after="160"/>
        <w:ind w:left="480" w:hanging="480"/>
        <w:jc w:val="both"/>
      </w:pPr>
      <w:r>
        <w:rPr>
          <w:rFonts w:ascii="Garamond" w:cs="Garamond" w:eastAsia="Garamond" w:hAnsi="Garamond"/>
          <w:sz w:val="22"/>
          <w:szCs w:val="22"/>
        </w:rPr>
        <w:t xml:space="preserve">Nakamoto, S. (2008). Bitcoin: A peer-to-peer electronic cash system. https://bitcoin.org/bitcoin.pdf</w:t>
      </w:r>
    </w:p>
    <w:p>
      <w:pPr>
        <w:spacing w:after="160"/>
        <w:ind w:left="480" w:hanging="480"/>
        <w:jc w:val="both"/>
      </w:pPr>
      <w:r>
        <w:rPr>
          <w:rFonts w:ascii="Garamond" w:cs="Garamond" w:eastAsia="Garamond" w:hAnsi="Garamond"/>
          <w:sz w:val="22"/>
          <w:szCs w:val="22"/>
        </w:rPr>
        <w:t xml:space="preserve">Narayanan, A., Bonneau, J., Felten, E., Miller, A., y Goldfeder, S. (2016). Bitcoin and cryptocurrency technologies: A comprehensive introduction. Princeton University Press.</w:t>
      </w:r>
    </w:p>
    <w:p>
      <w:pPr>
        <w:spacing w:after="160"/>
        <w:ind w:left="480" w:hanging="480"/>
        <w:jc w:val="both"/>
      </w:pPr>
      <w:r>
        <w:rPr>
          <w:rFonts w:ascii="Garamond" w:cs="Garamond" w:eastAsia="Garamond" w:hAnsi="Garamond"/>
          <w:sz w:val="22"/>
          <w:szCs w:val="22"/>
        </w:rPr>
        <w:t xml:space="preserve">National Institute of Standards and Technology. (2015). Secure Hash Standard (SHS) (FIPS PUB 180-4). U.S. Department of Commerce. https://doi.org/10.6028/NIST.FIPS.180-4</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4</w:t>
      </w:r>
    </w:p>
    <w:p>
      <w:pPr>
        <w:spacing w:after="400"/>
      </w:pPr>
      <w:r>
        <w:rPr>
          <w:rFonts w:ascii="Garamond" w:cs="Garamond" w:eastAsia="Garamond" w:hAnsi="Garamond"/>
          <w:b/>
          <w:bCs/>
          <w:color w:val="9C7A2E"/>
          <w:sz w:val="40"/>
          <w:szCs w:val="40"/>
        </w:rPr>
        <w:t xml:space="preserve">Minería y mecanismos de consenso</w:t>
      </w:r>
    </w:p>
    <w:p>
      <w:pPr>
        <w:pStyle w:val="Heading2"/>
        <w:spacing w:after="180" w:before="360"/>
      </w:pPr>
      <w:r>
        <w:rPr>
          <w:rFonts w:ascii="Garamond" w:cs="Garamond" w:eastAsia="Garamond" w:hAnsi="Garamond"/>
          <w:b/>
          <w:bCs/>
          <w:color w:val="10233F"/>
          <w:sz w:val="28"/>
          <w:szCs w:val="28"/>
        </w:rPr>
        <w:t xml:space="preserve">4.1. Introducción: el problema del consenso distribuido</w:t>
      </w:r>
    </w:p>
    <w:p>
      <w:pPr>
        <w:spacing w:after="160" w:line="300"/>
        <w:jc w:val="both"/>
      </w:pPr>
      <w:r>
        <w:rPr>
          <w:rFonts w:ascii="Garamond" w:cs="Garamond" w:eastAsia="Garamond" w:hAnsi="Garamond"/>
          <w:sz w:val="24"/>
          <w:szCs w:val="24"/>
        </w:rPr>
        <w:t xml:space="preserve">El Capítulo 3 describió la estructura de la cadena de bloques y la propagación de transacciones entre nodos, pero dejó pendiente una pregunta central: en una red pública, distribuida y no permisionada, en la que cualquier participante puede proponer transacciones y en la que no existe autoridad central alguna, ¿cómo se determina cuál es la versión válida y única del historial de transacciones cuando, en principio, cualquier nodo podría proponer una versión distinta? Este es, en esencia, el problema del consenso distribuido, formalizado en la literatura de ciencias de la computación como el problema de los generales bizantinos (Lamport, Shostak y Pease, 1982), que plantea cómo lograr que un conjunto de agentes que se comunican por canales no confiables, y entre los cuales puede haber participantes maliciosos, alcancen acuerdo sobre un curso de acción común.</w:t>
      </w:r>
    </w:p>
    <w:p>
      <w:pPr>
        <w:spacing w:after="160" w:line="300"/>
        <w:jc w:val="both"/>
      </w:pPr>
      <w:r>
        <w:rPr>
          <w:rFonts w:ascii="Garamond" w:cs="Garamond" w:eastAsia="Garamond" w:hAnsi="Garamond"/>
          <w:sz w:val="24"/>
          <w:szCs w:val="24"/>
        </w:rPr>
        <w:t xml:space="preserve">La solución que Satoshi Nakamoto aportó a este problema —la combinación de un mecanismo de prueba de trabajo (proof of work) con una regla de elección de la cadena más larga (o, más precisamente, de mayor trabajo acumulado)— constituye, según buena parte de la literatura técnica especializada, el aporte conceptual más original y significativo del diseño de Bitcoin, por encima incluso de la propia estructura de cadena de bloques, cuyos antecedentes ya fueron identificados en el Capítulo 2. Este capítulo describe ese mecanismo, el proceso de minería que lo implementa, y sus implicancias económicas y contables.</w:t>
      </w:r>
    </w:p>
    <w:p>
      <w:pPr>
        <w:pStyle w:val="Heading2"/>
        <w:spacing w:after="180" w:before="360"/>
      </w:pPr>
      <w:r>
        <w:rPr>
          <w:rFonts w:ascii="Garamond" w:cs="Garamond" w:eastAsia="Garamond" w:hAnsi="Garamond"/>
          <w:b/>
          <w:bCs/>
          <w:color w:val="10233F"/>
          <w:sz w:val="28"/>
          <w:szCs w:val="28"/>
        </w:rPr>
        <w:t xml:space="preserve">4.2. La prueba de trabajo (Proof of Work)</w:t>
      </w:r>
    </w:p>
    <w:p>
      <w:pPr>
        <w:spacing w:after="160" w:line="300"/>
        <w:jc w:val="both"/>
      </w:pPr>
      <w:r>
        <w:rPr>
          <w:rFonts w:ascii="Garamond" w:cs="Garamond" w:eastAsia="Garamond" w:hAnsi="Garamond"/>
          <w:sz w:val="24"/>
          <w:szCs w:val="24"/>
        </w:rPr>
        <w:t xml:space="preserve">El mecanismo de prueba de trabajo exige que, para que un participante de la red —denominado minero— tenga derecho a proponer el siguiente bloque válido de la cadena, deba encontrar, mediante ensayo y error computacional, un valor numérico (denominado nonce, por number used once) que, combinado con los datos del bloque candidato y sometido a la función de hash SHA-256 descrita en el Capítulo 3, produzca un resultado que sea inferior a un umbral determinado por la red, conocido como el objetivo de dificultad (difficulty target).</w:t>
      </w:r>
    </w:p>
    <w:p>
      <w:pPr>
        <w:spacing w:after="160" w:line="300"/>
        <w:jc w:val="both"/>
      </w:pPr>
      <w:r>
        <w:rPr>
          <w:rFonts w:ascii="Garamond" w:cs="Garamond" w:eastAsia="Garamond" w:hAnsi="Garamond"/>
          <w:sz w:val="24"/>
          <w:szCs w:val="24"/>
        </w:rPr>
        <w:t xml:space="preserve">La propiedad crucial de este mecanismo es su asimetría: encontrar un nonce válido exige, en promedio, un número enorme de intentos de ensayo y error —del orden de billones de billones de cálculos por segundo en la red agregada actual—, mientras que verificar que un nonce propuesto efectivamente satisface el objetivo de dificultad exige un único cálculo de hash, trivial en términos computacionales. Esta asimetría entre el costo de proponer y el costo de verificar es la que confiere seguridad económica al sistema: alterar retroactivamente el historial exigiría recalcular la prueba de trabajo de todos los bloques posteriores al que se pretende modificar, a una velocidad superior a la del resto de la red honesta combinada, lo cual —en una red con el poder computacional agregado (hashrate) que Bitcoin exhibe en la actualidad— resulta económicamente inviable para cualquier atacante individual o coalición que no controle una mayoría absoluta de ese poder computacional, escenario conocido en la literatura como «ataque del 51%».</w:t>
      </w:r>
    </w:p>
    <w:p>
      <w:pPr>
        <w:spacing w:after="160" w:line="300"/>
        <w:jc w:val="both"/>
      </w:pPr>
      <w:r>
        <w:rPr>
          <w:rFonts w:ascii="Garamond" w:cs="Garamond" w:eastAsia="Garamond" w:hAnsi="Garamond"/>
          <w:sz w:val="24"/>
          <w:szCs w:val="24"/>
        </w:rPr>
        <w:t xml:space="preserve">El ajuste de dificultad constituye el mecanismo de retroalimentación que mantiene aproximadamente constante el tiempo promedio de generación de un nuevo bloque —diez minutos, según el diseño original del protocolo—, con independencia de cuánto poder computacional se sume o se retire de la red. Cada 2.016 bloques (aproximadamente cada dos semanas), el protocolo recalcula automáticamente el objetivo de dificultad en función del tiempo efectivamente insumido en generar el lote de bloques anterior, incrementando la dificultad si los bloques se generaron más rápido que el objetivo de diez minutos, y reduciéndola en caso contrario.</w:t>
      </w:r>
    </w:p>
    <w:p>
      <w:pPr>
        <w:pStyle w:val="Heading2"/>
        <w:spacing w:after="180" w:before="360"/>
      </w:pPr>
      <w:r>
        <w:rPr>
          <w:rFonts w:ascii="Garamond" w:cs="Garamond" w:eastAsia="Garamond" w:hAnsi="Garamond"/>
          <w:b/>
          <w:bCs/>
          <w:color w:val="10233F"/>
          <w:sz w:val="28"/>
          <w:szCs w:val="28"/>
        </w:rPr>
        <w:t xml:space="preserve">4.3. El proceso de minería: de la CPU a los circuitos ASIC</w:t>
      </w:r>
    </w:p>
    <w:p>
      <w:pPr>
        <w:spacing w:after="160" w:line="300"/>
        <w:jc w:val="both"/>
      </w:pPr>
      <w:r>
        <w:rPr>
          <w:rFonts w:ascii="Garamond" w:cs="Garamond" w:eastAsia="Garamond" w:hAnsi="Garamond"/>
          <w:sz w:val="24"/>
          <w:szCs w:val="24"/>
        </w:rPr>
        <w:t xml:space="preserve">En los primeros años de existencia de Bitcoin, el proceso de minería podía realizarse de manera rentable utilizando el procesador central (CPU) de una computadora personal convencional, dado el reducido poder computacional agregado de la red en ese período inicial. La creciente incorporación de participantes y el consiguiente aumento de la dificultad impulsaron una sucesión de saltos tecnológicos en el hardware de minería: primero hacia las unidades de procesamiento gráfico (GPU), originalmente diseñadas para el renderizado de imágenes pero con arquitectura paralela más eficiente para el cálculo repetitivo de hashes; luego hacia dispositivos programables de lógica en campo (FPGA); y finalmente, desde aproximadamente 2013, hacia circuitos integrados de aplicación específica (Application-Specific Integrated Circuits, ASIC), diseñados y fabricados con el único propósito de calcular hashes SHA-256 con la máxima eficiencia energética posible, y que constituyen desde entonces el estándar exclusivo de la minería competitiva de Bitcoin a escala industrial.</w:t>
      </w:r>
    </w:p>
    <w:p>
      <w:pPr>
        <w:spacing w:after="160" w:line="300"/>
        <w:jc w:val="both"/>
      </w:pPr>
      <w:r>
        <w:rPr>
          <w:rFonts w:ascii="Garamond" w:cs="Garamond" w:eastAsia="Garamond" w:hAnsi="Garamond"/>
          <w:sz w:val="24"/>
          <w:szCs w:val="24"/>
        </w:rPr>
        <w:t xml:space="preserve">Esta evolución tecnológica tiene una consecuencia económica directa y relevante para el contador que deba auditar o valuar una operación de minería: la actividad ha migrado progresivamente de un pasatiempo individual y de bajo costo de entrada hacia una industria intensiva en capital, caracterizada por inversiones significativas en hardware especializado (con una vida útil económica limitada, típicamente estimada entre dos y cinco años, debido a la obsolescencia tecnológica acelerada) y por un componente de costo operativo dominado por el consumo de energía eléctrica, lo cual plantea, como se desarrollará en el Capítulo 24, cuestiones específicas de reconocimiento de activos fijos, amortización y determinación del costo de los bitcoins obtenidos como recompensa de minería.</w:t>
      </w:r>
    </w:p>
    <w:p>
      <w:pPr>
        <w:spacing w:after="160" w:line="300"/>
        <w:jc w:val="both"/>
      </w:pPr>
      <w:r>
        <w:rPr>
          <w:rFonts w:ascii="Garamond" w:cs="Garamond" w:eastAsia="Garamond" w:hAnsi="Garamond"/>
          <w:sz w:val="24"/>
          <w:szCs w:val="24"/>
        </w:rPr>
        <w:t xml:space="preserve">La organización de la actividad minera en pools o «piscinas» de minería —agrupamientos cooperativos de mineros individuales que combinan su poder computacional y distribuyen las recompensas obtenidas de manera proporcional al aporte de cada participante, reduciendo la varianza de ingresos que enfrentaría un minero individual operando en solitario frente a la probabilidad estadísticamente baja de resolver un bloque de manera aislada— constituye hoy la forma dominante de organización de la minería a escala global, con implicancias sobre la concentración geográfica y económica de la actividad que han sido objeto de escrutinio regulatorio, particularmente en materia de prevención de lavado de activos, cuestión que se retomará en el Capítulo 33.</w:t>
      </w:r>
    </w:p>
    <w:p>
      <w:pPr>
        <w:pStyle w:val="Heading2"/>
        <w:spacing w:after="180" w:before="360"/>
      </w:pPr>
      <w:r>
        <w:rPr>
          <w:rFonts w:ascii="Garamond" w:cs="Garamond" w:eastAsia="Garamond" w:hAnsi="Garamond"/>
          <w:b/>
          <w:bCs/>
          <w:color w:val="10233F"/>
          <w:sz w:val="28"/>
          <w:szCs w:val="28"/>
        </w:rPr>
        <w:t xml:space="preserve">4.4. La recompensa de bloque, el halving y la emisión monetaria</w:t>
      </w:r>
    </w:p>
    <w:p>
      <w:pPr>
        <w:spacing w:after="160" w:line="300"/>
        <w:jc w:val="both"/>
      </w:pPr>
      <w:r>
        <w:rPr>
          <w:rFonts w:ascii="Garamond" w:cs="Garamond" w:eastAsia="Garamond" w:hAnsi="Garamond"/>
          <w:sz w:val="24"/>
          <w:szCs w:val="24"/>
        </w:rPr>
        <w:t xml:space="preserve">El minero que resuelve exitosamente un bloque recibe dos fuentes de ingreso: la recompensa de bloque (block subsidy), consistente en una cantidad determinada de bitcoins recién acuñados por el propio protocolo mediante la transacción coinbase mencionada en el Capítulo 2, y la totalidad de las comisiones (fees) de las transacciones incluidas en ese bloque, descritas en el Capítulo 3.</w:t>
      </w:r>
    </w:p>
    <w:p>
      <w:pPr>
        <w:spacing w:after="160" w:line="300"/>
        <w:jc w:val="both"/>
      </w:pPr>
      <w:r>
        <w:rPr>
          <w:rFonts w:ascii="Garamond" w:cs="Garamond" w:eastAsia="Garamond" w:hAnsi="Garamond"/>
          <w:sz w:val="24"/>
          <w:szCs w:val="24"/>
        </w:rPr>
        <w:t xml:space="preserve">La recompensa de bloque comenzó en 50 bitcoins por bloque en 2009, y se reduce a la mitad cada 210.000 bloques (aproximadamente cada cuatro años), en el evento conocido como halving, mencionado ya en el Capítulo 2. Esta reducción programada y algorítmicamente verificable —sin intervención discrecional de autoridad alguna— es el mecanismo mediante el cual el protocolo garantiza que la oferta total de bitcoins converja asintóticamente hacia el límite de 21.000.000 de unidades, estimándose la emisión del último satoshi (la unidad más pequeña de Bitcoin, equivalente a 0,00000001 bitcoin, en homenaje a Satoshi Nakamoto) hacia el año 2140.</w:t>
      </w:r>
    </w:p>
    <w:p>
      <w:pPr>
        <w:spacing w:after="160" w:line="300"/>
        <w:jc w:val="both"/>
      </w:pPr>
      <w:r>
        <w:rPr>
          <w:rFonts w:ascii="Garamond" w:cs="Garamond" w:eastAsia="Garamond" w:hAnsi="Garamond"/>
          <w:sz w:val="24"/>
          <w:szCs w:val="24"/>
        </w:rPr>
        <w:t xml:space="preserve">Esta trayectoria de emisión decreciente plantea, de cara al futuro de largo plazo del protocolo, una cuestión económica relevante que la literatura técnica denomina el «problema de la seguridad a largo plazo»: a medida que la recompensa de bloque tienda a cero, la seguridad económica de la red —es decir, el incentivo de los mineros para destinar poder computacional a la validación honesta de bloques— dependerá progresivamente, y en algún momento exclusivamente, de las comisiones de transacción, lo cual exige que el volumen y el valor de las transacciones procesadas crezcan en una magnitud suficiente para sostener el nivel de seguridad que hoy provee la recompensa de bloque. Se trata de una cuestión abierta en la literatura económica sobre Bitcoin, que excede el objeto contable de esta obra, pero que resulta pertinente mencionar por su eventual incidencia en la evaluación de riesgo a largo plazo que un auditor o un analista financiero pudiera considerar al dictaminar sobre la sostenibilidad de un modelo de negocio fuertemente dependiente de la minería.</w:t>
      </w:r>
    </w:p>
    <w:p>
      <w:pPr>
        <w:pStyle w:val="Heading2"/>
        <w:spacing w:after="180" w:before="360"/>
      </w:pPr>
      <w:r>
        <w:rPr>
          <w:rFonts w:ascii="Garamond" w:cs="Garamond" w:eastAsia="Garamond" w:hAnsi="Garamond"/>
          <w:b/>
          <w:bCs/>
          <w:color w:val="10233F"/>
          <w:sz w:val="28"/>
          <w:szCs w:val="28"/>
        </w:rPr>
        <w:t xml:space="preserve">4.5. Mecanismos de consenso alternativos: una precisión conceptual</w:t>
      </w:r>
    </w:p>
    <w:p>
      <w:pPr>
        <w:spacing w:after="160" w:line="300"/>
        <w:jc w:val="both"/>
      </w:pPr>
      <w:r>
        <w:rPr>
          <w:rFonts w:ascii="Garamond" w:cs="Garamond" w:eastAsia="Garamond" w:hAnsi="Garamond"/>
          <w:sz w:val="24"/>
          <w:szCs w:val="24"/>
        </w:rPr>
        <w:t xml:space="preserve">Resulta pertinente, a los fines de evitar equívocos frecuentes en la literatura de divulgación, distinguir la prueba de trabajo empleada por Bitcoin de otros mecanismos de consenso adoptados por redes de criptoactivos posteriores, en particular la prueba de participación (Proof of Stake), en la cual el derecho a proponer el siguiente bloque no depende de la resolución de un problema computacional costoso, sino de la cantidad de criptomoneda que el validador posee y «bloquea» como garantía dentro del propio protocolo. Ethereum, la segunda red de criptoactivos por capitalización de mercado, migró de prueba de trabajo a prueba de participación en septiembre de 2022, en un evento conocido como «The Merge».</w:t>
      </w:r>
    </w:p>
    <w:p>
      <w:pPr>
        <w:spacing w:after="160" w:line="300"/>
        <w:jc w:val="both"/>
      </w:pPr>
      <w:r>
        <w:rPr>
          <w:rFonts w:ascii="Garamond" w:cs="Garamond" w:eastAsia="Garamond" w:hAnsi="Garamond"/>
          <w:sz w:val="24"/>
          <w:szCs w:val="24"/>
        </w:rPr>
        <w:t xml:space="preserve">Esta distinción no es un dato técnico menor para el contador: el consumo energético, la estructura de costos de la actividad de validación, y —como se verá en el Capítulo 18— el eventual tratamiento fiscal de las recompensas obtenidas por participar del consenso (staking rewards, en el caso de prueba de participación, frente a la minería en el caso de prueba de trabajo) difieren sustancialmente entre ambos mecanismos, y buena parte de la literatura tributaria internacional —incluyendo pronunciamientos del Internal Revenue Service de los Estados Unidos— ha comenzado a distinguir expresamente entre ambos supuestos a efectos de determinar el momento y la naturaleza del hecho imponible. Bitcoin, cabe aclararlo, no ha adoptado ni tiene previsto adoptar prueba de participación: su mecanismo de consenso continúa siendo, desde el bloque génesis de 2009 hasta la fecha de esta edición, la prueba de trabajo originalmente diseñada por Nakamoto, sin que exista dentro de la comunidad de desarrolladores y usuarios de Bitcoin una propuesta seria o mayoritariamente respaldada de modificar ese mecanismo fundamental.</w:t>
      </w:r>
    </w:p>
    <w:p>
      <w:pPr>
        <w:pStyle w:val="Heading2"/>
        <w:spacing w:after="180" w:before="360"/>
      </w:pPr>
      <w:r>
        <w:rPr>
          <w:rFonts w:ascii="Garamond" w:cs="Garamond" w:eastAsia="Garamond" w:hAnsi="Garamond"/>
          <w:b/>
          <w:bCs/>
          <w:color w:val="10233F"/>
          <w:sz w:val="28"/>
          <w:szCs w:val="28"/>
        </w:rPr>
        <w:t xml:space="preserve">4.6. El consumo energético de la minería: estado del debate</w:t>
      </w:r>
    </w:p>
    <w:p>
      <w:pPr>
        <w:spacing w:after="160" w:line="300"/>
        <w:jc w:val="both"/>
      </w:pPr>
      <w:r>
        <w:rPr>
          <w:rFonts w:ascii="Garamond" w:cs="Garamond" w:eastAsia="Garamond" w:hAnsi="Garamond"/>
          <w:sz w:val="24"/>
          <w:szCs w:val="24"/>
        </w:rPr>
        <w:t xml:space="preserve">El consumo eléctrico agregado de la red de minería de Bitcoin ha sido objeto de un intenso debate público y académico, en el cual coexisten posiciones doctrinarias claramente diferenciadas que, en honor a la exhaustividad exigida a esta obra, corresponde exponer sin sesgo hacia ninguna de ellas.</w:t>
      </w:r>
    </w:p>
    <w:p>
      <w:pPr>
        <w:spacing w:after="160" w:line="300"/>
        <w:jc w:val="both"/>
      </w:pPr>
      <w:r>
        <w:rPr>
          <w:rFonts w:ascii="Garamond" w:cs="Garamond" w:eastAsia="Garamond" w:hAnsi="Garamond"/>
          <w:sz w:val="24"/>
          <w:szCs w:val="24"/>
        </w:rPr>
        <w:t xml:space="preserve">Una primera posición, de carácter crítico, sostiene que el consumo energético de la minería de Bitcoin —estimado por diversos observatorios académicos, entre ellos el Cambridge Centre for Alternative Finance, en un orden de magnitud comparable al consumo eléctrico anual de países de tamaño mediano— constituye un costo ambiental y social difícil de justificar frente a los beneficios económicos que la red provee, y ha motivado propuestas regulatorias restrictivas en diversas jurisdicciones, entre ellas ciertos estados de la Unión Europea durante el debate previo a la sanción del Reglamento de Mercados de Criptoactivos (MiCA).</w:t>
      </w:r>
    </w:p>
    <w:p>
      <w:pPr>
        <w:spacing w:after="160" w:line="300"/>
        <w:jc w:val="both"/>
      </w:pPr>
      <w:r>
        <w:rPr>
          <w:rFonts w:ascii="Garamond" w:cs="Garamond" w:eastAsia="Garamond" w:hAnsi="Garamond"/>
          <w:sz w:val="24"/>
          <w:szCs w:val="24"/>
        </w:rPr>
        <w:t xml:space="preserve">Una segunda posición, sostenida principalmente por defensores de la industria minera y por parte de la literatura energética especializada, argumenta que la minería de Bitcoin presenta características únicas que la distinguen de otras industrias intensivas en energía: su capacidad de operar en ubicaciones geográficas remotas y de conectarse o desconectarse de la red eléctrica con flexibilidad casi inmediata la convierte en una carga interrumpible ideal para el aprovechamiento de excedentes energéticos que de otro modo se perderían —energía hidroeléctrica estacional, gas de venteo (flare gas) que de otro modo sería quemado sin aprovechamiento en yacimientos petrolíferos, o excedentes de generación renovable intermitente en horarios de baja demanda—, y que, en consecuencia, la minería puede operar como un mecanismo de estabilización de redes eléctricas y de monetización de energía que de otro modo se desperdiciaría.</w:t>
      </w:r>
    </w:p>
    <w:p>
      <w:pPr>
        <w:spacing w:after="160" w:line="300"/>
        <w:jc w:val="both"/>
      </w:pPr>
      <w:r>
        <w:rPr>
          <w:rFonts w:ascii="Garamond" w:cs="Garamond" w:eastAsia="Garamond" w:hAnsi="Garamond"/>
          <w:sz w:val="24"/>
          <w:szCs w:val="24"/>
        </w:rPr>
        <w:t xml:space="preserve">Para los fines de esta obra, esta controversia no incide directamente sobre el tratamiento contable de Bitcoin como activo, pero sí resulta relevante en dos planos que se retomarán en capítulos posteriores: primero, en la evaluación de riesgos de sostenibilidad y de reporte de información no financiera (ESG) que las entidades que minan o invierten significativamente en Bitcoin pueden verse exigidas a divulgar en sus estados contables o informes complementarios; y segundo, en el eventual tratamiento impositivo diferencial que ciertas jurisdicciones han comenzado a explorar para la actividad de minería en función de la fuente energética utilizada, cuestión que se abordará al tratar la tributación internacional comparada en el Capítulo 30.</w:t>
      </w:r>
    </w:p>
    <w:p>
      <w:pPr>
        <w:pStyle w:val="Heading2"/>
        <w:spacing w:after="180" w:before="360"/>
      </w:pPr>
      <w:r>
        <w:rPr>
          <w:rFonts w:ascii="Garamond" w:cs="Garamond" w:eastAsia="Garamond" w:hAnsi="Garamond"/>
          <w:b/>
          <w:bCs/>
          <w:color w:val="10233F"/>
          <w:sz w:val="28"/>
          <w:szCs w:val="28"/>
        </w:rPr>
        <w:t xml:space="preserve">4.7. Síntesis del capítulo</w:t>
      </w:r>
    </w:p>
    <w:p>
      <w:pPr>
        <w:spacing w:after="160" w:line="300"/>
        <w:jc w:val="both"/>
      </w:pPr>
      <w:r>
        <w:rPr>
          <w:rFonts w:ascii="Garamond" w:cs="Garamond" w:eastAsia="Garamond" w:hAnsi="Garamond"/>
          <w:sz w:val="24"/>
          <w:szCs w:val="24"/>
        </w:rPr>
        <w:t xml:space="preserve">Este capítulo describió el mecanismo de prueba de trabajo como solución original de Bitcoin al problema del consenso distribuido, la evolución tecnológica del hardware de minería desde la CPU hasta el circuito ASIC, la estructura de incentivos económicos compuesta por la recompensa de bloque decreciente y las comisiones de transacción, y el debate doctrinario en torno al consumo energético de la actividad. Estos elementos resultan indispensables para los desarrollos posteriores de la obra: el Capítulo 24 retomará la minería al abordar el reconocimiento contable y la determinación del costo de los bitcoins obtenidos como recompensa; el Capítulo 26 abordará su tratamiento bajo el Impuesto a las Ganancias; y el Capítulo 33 retomará la organización de la actividad en pools de minería al tratar las exigencias de prevención de lavado de activos aplicables a estos agentes. El Capítulo 5 continúa el desarrollo técnico de la obra abordando la Lightning Network, la principal solución de segunda capa diseñada para superar las limitaciones de capacidad de procesamiento de transacciones que el mecanismo de consenso descrito en este capítulo impone sobre la capa base de Bitcoin.</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4</w:t>
      </w:r>
    </w:p>
    <w:p>
      <w:pPr>
        <w:spacing w:after="160"/>
        <w:ind w:left="480" w:hanging="480"/>
        <w:jc w:val="both"/>
      </w:pPr>
      <w:r>
        <w:rPr>
          <w:rFonts w:ascii="Garamond" w:cs="Garamond" w:eastAsia="Garamond" w:hAnsi="Garamond"/>
          <w:sz w:val="22"/>
          <w:szCs w:val="22"/>
        </w:rPr>
        <w:t xml:space="preserve">Cambridge Centre for Alternative Finance. (2024). Cambridge Bitcoin Electricity Consumption Index. University of Cambridge Judge Business School. https://ccaf.io/cbnsi/cbeci</w:t>
      </w:r>
    </w:p>
    <w:p>
      <w:pPr>
        <w:spacing w:after="160"/>
        <w:ind w:left="480" w:hanging="480"/>
        <w:jc w:val="both"/>
      </w:pPr>
      <w:r>
        <w:rPr>
          <w:rFonts w:ascii="Garamond" w:cs="Garamond" w:eastAsia="Garamond" w:hAnsi="Garamond"/>
          <w:sz w:val="22"/>
          <w:szCs w:val="22"/>
        </w:rPr>
        <w:t xml:space="preserve">Lamport, L., Shostak, R., y Pease, M. (1982). The Byzantine generals problem. ACM Transactions on Programming Languages and Systems, 4(3), 382-401.</w:t>
      </w:r>
    </w:p>
    <w:p>
      <w:pPr>
        <w:spacing w:after="160"/>
        <w:ind w:left="480" w:hanging="480"/>
        <w:jc w:val="both"/>
      </w:pPr>
      <w:r>
        <w:rPr>
          <w:rFonts w:ascii="Garamond" w:cs="Garamond" w:eastAsia="Garamond" w:hAnsi="Garamond"/>
          <w:sz w:val="22"/>
          <w:szCs w:val="22"/>
        </w:rPr>
        <w:t xml:space="preserve">Nakamoto, S. (2008). Bitcoin: A peer-to-peer electronic cash system. https://bitcoin.org/bitcoin.pdf</w:t>
      </w:r>
    </w:p>
    <w:p>
      <w:pPr>
        <w:spacing w:after="160"/>
        <w:ind w:left="480" w:hanging="480"/>
        <w:jc w:val="both"/>
      </w:pPr>
      <w:r>
        <w:rPr>
          <w:rFonts w:ascii="Garamond" w:cs="Garamond" w:eastAsia="Garamond" w:hAnsi="Garamond"/>
          <w:sz w:val="22"/>
          <w:szCs w:val="22"/>
        </w:rPr>
        <w:t xml:space="preserve">Narayanan, A., Bonneau, J., Felten, E., Miller, A., y Goldfeder, S. (2016). Bitcoin and cryptocurrency technologies: A comprehensive introduction. Princeton University Press.</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5</w:t>
      </w:r>
    </w:p>
    <w:p>
      <w:pPr>
        <w:spacing w:after="400"/>
      </w:pPr>
      <w:r>
        <w:rPr>
          <w:rFonts w:ascii="Garamond" w:cs="Garamond" w:eastAsia="Garamond" w:hAnsi="Garamond"/>
          <w:b/>
          <w:bCs/>
          <w:color w:val="9C7A2E"/>
          <w:sz w:val="40"/>
          <w:szCs w:val="40"/>
        </w:rPr>
        <w:t xml:space="preserve">Lightning Network</w:t>
      </w:r>
    </w:p>
    <w:p>
      <w:pPr>
        <w:pStyle w:val="Heading2"/>
        <w:spacing w:after="180" w:before="360"/>
      </w:pPr>
      <w:r>
        <w:rPr>
          <w:rFonts w:ascii="Garamond" w:cs="Garamond" w:eastAsia="Garamond" w:hAnsi="Garamond"/>
          <w:b/>
          <w:bCs/>
          <w:color w:val="10233F"/>
          <w:sz w:val="28"/>
          <w:szCs w:val="28"/>
        </w:rPr>
        <w:t xml:space="preserve">5.1. Introducción: el problema de la escalabilidad</w:t>
      </w:r>
    </w:p>
    <w:p>
      <w:pPr>
        <w:spacing w:after="160" w:line="300"/>
        <w:jc w:val="both"/>
      </w:pPr>
      <w:r>
        <w:rPr>
          <w:rFonts w:ascii="Garamond" w:cs="Garamond" w:eastAsia="Garamond" w:hAnsi="Garamond"/>
          <w:sz w:val="24"/>
          <w:szCs w:val="24"/>
        </w:rPr>
        <w:t xml:space="preserve">Los capítulos precedentes describieron un mecanismo de consenso —la prueba de trabajo— que garantiza la seguridad e inmutabilidad práctica del registro de Bitcoin, pero que impone, como contrapartida, una limitación estructural de capacidad: un nuevo bloque se genera, en promedio, cada diez minutos, y el tamaño de cada bloque se encuentra acotado por el protocolo, lo cual establece un límite superior al número de transacciones que la capa base (layer 1) de Bitcoin puede procesar por unidad de tiempo, estimado en la práctica en un rango de entre cinco y siete transacciones por segundo en condiciones ordinarias de uso del espacio de bloque.</w:t>
      </w:r>
    </w:p>
    <w:p>
      <w:pPr>
        <w:spacing w:after="160" w:line="300"/>
        <w:jc w:val="both"/>
      </w:pPr>
      <w:r>
        <w:rPr>
          <w:rFonts w:ascii="Garamond" w:cs="Garamond" w:eastAsia="Garamond" w:hAnsi="Garamond"/>
          <w:sz w:val="24"/>
          <w:szCs w:val="24"/>
        </w:rPr>
        <w:t xml:space="preserve">Esta limitación —conocida en la literatura técnica como el «trilema de la escalabilidad», que postula la dificultad de optimizar simultáneamente la descentralización, la seguridad y la escalabilidad de una red de consenso distribuido sin sacrificar alguna de las tres— generó, ya desde 2015, un intenso debate técnico y comunitario sobre la mejor estrategia para permitir que Bitcoin procesara un volumen de transacciones compatible con su eventual adopción como medio de pago cotidiano a escala global, sin comprometer la descentralización que constituye su atributo definitorio. La Lightning Network, propuesta formalmente en 2015 por Joseph Poon y Thaddeus Dryja y desplegada de manera operativa sobre la red principal de Bitcoin desde 2018, constituye la solución de «segunda capa» (layer 2) que goza hoy de mayor adopción práctica dentro de ese debate, y es objeto de este capítulo.</w:t>
      </w:r>
    </w:p>
    <w:p>
      <w:pPr>
        <w:pStyle w:val="Heading2"/>
        <w:spacing w:after="180" w:before="360"/>
      </w:pPr>
      <w:r>
        <w:rPr>
          <w:rFonts w:ascii="Garamond" w:cs="Garamond" w:eastAsia="Garamond" w:hAnsi="Garamond"/>
          <w:b/>
          <w:bCs/>
          <w:color w:val="10233F"/>
          <w:sz w:val="28"/>
          <w:szCs w:val="28"/>
        </w:rPr>
        <w:t xml:space="preserve">5.2. El concepto de canal de pago</w:t>
      </w:r>
    </w:p>
    <w:p>
      <w:pPr>
        <w:spacing w:after="160" w:line="300"/>
        <w:jc w:val="both"/>
      </w:pPr>
      <w:r>
        <w:rPr>
          <w:rFonts w:ascii="Garamond" w:cs="Garamond" w:eastAsia="Garamond" w:hAnsi="Garamond"/>
          <w:sz w:val="24"/>
          <w:szCs w:val="24"/>
        </w:rPr>
        <w:t xml:space="preserve">La idea central de la Lightning Network consiste en permitir que dos partes realicen un número arbitrariamente elevado de transacciones entre sí sin necesidad de registrar cada una de ellas individualmente en la cadena de bloques de Bitcoin (on-chain), sino únicamente dos transacciones on-chain: una de apertura de un canal de pago bilateral, y otra —eventual, no siempre necesaria de manera inmediata— de cierre de ese canal.</w:t>
      </w:r>
    </w:p>
    <w:p>
      <w:pPr>
        <w:spacing w:after="160" w:line="300"/>
        <w:jc w:val="both"/>
      </w:pPr>
      <w:r>
        <w:rPr>
          <w:rFonts w:ascii="Garamond" w:cs="Garamond" w:eastAsia="Garamond" w:hAnsi="Garamond"/>
          <w:sz w:val="24"/>
          <w:szCs w:val="24"/>
        </w:rPr>
        <w:t xml:space="preserve">Técnicamente, la apertura de un canal exige que ambas partes depositen una cantidad determinada de bitcoins en una dirección de multifirma (multisig, concepto que se retomará en el Capítulo 32 al tratar el control interno), cuyos fondos solo pueden movilizarse con el consentimiento criptográfico de ambas partes. Una vez abierto el canal, las partes pueden intercambiarse, de manera instantánea y sin costo de comisión de red significativo, sucesivas actualizaciones del saldo relativo de ese depósito compartido, firmadas criptográficamente por ambas partes pero no transmitidas a la red principal de Bitcoin. Cuando las partes deciden cerrar el canal —o cuando una de ellas necesita hacerlo unilateralmente, mecanismo que se explica en la sección 5.4—, se transmite a la cadena de bloques únicamente el saldo final acordado, liquidando en una sola transacción on-chain el resultado neto de todas las transacciones intermedias que tuvieron lugar «fuera de cadena» (off-chain).</w:t>
      </w:r>
    </w:p>
    <w:p>
      <w:pPr>
        <w:spacing w:after="160" w:line="300"/>
        <w:jc w:val="both"/>
      </w:pPr>
      <w:r>
        <w:rPr>
          <w:rFonts w:ascii="Garamond" w:cs="Garamond" w:eastAsia="Garamond" w:hAnsi="Garamond"/>
          <w:sz w:val="24"/>
          <w:szCs w:val="24"/>
        </w:rPr>
        <w:t xml:space="preserve">Este diseño reduce drásticamente la carga que cada par de transacciones bilaterales frecuentes impone sobre la capa base de Bitcoin, y permite, en teoría, una capacidad de procesamiento de transacciones muy superior a la de la capa base, con tiempos de confirmación de milisegundos en lugar de minutos, y comisiones de transacción del orden de fracciones de centavo.</w:t>
      </w:r>
    </w:p>
    <w:p>
      <w:pPr>
        <w:pStyle w:val="Heading2"/>
        <w:spacing w:after="180" w:before="360"/>
      </w:pPr>
      <w:r>
        <w:rPr>
          <w:rFonts w:ascii="Garamond" w:cs="Garamond" w:eastAsia="Garamond" w:hAnsi="Garamond"/>
          <w:b/>
          <w:bCs/>
          <w:color w:val="10233F"/>
          <w:sz w:val="28"/>
          <w:szCs w:val="28"/>
        </w:rPr>
        <w:t xml:space="preserve">5.3. La red de canales: enrutamiento de pagos</w:t>
      </w:r>
    </w:p>
    <w:p>
      <w:pPr>
        <w:spacing w:after="160" w:line="300"/>
        <w:jc w:val="both"/>
      </w:pPr>
      <w:r>
        <w:rPr>
          <w:rFonts w:ascii="Garamond" w:cs="Garamond" w:eastAsia="Garamond" w:hAnsi="Garamond"/>
          <w:sz w:val="24"/>
          <w:szCs w:val="24"/>
        </w:rPr>
        <w:t xml:space="preserve">La utilidad práctica de la Lightning Network no se limita a los pagos entre dos partes que mantienen un canal bilateral directo entre sí, sino que se extiende, mediante un mecanismo de enrutamiento (routing), a pagos entre partes que no tienen un canal directo abierto entre ellas, pero que se encuentran conectadas a través de una cadena de canales intermedios operados por terceros. Este mecanismo —conceptualmente análogo al enrutamiento de paquetes de datos en la red de Internet— permite que un pago se transmita a través de múltiples saltos (hops) de canales interconectados, cada uno de los cuales percibe una comisión mínima por facilitar el reenvío del pago, sin que ningún nodo intermedio de la ruta tenga capacidad de apropiarse del monto en tránsito ni de conocer necesariamente el origen y el destino final de la transacción en su totalidad.</w:t>
      </w:r>
    </w:p>
    <w:p>
      <w:pPr>
        <w:spacing w:after="160" w:line="300"/>
        <w:jc w:val="both"/>
      </w:pPr>
      <w:r>
        <w:rPr>
          <w:rFonts w:ascii="Garamond" w:cs="Garamond" w:eastAsia="Garamond" w:hAnsi="Garamond"/>
          <w:sz w:val="24"/>
          <w:szCs w:val="24"/>
        </w:rPr>
        <w:t xml:space="preserve">La seguridad criptográfica de este enrutamiento descansa sobre un mecanismo denominado Hashed Timelock Contracts (HTLC), que garantiza —mediante la combinación de pruebas criptográficas condicionadas y plazos temporales de bloqueo— que cada salto de la ruta reciba su pago si y solo si el salto siguiente también lo recibe, y que, en caso de que algún nodo intermedio de la ruta falle o actúe de mala fe, los fondos comprometidos en tránsito puedan ser recuperados por su titular original una vez vencido el plazo de bloqueo correspondiente, sin exponer a ninguna de las partes al riesgo de pérdida definitiva de fondos por la falla de un tercero no controlado.</w:t>
      </w:r>
    </w:p>
    <w:p>
      <w:pPr>
        <w:spacing w:after="160" w:line="300"/>
        <w:jc w:val="both"/>
      </w:pPr>
      <w:r>
        <w:rPr>
          <w:rFonts w:ascii="Garamond" w:cs="Garamond" w:eastAsia="Garamond" w:hAnsi="Garamond"/>
          <w:sz w:val="24"/>
          <w:szCs w:val="24"/>
        </w:rPr>
        <w:t xml:space="preserve">La existencia de nodos que concentran un número significativo de canales abiertos con otros participantes —conocidos como «nodos concentradores» (hub nodes)— facilita el enrutamiento eficiente de pagos entre partes no conectadas directamente, y ha dado lugar a un incipiente mercado de provisión de liquidez y de servicios de gestión profesional de nodos Lightning, cuya caracterización jurídica y contable —¿constituye la operación de un nodo concentrador una actividad de intermediación financiera sujeta a regulación específica?— continúa siendo objeto de análisis en diversas jurisdicciones, y se retomará al tratar la normativa de prevención de lavado de activos en el Capítulo 33.</w:t>
      </w:r>
    </w:p>
    <w:p>
      <w:pPr>
        <w:pStyle w:val="Heading2"/>
        <w:spacing w:after="180" w:before="360"/>
      </w:pPr>
      <w:r>
        <w:rPr>
          <w:rFonts w:ascii="Garamond" w:cs="Garamond" w:eastAsia="Garamond" w:hAnsi="Garamond"/>
          <w:b/>
          <w:bCs/>
          <w:color w:val="10233F"/>
          <w:sz w:val="28"/>
          <w:szCs w:val="28"/>
        </w:rPr>
        <w:t xml:space="preserve">5.4. Propiedades de seguridad: penalización y no custodia</w:t>
      </w:r>
    </w:p>
    <w:p>
      <w:pPr>
        <w:spacing w:after="160" w:line="300"/>
        <w:jc w:val="both"/>
      </w:pPr>
      <w:r>
        <w:rPr>
          <w:rFonts w:ascii="Garamond" w:cs="Garamond" w:eastAsia="Garamond" w:hAnsi="Garamond"/>
          <w:sz w:val="24"/>
          <w:szCs w:val="24"/>
        </w:rPr>
        <w:t xml:space="preserve">Un atributo distintivo de la Lightning Network, que la diferencia de otras soluciones de escalabilidad basadas en la delegación de custodia a un tercero (por ejemplo, las «soluciones de segunda capa custodiales» ofrecidas por ciertos exchanges, que no ofrecen garantías criptográficas equivalentes), es que las partes de un canal de pago mantienen en todo momento control criptográfico directo sobre su porción de los fondos depositados, sin necesidad de confiar en la honestidad de la contraparte del canal ni de ningún nodo intermedio.</w:t>
      </w:r>
    </w:p>
    <w:p>
      <w:pPr>
        <w:spacing w:after="160" w:line="300"/>
        <w:jc w:val="both"/>
      </w:pPr>
      <w:r>
        <w:rPr>
          <w:rFonts w:ascii="Garamond" w:cs="Garamond" w:eastAsia="Garamond" w:hAnsi="Garamond"/>
          <w:sz w:val="24"/>
          <w:szCs w:val="24"/>
        </w:rPr>
        <w:t xml:space="preserve">Esta propiedad se garantiza mediante un mecanismo de penalización: si una de las partes de un canal intentara transmitir a la red principal de Bitcoin una versión desactualizada y económicamente más favorable para sí misma del saldo del canal —es decir, intentara hacer trampa cerrando el canal con un estado antiguo en lugar del más reciente acordado—, la contraparte dispone de un plazo determinado (típicamente definido en bloques, no en tiempo calendario) para detectar esa transmisión fraudulenta y reclamar, mediante una transacción de penalización, la totalidad de los fondos del canal, incluyendo los que originalmente correspondían a la parte deshonesta. Este mecanismo de incentivos económicos —que desincentiva el comportamiento fraudulento haciendo que su costo esperado supere ampliamente cualquier beneficio potencial— constituye, junto con los HTLC descritos en la sección anterior, el fundamento criptoeconómico de la seguridad de la red.</w:t>
      </w:r>
    </w:p>
    <w:p>
      <w:pPr>
        <w:spacing w:after="160" w:line="300"/>
        <w:jc w:val="both"/>
      </w:pPr>
      <w:r>
        <w:rPr>
          <w:rFonts w:ascii="Garamond" w:cs="Garamond" w:eastAsia="Garamond" w:hAnsi="Garamond"/>
          <w:sz w:val="24"/>
          <w:szCs w:val="24"/>
        </w:rPr>
        <w:t xml:space="preserve">Esta arquitectura de «no custodia» (non-custodial) tiene, sin embargo, una contrapartida operativa relevante que el auditor y el profesional de control interno deben conocer: a diferencia de una tenencia simple de Bitcoin en una dirección estática, un canal de Lightning Network exige que su titular —o un servicio de vigilancia delegado (denominado watchtower)— permanezca en condiciones de detectar y responder ante un eventual intento de cierre fraudulento del canal dentro del plazo establecido, lo cual introduce una dimensión de disponibilidad operativa (uptime) que no está presente en la simple custodia de bitcoins en la capa base, y que resulta relevante al diseñar los procedimientos de control interno aplicables a una entidad que opera infraestructura de Lightning Network, cuestión que se desarrollará en el Capítulo 32.</w:t>
      </w:r>
    </w:p>
    <w:p>
      <w:pPr>
        <w:pStyle w:val="Heading2"/>
        <w:spacing w:after="180" w:before="360"/>
      </w:pPr>
      <w:r>
        <w:rPr>
          <w:rFonts w:ascii="Garamond" w:cs="Garamond" w:eastAsia="Garamond" w:hAnsi="Garamond"/>
          <w:b/>
          <w:bCs/>
          <w:color w:val="10233F"/>
          <w:sz w:val="28"/>
          <w:szCs w:val="28"/>
        </w:rPr>
        <w:t xml:space="preserve">5.5. Relevancia contable y económica de Lightning Network</w:t>
      </w:r>
    </w:p>
    <w:p>
      <w:pPr>
        <w:spacing w:after="160" w:line="300"/>
        <w:jc w:val="both"/>
      </w:pPr>
      <w:r>
        <w:rPr>
          <w:rFonts w:ascii="Garamond" w:cs="Garamond" w:eastAsia="Garamond" w:hAnsi="Garamond"/>
          <w:sz w:val="24"/>
          <w:szCs w:val="24"/>
        </w:rPr>
        <w:t xml:space="preserve">Desde el punto de vista específicamente contable, la existencia de Lightning Network no modifica la naturaleza del activo subyacente: los bitcoins comprometidos en un canal de pago continúan siendo, jurídica y económicamente, bitcoins, y su tratamiento bajo NIC 38 —que se desarrollará en profundidad en el Capítulo 14— no varía por el hecho de que se encuentren temporalmente comprometidos en un canal en lugar de mantenerse en una dirección no comprometida (on-chain ordinaria).</w:t>
      </w:r>
    </w:p>
    <w:p>
      <w:pPr>
        <w:spacing w:after="160" w:line="300"/>
        <w:jc w:val="both"/>
      </w:pPr>
      <w:r>
        <w:rPr>
          <w:rFonts w:ascii="Garamond" w:cs="Garamond" w:eastAsia="Garamond" w:hAnsi="Garamond"/>
          <w:sz w:val="24"/>
          <w:szCs w:val="24"/>
        </w:rPr>
        <w:t xml:space="preserve">Sin embargo, la operación de infraestructura de Lightning Network sí plantea cuestiones contables específicas para las entidades que desarrollan esa actividad de manera profesional —por ejemplo, proveedores de liquidez o operadores de nodos concentradores que perciben comisiones de enrutamiento—: la determinación de si los fondos comprometidos en canales abiertos deben exponerse como un activo disponible o como un activo restringido o comprometido en nota, la contabilización de las comisiones de enrutamiento percibidas como ingreso de actividades ordinarias, y la evaluación del riesgo de liquidez asociado a la eventual necesidad de cerrar canales de manera no planificada, constituyen cuestiones sobre las que la normativa vigente no ofrece una respuesta expresa y específica, y respecto de las cuales corresponde aplicar, por analogía, los principios generales de reconocimiento y exposición desarrollados en la Parte IV de esta obra.</w:t>
      </w:r>
    </w:p>
    <w:p>
      <w:pPr>
        <w:spacing w:after="160" w:line="300"/>
        <w:jc w:val="both"/>
      </w:pPr>
      <w:r>
        <w:rPr>
          <w:rFonts w:ascii="Garamond" w:cs="Garamond" w:eastAsia="Garamond" w:hAnsi="Garamond"/>
          <w:sz w:val="24"/>
          <w:szCs w:val="24"/>
        </w:rPr>
        <w:t xml:space="preserve">En el plano macroeconómico, la adopción de Lightning Network ha sido particularmente significativa en el contexto de la experiencia salvadoreña descrita en el Capítulo 2, donde la infraestructura de pagos cotidianos con Bitcoin —comercios minoristas, remesas internacionales— se apoya mayoritariamente en transacciones de Lightning Network antes que en transacciones directas sobre la capa base, precisamente en virtud de la reducción de costos y tiempos de confirmación que esta segunda capa habilita.</w:t>
      </w:r>
    </w:p>
    <w:p>
      <w:pPr>
        <w:pStyle w:val="Heading2"/>
        <w:spacing w:after="180" w:before="360"/>
      </w:pPr>
      <w:r>
        <w:rPr>
          <w:rFonts w:ascii="Garamond" w:cs="Garamond" w:eastAsia="Garamond" w:hAnsi="Garamond"/>
          <w:b/>
          <w:bCs/>
          <w:color w:val="10233F"/>
          <w:sz w:val="28"/>
          <w:szCs w:val="28"/>
        </w:rPr>
        <w:t xml:space="preserve">5.6. Síntesis del capítulo</w:t>
      </w:r>
    </w:p>
    <w:p>
      <w:pPr>
        <w:spacing w:after="160" w:line="300"/>
        <w:jc w:val="both"/>
      </w:pPr>
      <w:r>
        <w:rPr>
          <w:rFonts w:ascii="Garamond" w:cs="Garamond" w:eastAsia="Garamond" w:hAnsi="Garamond"/>
          <w:sz w:val="24"/>
          <w:szCs w:val="24"/>
        </w:rPr>
        <w:t xml:space="preserve">Este capítulo describió la Lightning Network como la principal solución de segunda capa desarrollada para superar las limitaciones de capacidad de procesamiento que el mecanismo de consenso de la capa base de Bitcoin, descrito en el Capítulo 4, impone sobre el volumen de transacciones procesables. Se explicó el concepto de canal de pago bilateral, el mecanismo de enrutamiento a través de una red de canales interconectados, y las propiedades criptoeconómicas de seguridad —HTLC y penalización— que garantizan la naturaleza no custodial de la red. Se identificaron, asimismo, las cuestiones contables específicas que la operación profesional de infraestructura de Lightning Network plantea, y que exigen la aplicación por analogía de los principios generales de reconocimiento contable que se desarrollan a partir de la Parte II de esta obra. El Capítulo 6 continúa el desarrollo técnico de la obra abordando las wallets y la custodia de claves, cuestión que resulta indispensable tanto para comprender la autocustodia de bitcoins en la capa base cuanto para la apertura y gestión operativa de canales de Lightning Network descrita en este capítulo.</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5</w:t>
      </w:r>
    </w:p>
    <w:p>
      <w:pPr>
        <w:spacing w:after="160"/>
        <w:ind w:left="480" w:hanging="480"/>
        <w:jc w:val="both"/>
      </w:pPr>
      <w:r>
        <w:rPr>
          <w:rFonts w:ascii="Garamond" w:cs="Garamond" w:eastAsia="Garamond" w:hAnsi="Garamond"/>
          <w:sz w:val="22"/>
          <w:szCs w:val="22"/>
        </w:rPr>
        <w:t xml:space="preserve">Antonopoulos, A. M., y Osuntokun, O. (2021). Mastering the Lightning Network: A second layer blockchain protocol for instant Bitcoin payments. O'Reilly Media.</w:t>
      </w:r>
    </w:p>
    <w:p>
      <w:pPr>
        <w:spacing w:after="160"/>
        <w:ind w:left="480" w:hanging="480"/>
        <w:jc w:val="both"/>
      </w:pPr>
      <w:r>
        <w:rPr>
          <w:rFonts w:ascii="Garamond" w:cs="Garamond" w:eastAsia="Garamond" w:hAnsi="Garamond"/>
          <w:sz w:val="22"/>
          <w:szCs w:val="22"/>
        </w:rPr>
        <w:t xml:space="preserve">Poon, J., y Dryja, T. (2016). The Bitcoin Lightning Network: Scalable off-chain instant payments. https://lightning.network/lightning-network-paper.pdf</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6</w:t>
      </w:r>
    </w:p>
    <w:p>
      <w:pPr>
        <w:spacing w:after="400"/>
      </w:pPr>
      <w:r>
        <w:rPr>
          <w:rFonts w:ascii="Garamond" w:cs="Garamond" w:eastAsia="Garamond" w:hAnsi="Garamond"/>
          <w:b/>
          <w:bCs/>
          <w:color w:val="9C7A2E"/>
          <w:sz w:val="40"/>
          <w:szCs w:val="40"/>
        </w:rPr>
        <w:t xml:space="preserve">Wallets y custodia de claves</w:t>
      </w:r>
    </w:p>
    <w:p>
      <w:pPr>
        <w:pStyle w:val="Heading2"/>
        <w:spacing w:after="180" w:before="360"/>
      </w:pPr>
      <w:r>
        <w:rPr>
          <w:rFonts w:ascii="Garamond" w:cs="Garamond" w:eastAsia="Garamond" w:hAnsi="Garamond"/>
          <w:b/>
          <w:bCs/>
          <w:color w:val="10233F"/>
          <w:sz w:val="28"/>
          <w:szCs w:val="28"/>
        </w:rPr>
        <w:t xml:space="preserve">6.1. Introducción: qué es, en rigor, una wallet de Bitcoin</w:t>
      </w:r>
    </w:p>
    <w:p>
      <w:pPr>
        <w:spacing w:after="160" w:line="300"/>
        <w:jc w:val="both"/>
      </w:pPr>
      <w:r>
        <w:rPr>
          <w:rFonts w:ascii="Garamond" w:cs="Garamond" w:eastAsia="Garamond" w:hAnsi="Garamond"/>
          <w:sz w:val="24"/>
          <w:szCs w:val="24"/>
        </w:rPr>
        <w:t xml:space="preserve">El lenguaje coloquial —y buena parte de la literatura de divulgación— se refiere a las billeteras (wallets) de Bitcoin como si se tratara de contenedores que «almacenan» bitcoins, en una analogía directa con una billetera física que contiene billetes. Esa analogía, aunque pedagógicamente útil en una primera aproximación, es técnicamente imprecisa y puede inducir a errores de análisis contable y de auditoría de consecuencias no menores. En rigor, y como se explicará con mayor detalle en el Capítulo 7 al tratar la criptografía de clave pública y privada, los bitcoins no «residen» en ninguna wallet: residen, en todo momento, como registros de propiedad en el libro mayor público y distribuido descrito en el Capítulo 3. Lo que una wallet efectivamente almacena y gestiona no son los bitcoins en sí, sino las claves criptográficas privadas que confieren a su titular la capacidad exclusiva de autorizar el gasto de los bitcoins asociados a determinadas direcciones en ese registro público.</w:t>
      </w:r>
    </w:p>
    <w:p>
      <w:pPr>
        <w:spacing w:after="160" w:line="300"/>
        <w:jc w:val="both"/>
      </w:pPr>
      <w:r>
        <w:rPr>
          <w:rFonts w:ascii="Garamond" w:cs="Garamond" w:eastAsia="Garamond" w:hAnsi="Garamond"/>
          <w:sz w:val="24"/>
          <w:szCs w:val="24"/>
        </w:rPr>
        <w:t xml:space="preserve">Esta precisión conceptual —que una wallet gestiona claves, no monedas— es el punto de partida indispensable para comprender por qué la pérdida de una clave privada equivale, en términos prácticos, a la pérdida irrecuperable del control sobre los bitcoins asociados a ella, sin que exista mecanismo alguno de recuperación centralizada análogo al que ofrece un banco tradicional frente a la pérdida de una tarjeta de débito; y por qué, correlativamente, la determinación de quién controla efectivamente una clave privada determinada constituye la cuestión central que el auditor debe resolver al evaluar la existencia y los derechos sobre una tenencia de Bitcoin, cuestión que se desarrollará en profundidad en el Capítulo 31.</w:t>
      </w:r>
    </w:p>
    <w:p>
      <w:pPr>
        <w:pStyle w:val="Heading2"/>
        <w:spacing w:after="180" w:before="360"/>
      </w:pPr>
      <w:r>
        <w:rPr>
          <w:rFonts w:ascii="Garamond" w:cs="Garamond" w:eastAsia="Garamond" w:hAnsi="Garamond"/>
          <w:b/>
          <w:bCs/>
          <w:color w:val="10233F"/>
          <w:sz w:val="28"/>
          <w:szCs w:val="28"/>
        </w:rPr>
        <w:t xml:space="preserve">6.2. Taxonomía de wallets según su conectividad: hot wallets y cold wallets</w:t>
      </w:r>
    </w:p>
    <w:p>
      <w:pPr>
        <w:spacing w:after="160" w:line="300"/>
        <w:jc w:val="both"/>
      </w:pPr>
      <w:r>
        <w:rPr>
          <w:rFonts w:ascii="Garamond" w:cs="Garamond" w:eastAsia="Garamond" w:hAnsi="Garamond"/>
          <w:sz w:val="24"/>
          <w:szCs w:val="24"/>
        </w:rPr>
        <w:t xml:space="preserve">Una primera clasificación relevante de las wallets de Bitcoin, con incidencia directa sobre la evaluación de riesgo de seguridad que un auditor o un responsable de control interno debe realizar, distingue entre wallets calientes (hot wallets) y wallets frías (cold wallets), según el dispositivo que almacena la clave privada se encuentre o no permanentemente conectado a Internet.</w:t>
      </w:r>
    </w:p>
    <w:p>
      <w:pPr>
        <w:spacing w:after="160" w:line="300"/>
        <w:jc w:val="both"/>
      </w:pPr>
      <w:r>
        <w:rPr>
          <w:rFonts w:ascii="Garamond" w:cs="Garamond" w:eastAsia="Garamond" w:hAnsi="Garamond"/>
          <w:sz w:val="24"/>
          <w:szCs w:val="24"/>
        </w:rPr>
        <w:t xml:space="preserve">Las hot wallets —típicamente aplicaciones instaladas en una computadora o un teléfono móvil, o wallets alojadas directamente en la plataforma de un exchange— ofrecen la ventaja de la disponibilidad inmediata para realizar transacciones, a costa de una superficie de exposición mayor frente a ataques informáticos remotos, dado que la clave privada reside en un dispositivo conectado a una red potencialmente vulnerable. Las cold wallets, en cambio, mantienen la clave privada en un entorno físicamente aislado de cualquier conexión a Internet, lo cual reduce sustancialmente el riesgo de sustracción remota, a costa de una menor practicidad operativa para transacciones frecuentes.</w:t>
      </w:r>
    </w:p>
    <w:p>
      <w:pPr>
        <w:spacing w:after="160" w:line="300"/>
        <w:jc w:val="both"/>
      </w:pPr>
      <w:r>
        <w:rPr>
          <w:rFonts w:ascii="Garamond" w:cs="Garamond" w:eastAsia="Garamond" w:hAnsi="Garamond"/>
          <w:sz w:val="24"/>
          <w:szCs w:val="24"/>
        </w:rPr>
        <w:t xml:space="preserve">La práctica profesional y los estándares de control interno que se desarrollarán en el Capítulo 32 recomiendan, de manera consistente con el principio de segregación de riesgo aplicable a cualquier activo líquido de valor significativo, una estrategia combinada: mantener en hot wallets únicamente los fondos necesarios para las necesidades operativas de corto plazo, y resguardar la porción sustancial de una tenencia de Bitcoin —particularmente en el caso de entidades— en dispositivos de cold storage, con procedimientos formales de autorización y segregación de funciones para cualquier movimiento desde esos dispositivos hacia una hot wallet.</w:t>
      </w:r>
    </w:p>
    <w:p>
      <w:pPr>
        <w:pStyle w:val="Heading2"/>
        <w:spacing w:after="180" w:before="360"/>
      </w:pPr>
      <w:r>
        <w:rPr>
          <w:rFonts w:ascii="Garamond" w:cs="Garamond" w:eastAsia="Garamond" w:hAnsi="Garamond"/>
          <w:b/>
          <w:bCs/>
          <w:color w:val="10233F"/>
          <w:sz w:val="28"/>
          <w:szCs w:val="28"/>
        </w:rPr>
        <w:t xml:space="preserve">6.3. Hardware wallets: el estándar de custodia individual</w:t>
      </w:r>
    </w:p>
    <w:p>
      <w:pPr>
        <w:spacing w:after="160" w:line="300"/>
        <w:jc w:val="both"/>
      </w:pPr>
      <w:r>
        <w:rPr>
          <w:rFonts w:ascii="Garamond" w:cs="Garamond" w:eastAsia="Garamond" w:hAnsi="Garamond"/>
          <w:sz w:val="24"/>
          <w:szCs w:val="24"/>
        </w:rPr>
        <w:t xml:space="preserve">Dentro de la categoría de cold wallets, las denominadas hardware wallets —dispositivos electrónicos de propósito específico, diseñados exclusivamente para generar y almacenar claves privadas en un entorno aislado (secure element), y para firmar transacciones sin exponer nunca la clave privada a un dispositivo conectado a Internet— constituyen hoy el estándar recomendado de custodia individual para tenencias de Bitcoin de valor significativo, tanto para personas físicas como para entidades.</w:t>
      </w:r>
    </w:p>
    <w:p>
      <w:pPr>
        <w:spacing w:after="160" w:line="300"/>
        <w:jc w:val="both"/>
      </w:pPr>
      <w:r>
        <w:rPr>
          <w:rFonts w:ascii="Garamond" w:cs="Garamond" w:eastAsia="Garamond" w:hAnsi="Garamond"/>
          <w:sz w:val="24"/>
          <w:szCs w:val="24"/>
        </w:rPr>
        <w:t xml:space="preserve">El principio de diseño que sustenta la seguridad de una hardware wallet es que la clave privada nunca «sale» del dispositivo: cuando el usuario desea autorizar una transacción, la computadora o el teléfono conectado transmite al dispositivo únicamente los datos de la transacción a firmar, el dispositivo realiza la operación criptográfica de firma internamente, en un entorno aislado, y devuelve exclusivamente la firma resultante —no la clave privada— al dispositivo conectado, que la transmite a la red de Bitcoin. De este modo, incluso si la computadora conectada estuviera comprometida por software malicioso, un atacante no podría extraer la clave privada del dispositivo, aunque sí podría eventualmente intentar manipular la transacción presentada para su firma, razón por la cual las hardware wallets de calidad exigen la verificación visual de los datos de la transacción —monto y dirección de destino— en una pantalla propia del dispositivo, independiente de la computadora potencialmente comprometida, antes de confirmar la firma.</w:t>
      </w:r>
    </w:p>
    <w:p>
      <w:pPr>
        <w:pStyle w:val="Heading2"/>
        <w:spacing w:after="180" w:before="360"/>
      </w:pPr>
      <w:r>
        <w:rPr>
          <w:rFonts w:ascii="Garamond" w:cs="Garamond" w:eastAsia="Garamond" w:hAnsi="Garamond"/>
          <w:b/>
          <w:bCs/>
          <w:color w:val="10233F"/>
          <w:sz w:val="28"/>
          <w:szCs w:val="28"/>
        </w:rPr>
        <w:t xml:space="preserve">6.4. Multifirma (multisig): custodia distribuida entre múltiples partes</w:t>
      </w:r>
    </w:p>
    <w:p>
      <w:pPr>
        <w:spacing w:after="160" w:line="300"/>
        <w:jc w:val="both"/>
      </w:pPr>
      <w:r>
        <w:rPr>
          <w:rFonts w:ascii="Garamond" w:cs="Garamond" w:eastAsia="Garamond" w:hAnsi="Garamond"/>
          <w:sz w:val="24"/>
          <w:szCs w:val="24"/>
        </w:rPr>
        <w:t xml:space="preserve">Un desarrollo de particular relevancia para el control interno de entidades que custodian Bitcoin —y que se retomará con mayor detalle en el Capítulo 32— es el esquema de multifirma (multisig), mediante el cual el protocolo de Bitcoin permite condicionar el gasto de los fondos asociados a una dirección determinada a la obtención de un número mínimo de firmas válidas (m) de un conjunto total de claves autorizadas (n), configuración habitualmente expresada en notación m-de-n (m-of-n).</w:t>
      </w:r>
    </w:p>
    <w:p>
      <w:pPr>
        <w:spacing w:after="160" w:line="300"/>
        <w:jc w:val="both"/>
      </w:pPr>
      <w:r>
        <w:rPr>
          <w:rFonts w:ascii="Garamond" w:cs="Garamond" w:eastAsia="Garamond" w:hAnsi="Garamond"/>
          <w:sz w:val="24"/>
          <w:szCs w:val="24"/>
        </w:rPr>
        <w:t xml:space="preserve">Una configuración típica de 2-de-3, por ejemplo, exige que al menos dos de tres claves privadas independientes —eventualmente distribuidas entre distintos responsables de una organización, o entre distintas ubicaciones físicas— firmen una transacción para que esta resulte válida, sin que ninguna de las tres partes, actuando individualmente, tenga capacidad de disponer unilateralmente de los fondos. Este mecanismo constituye la implementación criptográfica directa del principio de segregación de funciones y de doble o triple autorización que la teoría clásica de control interno —desarrollada, entre otros marcos de referencia, en el modelo COSO (Committee of Sponsoring Organizations of the Treadway Commission)— exige para la disposición de activos de valor significativo, y su adopción resulta, en la práctica profesional consolidada hasta la fecha de esta edición, prácticamente ineludible para cualquier entidad que custodie Bitcoin en volúmenes materiales en sus estados contables.</w:t>
      </w:r>
    </w:p>
    <w:p>
      <w:pPr>
        <w:spacing w:after="160" w:line="300"/>
        <w:jc w:val="both"/>
      </w:pPr>
      <w:r>
        <w:rPr>
          <w:rFonts w:ascii="Garamond" w:cs="Garamond" w:eastAsia="Garamond" w:hAnsi="Garamond"/>
          <w:sz w:val="24"/>
          <w:szCs w:val="24"/>
        </w:rPr>
        <w:t xml:space="preserve">La combinación de multifirma con custodia geográficamente distribuida —cada una de las claves resguardada en una ubicación física distinta, a cargo de responsables distintos, eventualmente con la intervención de un custodio profesional independiente para una de las claves— constituye, según los estándares profesionales que se desarrollarán en el Capítulo 32, la arquitectura de control interno recomendable como referencia de buenas prácticas para la custodia institucional de Bitcoin, y es también el esquema que numerosos custodios profesionales regulados ofrecen comercialmente a entidades que prefieren delegar en un tercero especializado la complejidad operativa de la autocustodia.</w:t>
      </w:r>
    </w:p>
    <w:p>
      <w:pPr>
        <w:pStyle w:val="Heading2"/>
        <w:spacing w:after="180" w:before="360"/>
      </w:pPr>
      <w:r>
        <w:rPr>
          <w:rFonts w:ascii="Garamond" w:cs="Garamond" w:eastAsia="Garamond" w:hAnsi="Garamond"/>
          <w:b/>
          <w:bCs/>
          <w:color w:val="10233F"/>
          <w:sz w:val="28"/>
          <w:szCs w:val="28"/>
        </w:rPr>
        <w:t xml:space="preserve">6.5. Wallets determinísticas jerárquicas y frases semilla</w:t>
      </w:r>
    </w:p>
    <w:p>
      <w:pPr>
        <w:spacing w:after="160" w:line="300"/>
        <w:jc w:val="both"/>
      </w:pPr>
      <w:r>
        <w:rPr>
          <w:rFonts w:ascii="Garamond" w:cs="Garamond" w:eastAsia="Garamond" w:hAnsi="Garamond"/>
          <w:sz w:val="24"/>
          <w:szCs w:val="24"/>
        </w:rPr>
        <w:t xml:space="preserve">El estándar técnico predominante en las wallets contemporáneas de Bitcoin —formalizado en las propuestas de mejora conocidas como BIP-32, BIP-39 y BIP-44 (Bitcoin Improvement Proposals)— permite generar la totalidad de las claves privadas y direcciones asociadas a una wallet a partir de un único valor inicial aleatorio (seed), representado habitualmente al usuario en forma de una secuencia mnemotécnica de doce o veinticuatro palabras en idioma natural, conocida como frase semilla (seed phrase) o frase de recuperación.</w:t>
      </w:r>
    </w:p>
    <w:p>
      <w:pPr>
        <w:spacing w:after="160" w:line="300"/>
        <w:jc w:val="both"/>
      </w:pPr>
      <w:r>
        <w:rPr>
          <w:rFonts w:ascii="Garamond" w:cs="Garamond" w:eastAsia="Garamond" w:hAnsi="Garamond"/>
          <w:sz w:val="24"/>
          <w:szCs w:val="24"/>
        </w:rPr>
        <w:t xml:space="preserve">Esta arquitectura determinística jerárquica presenta una ventaja operativa relevante: basta con resguardar de manera segura esa única frase semilla —típicamente mediante su transcripción física en papel o en soportes metálicos resistentes al fuego y al agua, y nunca mediante su almacenamiento en un dispositivo conectado a Internet— para poder reconstruir, en caso de pérdida, robo o destrucción del dispositivo original, la totalidad de las claves privadas y, en consecuencia, recuperar el control sobre la totalidad de los fondos asociados a esa wallet, en cualquier dispositivo compatible con el estándar. Correlativamente, la frase semilla constituye el punto único de falla más crítico de todo el sistema de custodia: cualquier persona que obtenga acceso a esa secuencia de palabras adquiere, sin necesidad de ningún otro dato adicional, la capacidad plena de disponer de la totalidad de los fondos asociados, lo cual explica por qué la seguridad física y la confidencialidad de la frase semilla constituyen el objeto central de cualquier procedimiento de control interno diseñado para la custodia de Bitcoin, cuestión que se desarrollará con el detalle operativo correspondiente en el Capítulo 32.</w:t>
      </w:r>
    </w:p>
    <w:p>
      <w:pPr>
        <w:pStyle w:val="Heading2"/>
        <w:spacing w:after="180" w:before="360"/>
      </w:pPr>
      <w:r>
        <w:rPr>
          <w:rFonts w:ascii="Garamond" w:cs="Garamond" w:eastAsia="Garamond" w:hAnsi="Garamond"/>
          <w:b/>
          <w:bCs/>
          <w:color w:val="10233F"/>
          <w:sz w:val="28"/>
          <w:szCs w:val="28"/>
        </w:rPr>
        <w:t xml:space="preserve">6.6. Custodia propia versus custodia delegada: implicancias para el contador y el auditor</w:t>
      </w:r>
    </w:p>
    <w:p>
      <w:pPr>
        <w:spacing w:after="160" w:line="300"/>
        <w:jc w:val="both"/>
      </w:pPr>
      <w:r>
        <w:rPr>
          <w:rFonts w:ascii="Garamond" w:cs="Garamond" w:eastAsia="Garamond" w:hAnsi="Garamond"/>
          <w:sz w:val="24"/>
          <w:szCs w:val="24"/>
        </w:rPr>
        <w:t xml:space="preserve">La disyuntiva entre autocustodia (self-custody) —en la que el titular de los bitcoins mantiene control directo y exclusivo sobre las claves privadas correspondientes— y custodia delegada a un tercero profesional —típicamente un exchange regulado o un custodio institucional especializado— constituye una decisión de gestión de riesgo que excede el objeto estrictamente contable de esta obra, pero que tiene, sobre el proceso de auditoría, una incidencia de primer orden que se desarrollará en profundidad en la Parte VI.</w:t>
      </w:r>
    </w:p>
    <w:p>
      <w:pPr>
        <w:spacing w:after="160" w:line="300"/>
        <w:jc w:val="both"/>
      </w:pPr>
      <w:r>
        <w:rPr>
          <w:rFonts w:ascii="Garamond" w:cs="Garamond" w:eastAsia="Garamond" w:hAnsi="Garamond"/>
          <w:sz w:val="24"/>
          <w:szCs w:val="24"/>
        </w:rPr>
        <w:t xml:space="preserve">En síntesis anticipada de esa discusión: la autocustodia elimina el riesgo de contraparte asociado a la insolvencia o a la conducta fraudulenta de un custodio —riesgo que se materializó, como se describió en el Capítulo 2, en el colapso de Mt. Gox en 2014—, pero traslada sobre la propia entidad la totalidad de la responsabilidad operativa de seguridad, y exige al auditor el diseño de procedimientos alternativos de verificación de existencia que no pueden apoyarse, como en el caso de un depósito bancario tradicional, en una simple circularización a un tercero. La custodia delegada a un proveedor profesional regulado, en cambio, traslada la complejidad operativa de la seguridad criptográfica a un especialista sujeto, en las jurisdicciones que cuentan con marcos regulatorios específicos, a estándares mínimos de capital, segregación de activos y auditoría independiente, pero reintroduce un riesgo de contraparte que la entidad titular de los bitcoins debe evaluar y, eventualmente, exigir que se mitigue mediante mecanismos de prueba de reservas, cuestión que se desarrollará en el Capítulo 35 de esta obra.</w:t>
      </w:r>
    </w:p>
    <w:p>
      <w:pPr>
        <w:pStyle w:val="Heading2"/>
        <w:spacing w:after="180" w:before="360"/>
      </w:pPr>
      <w:r>
        <w:rPr>
          <w:rFonts w:ascii="Garamond" w:cs="Garamond" w:eastAsia="Garamond" w:hAnsi="Garamond"/>
          <w:b/>
          <w:bCs/>
          <w:color w:val="10233F"/>
          <w:sz w:val="28"/>
          <w:szCs w:val="28"/>
        </w:rPr>
        <w:t xml:space="preserve">6.7. Síntesis del capítulo</w:t>
      </w:r>
    </w:p>
    <w:p>
      <w:pPr>
        <w:spacing w:after="160" w:line="300"/>
        <w:jc w:val="both"/>
      </w:pPr>
      <w:r>
        <w:rPr>
          <w:rFonts w:ascii="Garamond" w:cs="Garamond" w:eastAsia="Garamond" w:hAnsi="Garamond"/>
          <w:sz w:val="24"/>
          <w:szCs w:val="24"/>
        </w:rPr>
        <w:t xml:space="preserve">Este capítulo estableció la precisión conceptual fundamental de que una wallet de Bitcoin gestiona claves criptográficas, no monedas, y describió sobre esa base la taxonomía de wallets según su conectividad (hot y cold), el funcionamiento de las hardware wallets como estándar de custodia individual, el mecanismo de multifirma como implementación criptográfica del principio de segregación de funciones, y la arquitectura de wallets determinísticas jerárquicas basadas en frases semilla. Se anticipó, asimismo, la disyuntiva entre autocustodia y custodia delegada, y su incidencia sobre el diseño de procedimientos de auditoría, que se desarrollará con el detalle correspondiente en la Parte VI de esta obra. El Capítulo 7 profundiza el fundamento criptográfico que subyace a todo lo descrito en este capítulo, abordando en detalle el funcionamiento de las claves públicas y privadas y de las firmas digitales de curva elíptica que Bitcoin emplea para autorizar el gasto de fondos.</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6</w:t>
      </w:r>
    </w:p>
    <w:p>
      <w:pPr>
        <w:spacing w:after="160"/>
        <w:ind w:left="480" w:hanging="480"/>
        <w:jc w:val="both"/>
      </w:pPr>
      <w:r>
        <w:rPr>
          <w:rFonts w:ascii="Garamond" w:cs="Garamond" w:eastAsia="Garamond" w:hAnsi="Garamond"/>
          <w:sz w:val="22"/>
          <w:szCs w:val="22"/>
        </w:rPr>
        <w:t xml:space="preserve">Antonopoulos, A. M. (2017). Mastering Bitcoin: Programming the open blockchain (2.ª ed.). O'Reilly Media.</w:t>
      </w:r>
    </w:p>
    <w:p>
      <w:pPr>
        <w:spacing w:after="160"/>
        <w:ind w:left="480" w:hanging="480"/>
        <w:jc w:val="both"/>
      </w:pPr>
      <w:r>
        <w:rPr>
          <w:rFonts w:ascii="Garamond" w:cs="Garamond" w:eastAsia="Garamond" w:hAnsi="Garamond"/>
          <w:sz w:val="22"/>
          <w:szCs w:val="22"/>
        </w:rPr>
        <w:t xml:space="preserve">Committee of Sponsoring Organizations of the Treadway Commission. (2013). Internal control—Integrated framework. COSO.</w:t>
      </w:r>
    </w:p>
    <w:p>
      <w:pPr>
        <w:spacing w:after="160"/>
        <w:ind w:left="480" w:hanging="480"/>
        <w:jc w:val="both"/>
      </w:pPr>
      <w:r>
        <w:rPr>
          <w:rFonts w:ascii="Garamond" w:cs="Garamond" w:eastAsia="Garamond" w:hAnsi="Garamond"/>
          <w:sz w:val="22"/>
          <w:szCs w:val="22"/>
        </w:rPr>
        <w:t xml:space="preserve">Palatinus, M., Rusnak, P., Voisine, A., y Bowe, S. (2013). BIP-39: Mnemonic code for generating deterministic keys. Bitcoin Improvement Proposals. https://github.com/bitcoin/bips/blob/master/bip-0039.mediawiki</w:t>
      </w:r>
    </w:p>
    <w:p>
      <w:pPr>
        <w:spacing w:after="160"/>
        <w:ind w:left="480" w:hanging="480"/>
        <w:jc w:val="both"/>
      </w:pPr>
      <w:r>
        <w:rPr>
          <w:rFonts w:ascii="Garamond" w:cs="Garamond" w:eastAsia="Garamond" w:hAnsi="Garamond"/>
          <w:sz w:val="22"/>
          <w:szCs w:val="22"/>
        </w:rPr>
        <w:t xml:space="preserve">Wuille, P. (2012). BIP-32: Hierarchical deterministic wallets. Bitcoin Improvement Proposals. https://github.com/bitcoin/bips/blob/master/bip-0032.mediawiki</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7</w:t>
      </w:r>
    </w:p>
    <w:p>
      <w:pPr>
        <w:spacing w:after="400"/>
      </w:pPr>
      <w:r>
        <w:rPr>
          <w:rFonts w:ascii="Garamond" w:cs="Garamond" w:eastAsia="Garamond" w:hAnsi="Garamond"/>
          <w:b/>
          <w:bCs/>
          <w:color w:val="9C7A2E"/>
          <w:sz w:val="40"/>
          <w:szCs w:val="40"/>
        </w:rPr>
        <w:t xml:space="preserve">Criptografía aplicada: claves públicas y privadas</w:t>
      </w:r>
    </w:p>
    <w:p>
      <w:pPr>
        <w:pStyle w:val="Heading2"/>
        <w:spacing w:after="180" w:before="360"/>
      </w:pPr>
      <w:r>
        <w:rPr>
          <w:rFonts w:ascii="Garamond" w:cs="Garamond" w:eastAsia="Garamond" w:hAnsi="Garamond"/>
          <w:b/>
          <w:bCs/>
          <w:color w:val="10233F"/>
          <w:sz w:val="28"/>
          <w:szCs w:val="28"/>
        </w:rPr>
        <w:t xml:space="preserve">7.1. Introducción: el fundamento matemático de la propiedad en Bitcoin</w:t>
      </w:r>
    </w:p>
    <w:p>
      <w:pPr>
        <w:spacing w:after="160" w:line="300"/>
        <w:jc w:val="both"/>
      </w:pPr>
      <w:r>
        <w:rPr>
          <w:rFonts w:ascii="Garamond" w:cs="Garamond" w:eastAsia="Garamond" w:hAnsi="Garamond"/>
          <w:sz w:val="24"/>
          <w:szCs w:val="24"/>
        </w:rPr>
        <w:t xml:space="preserve">Los capítulos precedentes hicieron referencia reiterada a las claves privadas y a las firmas criptográficas como el mecanismo que permite a un titular demostrar y ejercer su derecho sobre determinados bitcoins, sin que exista registro alguno de identidad personal asociado a esas claves ni autoridad central que certifique la titularidad. Este capítulo desarrolla, con el nivel de formalización necesario para un profesional contable —sin pretender el rigor propio de un texto de criptografía aplicada—, el fundamento matemático de ese mecanismo: la criptografía asimétrica, también llamada criptografía de clave pública, y su aplicación específica en Bitcoin mediante la criptografía de curva elíptica.</w:t>
      </w:r>
    </w:p>
    <w:p>
      <w:pPr>
        <w:spacing w:after="160" w:line="300"/>
        <w:jc w:val="both"/>
      </w:pPr>
      <w:r>
        <w:rPr>
          <w:rFonts w:ascii="Garamond" w:cs="Garamond" w:eastAsia="Garamond" w:hAnsi="Garamond"/>
          <w:sz w:val="24"/>
          <w:szCs w:val="24"/>
        </w:rPr>
        <w:t xml:space="preserve">La comprensión de estos fundamentos resulta indispensable para el contador y el auditor por una razón que atraviesa toda esta obra: a diferencia de cualquier otro activo objeto de auditoría, la existencia y la titularidad de una tenencia de Bitcoin no pueden verificarse mediante la confirmación de un tercero depositario, sino únicamente mediante la demostración criptográfica de control sobre la clave privada correspondiente. Sin una comprensión mínima de cómo funciona esa demostración, resulta imposible diseñar procedimientos de auditoría idóneos, cuestión que se retomará con el detalle procedimental correspondiente en el Capítulo 31.</w:t>
      </w:r>
    </w:p>
    <w:p>
      <w:pPr>
        <w:pStyle w:val="Heading2"/>
        <w:spacing w:after="180" w:before="360"/>
      </w:pPr>
      <w:r>
        <w:rPr>
          <w:rFonts w:ascii="Garamond" w:cs="Garamond" w:eastAsia="Garamond" w:hAnsi="Garamond"/>
          <w:b/>
          <w:bCs/>
          <w:color w:val="10233F"/>
          <w:sz w:val="28"/>
          <w:szCs w:val="28"/>
        </w:rPr>
        <w:t xml:space="preserve">7.2. Criptografía simétrica y asimétrica: una distinción necesaria</w:t>
      </w:r>
    </w:p>
    <w:p>
      <w:pPr>
        <w:spacing w:after="160" w:line="300"/>
        <w:jc w:val="both"/>
      </w:pPr>
      <w:r>
        <w:rPr>
          <w:rFonts w:ascii="Garamond" w:cs="Garamond" w:eastAsia="Garamond" w:hAnsi="Garamond"/>
          <w:sz w:val="24"/>
          <w:szCs w:val="24"/>
        </w:rPr>
        <w:t xml:space="preserve">La criptografía clásica, denominada simétrica, emplea una única clave compartida tanto para cifrar como para descifrar un mensaje, lo cual exige que las partes que desean comunicarse de manera segura hayan intercambiado previamente esa clave por un canal confiable, problema logístico que limitó históricamente la aplicabilidad de la criptografía a contextos en los que ese intercambio previo resultaba viable, típicamente el ámbito militar o diplomático.</w:t>
      </w:r>
    </w:p>
    <w:p>
      <w:pPr>
        <w:spacing w:after="160" w:line="300"/>
        <w:jc w:val="both"/>
      </w:pPr>
      <w:r>
        <w:rPr>
          <w:rFonts w:ascii="Garamond" w:cs="Garamond" w:eastAsia="Garamond" w:hAnsi="Garamond"/>
          <w:sz w:val="24"/>
          <w:szCs w:val="24"/>
        </w:rPr>
        <w:t xml:space="preserve">La criptografía asimétrica o de clave pública, formalizada por Whitfield Diffie y Martin Hellman en su trabajo seminal de 1976 —ya citado en el Capítulo 2 como uno de los antecedentes técnicos de Bitcoin— y desarrollada de manera independiente y contemporánea, aunque no publicada hasta décadas después, por criptógrafos de la agencia de inteligencia británica GCHQ, resolvió ese problema mediante un esquema matemático en el cual cada participante genera un par de claves relacionadas entre sí de manera asimétrica: una clave privada, que debe mantenerse en secreto absoluto, y una clave pública, derivada matemáticamente de la privada mediante una función de un solo sentido (one-way function), que puede difundirse públicamente sin comprometer la seguridad del sistema.</w:t>
      </w:r>
    </w:p>
    <w:p>
      <w:pPr>
        <w:spacing w:after="160" w:line="300"/>
        <w:jc w:val="both"/>
      </w:pPr>
      <w:r>
        <w:rPr>
          <w:rFonts w:ascii="Garamond" w:cs="Garamond" w:eastAsia="Garamond" w:hAnsi="Garamond"/>
          <w:sz w:val="24"/>
          <w:szCs w:val="24"/>
        </w:rPr>
        <w:t xml:space="preserve">La propiedad definitoria de esa función de un solo sentido es su asimetría computacional: resulta trivial, dado un valor de clave privada, calcular la clave pública correspondiente, pero resulta computacionalmente inviable —dado el estado actual del conocimiento matemático y la capacidad de cómputo disponible, incluyendo la capacidad de cómputo cuántico conocida hasta la fecha de esta edición— realizar la operación inversa: obtener la clave privada a partir de la clave pública. Esta asimetría es la que permite que un participante difunda su clave pública sin temor a que un tercero pueda, a partir de ella, derivar su clave privada y suplantar su identidad criptográfica.</w:t>
      </w:r>
    </w:p>
    <w:p>
      <w:pPr>
        <w:pStyle w:val="Heading2"/>
        <w:spacing w:after="180" w:before="360"/>
      </w:pPr>
      <w:r>
        <w:rPr>
          <w:rFonts w:ascii="Garamond" w:cs="Garamond" w:eastAsia="Garamond" w:hAnsi="Garamond"/>
          <w:b/>
          <w:bCs/>
          <w:color w:val="10233F"/>
          <w:sz w:val="28"/>
          <w:szCs w:val="28"/>
        </w:rPr>
        <w:t xml:space="preserve">7.3. Criptografía de curva elíptica: el estándar empleado por Bitcoin</w:t>
      </w:r>
    </w:p>
    <w:p>
      <w:pPr>
        <w:spacing w:after="160" w:line="300"/>
        <w:jc w:val="both"/>
      </w:pPr>
      <w:r>
        <w:rPr>
          <w:rFonts w:ascii="Garamond" w:cs="Garamond" w:eastAsia="Garamond" w:hAnsi="Garamond"/>
          <w:sz w:val="24"/>
          <w:szCs w:val="24"/>
        </w:rPr>
        <w:t xml:space="preserve">Bitcoin implementa la criptografía asimétrica descrita en la sección anterior mediante un esquema matemático específico denominado criptografía de curva elíptica (Elliptic Curve Cryptography, ECC), y en particular mediante la curva estandarizada conocida como secp256k1. Sin pretender reproducir aquí el aparato matemático completo de la geometría algebraica sobre la que se construye este esquema —que excede ampliamente el objeto de esta obra y el perfil profesional de su lector—, resulta suficiente, a los fines contables, comprender sus propiedades funcionales.</w:t>
      </w:r>
    </w:p>
    <w:p>
      <w:pPr>
        <w:spacing w:after="160" w:line="300"/>
        <w:jc w:val="both"/>
      </w:pPr>
      <w:r>
        <w:rPr>
          <w:rFonts w:ascii="Garamond" w:cs="Garamond" w:eastAsia="Garamond" w:hAnsi="Garamond"/>
          <w:sz w:val="24"/>
          <w:szCs w:val="24"/>
        </w:rPr>
        <w:t xml:space="preserve">Una clave privada de Bitcoin es, en esencia, un número entero elegido de manera aleatoria dentro de un rango extraordinariamente amplio —del orden de 2²⁵⁶ valores posibles, una cifra que supera holgadamente el número estimado de átomos en el universo observable—, lo cual garantiza, en términos prácticos, que la probabilidad de que dos participantes generen de manera independiente y por azar la misma clave privada resulta indistinguible de cero, y que un atacante no puede, mediante un ataque de fuerza bruta que recorra secuencialmente el espacio de claves posibles, encontrar una clave privada determinada en un tiempo computacionalmente viable, ni siquiera empleando la totalidad del poder computacional agregado de la red de minería descrita en el Capítulo 4.</w:t>
      </w:r>
    </w:p>
    <w:p>
      <w:pPr>
        <w:spacing w:after="160" w:line="300"/>
        <w:jc w:val="both"/>
      </w:pPr>
      <w:r>
        <w:rPr>
          <w:rFonts w:ascii="Garamond" w:cs="Garamond" w:eastAsia="Garamond" w:hAnsi="Garamond"/>
          <w:sz w:val="24"/>
          <w:szCs w:val="24"/>
        </w:rPr>
        <w:t xml:space="preserve">A partir de esa clave privada, la operación matemática de multiplicación de puntos sobre la curva elíptica secp256k1 —una operación definida sobre la estructura algebraica de la curva, y no una multiplicación aritmética convencional— produce la clave pública correspondiente, representada como un punto de coordenadas sobre esa curva. La dirección de Bitcoin que un usuario comparte para recibir fondos —la cadena alfanumérica que comúnmente comienza con «1», «3» o «bc1» según el formato empleado— se deriva, a su vez, de la clave pública mediante la aplicación sucesiva de funciones de hash criptográfico (SHA-256 y RIPEMD-160), con el propósito adicional de acortar la representación y de incorporar un mecanismo de detección de errores de transcripción.</w:t>
      </w:r>
    </w:p>
    <w:p>
      <w:pPr>
        <w:pStyle w:val="Heading2"/>
        <w:spacing w:after="180" w:before="360"/>
      </w:pPr>
      <w:r>
        <w:rPr>
          <w:rFonts w:ascii="Garamond" w:cs="Garamond" w:eastAsia="Garamond" w:hAnsi="Garamond"/>
          <w:b/>
          <w:bCs/>
          <w:color w:val="10233F"/>
          <w:sz w:val="28"/>
          <w:szCs w:val="28"/>
        </w:rPr>
        <w:t xml:space="preserve">7.4. Firmas digitales: cómo se autoriza el gasto de fondos</w:t>
      </w:r>
    </w:p>
    <w:p>
      <w:pPr>
        <w:spacing w:after="160" w:line="300"/>
        <w:jc w:val="both"/>
      </w:pPr>
      <w:r>
        <w:rPr>
          <w:rFonts w:ascii="Garamond" w:cs="Garamond" w:eastAsia="Garamond" w:hAnsi="Garamond"/>
          <w:sz w:val="24"/>
          <w:szCs w:val="24"/>
        </w:rPr>
        <w:t xml:space="preserve">El mecanismo mediante el cual el titular de una clave privada demuestra su derecho a disponer de los bitcoins asociados a una dirección determinada, sin revelar nunca la clave privada en sí misma, es la firma digital. Bitcoin emplea, desde su diseño original, el Algoritmo de Firma Digital de Curva Elíptica (Elliptic Curve Digital Signature Algorithm, ECDSA), y ha incorporado, a partir de la activación de la mejora de protocolo Taproot en noviembre de 2021, la posibilidad de emplear adicionalmente el esquema de firmas Schnorr, que ofrece propiedades de eficiencia y de agregación de firmas superiores a ECDSA, particularmente relevantes para las configuraciones de multifirma descritas en el Capítulo 6.</w:t>
      </w:r>
    </w:p>
    <w:p>
      <w:pPr>
        <w:spacing w:after="160" w:line="300"/>
        <w:jc w:val="both"/>
      </w:pPr>
      <w:r>
        <w:rPr>
          <w:rFonts w:ascii="Garamond" w:cs="Garamond" w:eastAsia="Garamond" w:hAnsi="Garamond"/>
          <w:sz w:val="24"/>
          <w:szCs w:val="24"/>
        </w:rPr>
        <w:t xml:space="preserve">El proceso de firma digital toma como insumos la clave privada del firmante y los datos de la transacción que se pretende autorizar —típicamente, un resumen criptográfico (hash) de esos datos—, y produce como resultado una firma matemática que satisface dos propiedades verificables por cualquier tercero que conozca únicamente la clave pública correspondiente, sin necesidad de conocer la clave privada: primero, que la firma efectivamente fue producida por el poseedor de la clave privada asociada a esa clave pública; y segundo, que la firma corresponde específicamente a los datos de esa transacción en particular, de modo que no puede reutilizarse válidamente para autorizar una transacción distinta. Esta doble propiedad —autenticidad e integridad— es la que permite que la red de nodos descrita en el Capítulo 3 verifique, de manera enteramente descentralizada y sin necesidad de confiar en ninguna autoridad certificante, que cada transacción ha sido efectivamente autorizada por el titular legítimo de los fondos correspondientes.</w:t>
      </w:r>
    </w:p>
    <w:p>
      <w:pPr>
        <w:pStyle w:val="Heading2"/>
        <w:spacing w:after="180" w:before="360"/>
      </w:pPr>
      <w:r>
        <w:rPr>
          <w:rFonts w:ascii="Garamond" w:cs="Garamond" w:eastAsia="Garamond" w:hAnsi="Garamond"/>
          <w:b/>
          <w:bCs/>
          <w:color w:val="10233F"/>
          <w:sz w:val="28"/>
          <w:szCs w:val="28"/>
        </w:rPr>
        <w:t xml:space="preserve">7.5. Implicancias jurídicas y contables de la criptografía de clave pública</w:t>
      </w:r>
    </w:p>
    <w:p>
      <w:pPr>
        <w:spacing w:after="160" w:line="300"/>
        <w:jc w:val="both"/>
      </w:pPr>
      <w:r>
        <w:rPr>
          <w:rFonts w:ascii="Garamond" w:cs="Garamond" w:eastAsia="Garamond" w:hAnsi="Garamond"/>
          <w:sz w:val="24"/>
          <w:szCs w:val="24"/>
        </w:rPr>
        <w:t xml:space="preserve">La arquitectura criptográfica descrita en este capítulo tiene una consecuencia jurídica de primer orden, que se desarrollará con mayor extensión en el Capítulo 10 al abordar la naturaleza jurídica de Bitcoin como activo, pero que corresponde anticipar aquí: la titularidad sobre un bitcoin, en el sistema diseñado por Nakamoto, no se define por referencia a un registro de identidad personal —como ocurre con la titularidad registral de un inmueble o de una cuenta bancaria—, sino exclusivamente por el control demostrable, mediante una firma digital válida, sobre la clave privada correspondiente. Esta característica —que la literatura jurídica describe frecuentemente bajo la máxima «quien controla las claves controla el activo» («not your keys, not your coins»)— tiene consecuencias directas sobre la calificación jurídica de la posesión y la propiedad de Bitcoin en los distintos ordenamientos, y sobre la determinación de a quién corresponde, a efectos contables, el reconocimiento del activo en un estado de situación patrimonial, cuestión especialmente relevante cuando los fondos se encuentran depositados en un exchange o custodio de terceros, en cuyo caso corresponde distinguir entre la titularidad económica del cliente y el control criptográfico efectivo que retiene el custodio, distinción que se desarrollará en el Capítulo 12 al tratar el reconocimiento contable de activos digitales.</w:t>
      </w:r>
    </w:p>
    <w:p>
      <w:pPr>
        <w:spacing w:after="160" w:line="300"/>
        <w:jc w:val="both"/>
      </w:pPr>
      <w:r>
        <w:rPr>
          <w:rFonts w:ascii="Garamond" w:cs="Garamond" w:eastAsia="Garamond" w:hAnsi="Garamond"/>
          <w:sz w:val="24"/>
          <w:szCs w:val="24"/>
        </w:rPr>
        <w:t xml:space="preserve">Desde la perspectiva de auditoría, la propiedad criptográfica descrita en este capítulo habilita un procedimiento de verificación de existencia y de derechos que no tiene equivalente en la auditoría de activos financieros tradicionales: la firma de un mensaje (message signing), mediante la cual el titular de una clave privada puede producir, sin comprometer la seguridad de sus fondos ni realizar transacción alguna, una firma digital verificable que demuestra de manera criptográficamente irrefutable el control sobre una dirección determinada en un momento dado, procedimiento que se desarrollará como herramienta central de auditoría en el Capítulo 31.</w:t>
      </w:r>
    </w:p>
    <w:p>
      <w:pPr>
        <w:pStyle w:val="Heading2"/>
        <w:spacing w:after="180" w:before="360"/>
      </w:pPr>
      <w:r>
        <w:rPr>
          <w:rFonts w:ascii="Garamond" w:cs="Garamond" w:eastAsia="Garamond" w:hAnsi="Garamond"/>
          <w:b/>
          <w:bCs/>
          <w:color w:val="10233F"/>
          <w:sz w:val="28"/>
          <w:szCs w:val="28"/>
        </w:rPr>
        <w:t xml:space="preserve">7.6. Síntesis del capítulo</w:t>
      </w:r>
    </w:p>
    <w:p>
      <w:pPr>
        <w:spacing w:after="160" w:line="300"/>
        <w:jc w:val="both"/>
      </w:pPr>
      <w:r>
        <w:rPr>
          <w:rFonts w:ascii="Garamond" w:cs="Garamond" w:eastAsia="Garamond" w:hAnsi="Garamond"/>
          <w:sz w:val="24"/>
          <w:szCs w:val="24"/>
        </w:rPr>
        <w:t xml:space="preserve">Este capítulo desarrolló el fundamento matemático de la propiedad en el sistema Bitcoin: la criptografía asimétrica de clave pública, su implementación específica mediante curva elíptica (secp256k1) y firmas digitales (ECDSA y, desde 2021, Schnorr), y las consecuencias jurídicas y contables que se derivan de un sistema de titularidad basado exclusivamente en el control criptográfico de claves privadas, sin registro de identidad personal asociado. Estos fundamentos resultan indispensables para el Capítulo 8, que desarrolla el modelo UTXO y su relevancia para la determinación del costo computable de cada enajenación de Bitcoin a efectos contables e impositivos, y para el Capítulo 31, que retomará la firma de mensajes como procedimiento central de auditoría de existencia y derechos sobre tenencias de Bitcoin.</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7</w:t>
      </w:r>
    </w:p>
    <w:p>
      <w:pPr>
        <w:spacing w:after="160"/>
        <w:ind w:left="480" w:hanging="480"/>
        <w:jc w:val="both"/>
      </w:pPr>
      <w:r>
        <w:rPr>
          <w:rFonts w:ascii="Garamond" w:cs="Garamond" w:eastAsia="Garamond" w:hAnsi="Garamond"/>
          <w:sz w:val="22"/>
          <w:szCs w:val="22"/>
        </w:rPr>
        <w:t xml:space="preserve">Diffie, W., y Hellman, M. (1976). New directions in cryptography. IEEE Transactions on Information Theory, 22(6), 644-654.</w:t>
      </w:r>
    </w:p>
    <w:p>
      <w:pPr>
        <w:spacing w:after="160"/>
        <w:ind w:left="480" w:hanging="480"/>
        <w:jc w:val="both"/>
      </w:pPr>
      <w:r>
        <w:rPr>
          <w:rFonts w:ascii="Garamond" w:cs="Garamond" w:eastAsia="Garamond" w:hAnsi="Garamond"/>
          <w:sz w:val="22"/>
          <w:szCs w:val="22"/>
        </w:rPr>
        <w:t xml:space="preserve">Johnson, D., Menezes, A., y Vanstone, S. (2001). The Elliptic Curve Digital Signature Algorithm (ECDSA). International Journal of Information Security, 1(1), 36-63.</w:t>
      </w:r>
    </w:p>
    <w:p>
      <w:pPr>
        <w:spacing w:after="160"/>
        <w:ind w:left="480" w:hanging="480"/>
        <w:jc w:val="both"/>
      </w:pPr>
      <w:r>
        <w:rPr>
          <w:rFonts w:ascii="Garamond" w:cs="Garamond" w:eastAsia="Garamond" w:hAnsi="Garamond"/>
          <w:sz w:val="22"/>
          <w:szCs w:val="22"/>
        </w:rPr>
        <w:t xml:space="preserve">Nakamoto, S. (2008). Bitcoin: A peer-to-peer electronic cash system. https://bitcoin.org/bitcoin.pdf</w:t>
      </w:r>
    </w:p>
    <w:p>
      <w:pPr>
        <w:spacing w:after="160"/>
        <w:ind w:left="480" w:hanging="480"/>
        <w:jc w:val="both"/>
      </w:pPr>
      <w:r>
        <w:rPr>
          <w:rFonts w:ascii="Garamond" w:cs="Garamond" w:eastAsia="Garamond" w:hAnsi="Garamond"/>
          <w:sz w:val="22"/>
          <w:szCs w:val="22"/>
        </w:rPr>
        <w:t xml:space="preserve">Narayanan, A., Bonneau, J., Felten, E., Miller, A., y Goldfeder, S. (2016). Bitcoin and cryptocurrency technologies: A comprehensive introduction. Princeton University Press.</w:t>
      </w:r>
    </w:p>
    <w:p>
      <w:pPr>
        <w:spacing w:after="160"/>
        <w:ind w:left="480" w:hanging="480"/>
        <w:jc w:val="both"/>
      </w:pPr>
      <w:r>
        <w:rPr>
          <w:rFonts w:ascii="Garamond" w:cs="Garamond" w:eastAsia="Garamond" w:hAnsi="Garamond"/>
          <w:sz w:val="22"/>
          <w:szCs w:val="22"/>
        </w:rPr>
        <w:t xml:space="preserve">Wuille, P., Nick, J., y Towns, T. (2020). BIP-340: Schnorr signatures for secp256k1. Bitcoin Improvement Proposals. https://github.com/bitcoin/bips/blob/master/bip-0340.mediawiki</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8</w:t>
      </w:r>
    </w:p>
    <w:p>
      <w:pPr>
        <w:spacing w:after="400"/>
      </w:pPr>
      <w:r>
        <w:rPr>
          <w:rFonts w:ascii="Garamond" w:cs="Garamond" w:eastAsia="Garamond" w:hAnsi="Garamond"/>
          <w:b/>
          <w:bCs/>
          <w:color w:val="9C7A2E"/>
          <w:sz w:val="40"/>
          <w:szCs w:val="40"/>
        </w:rPr>
        <w:t xml:space="preserve">El modelo UTXO</w:t>
      </w:r>
    </w:p>
    <w:p>
      <w:pPr>
        <w:pStyle w:val="Heading2"/>
        <w:spacing w:after="180" w:before="360"/>
      </w:pPr>
      <w:r>
        <w:rPr>
          <w:rFonts w:ascii="Garamond" w:cs="Garamond" w:eastAsia="Garamond" w:hAnsi="Garamond"/>
          <w:b/>
          <w:bCs/>
          <w:color w:val="10233F"/>
          <w:sz w:val="28"/>
          <w:szCs w:val="28"/>
        </w:rPr>
        <w:t xml:space="preserve">8.1. Introducción: por qué el modelo de registro importa para el contador</w:t>
      </w:r>
    </w:p>
    <w:p>
      <w:pPr>
        <w:spacing w:after="160" w:line="300"/>
        <w:jc w:val="both"/>
      </w:pPr>
      <w:r>
        <w:rPr>
          <w:rFonts w:ascii="Garamond" w:cs="Garamond" w:eastAsia="Garamond" w:hAnsi="Garamond"/>
          <w:sz w:val="24"/>
          <w:szCs w:val="24"/>
        </w:rPr>
        <w:t xml:space="preserve">Los capítulos anteriores mencionaron, de manera introductoria, que Bitcoin no mantiene un registro de saldos de cuenta en sentido contable tradicional, sino un registro de salidas de transacción no gastadas, conocido por su sigla en inglés como UTXO (Unspent Transaction Output). Este capítulo desarrolla ese modelo con el detalle necesario para comprender una de sus consecuencias prácticas de mayor relevancia para esta obra: la determinación del costo computable de cada unidad de Bitcoin enajenada, cuestión que atraviesa transversalmente el tratamiento contable bajo NIC 38 (Capítulo 14), el reconocimiento de resultados por tenencia y por enajenación (Capítulo 12), y la determinación de la base imponible del Impuesto a las Ganancias (Capítulo 26).</w:t>
      </w:r>
    </w:p>
    <w:p>
      <w:pPr>
        <w:spacing w:after="160" w:line="300"/>
        <w:jc w:val="both"/>
      </w:pPr>
      <w:r>
        <w:rPr>
          <w:rFonts w:ascii="Garamond" w:cs="Garamond" w:eastAsia="Garamond" w:hAnsi="Garamond"/>
          <w:sz w:val="24"/>
          <w:szCs w:val="24"/>
        </w:rPr>
        <w:t xml:space="preserve">La comprensión del modelo UTXO no es, en este caso, un desarrollo meramente técnico y aislado: es la condición previa indispensable para responder correctamente a una pregunta que todo contador enfrentará en la práctica profesional: si un cliente adquirió bitcoins en cinco operaciones distintas, a precios distintos, y posteriormente vendió una fracción de su tenencia total, ¿qué costo corresponde computar en esa venta? La respuesta depende, en buena medida, de cómo se estructuran técnicamente las tenencias de Bitcoin, y esa estructura es precisamente el modelo UTXO que se desarrolla en este capítulo.</w:t>
      </w:r>
    </w:p>
    <w:p>
      <w:pPr>
        <w:pStyle w:val="Heading2"/>
        <w:spacing w:after="180" w:before="360"/>
      </w:pPr>
      <w:r>
        <w:rPr>
          <w:rFonts w:ascii="Garamond" w:cs="Garamond" w:eastAsia="Garamond" w:hAnsi="Garamond"/>
          <w:b/>
          <w:bCs/>
          <w:color w:val="10233F"/>
          <w:sz w:val="28"/>
          <w:szCs w:val="28"/>
        </w:rPr>
        <w:t xml:space="preserve">8.2. El modelo de cuenta versus el modelo UTXO</w:t>
      </w:r>
    </w:p>
    <w:p>
      <w:pPr>
        <w:spacing w:after="160" w:line="300"/>
        <w:jc w:val="both"/>
      </w:pPr>
      <w:r>
        <w:rPr>
          <w:rFonts w:ascii="Garamond" w:cs="Garamond" w:eastAsia="Garamond" w:hAnsi="Garamond"/>
          <w:sz w:val="24"/>
          <w:szCs w:val="24"/>
        </w:rPr>
        <w:t xml:space="preserve">La generalidad de los sistemas contables y bancarios tradicionales —y también otras redes de criptoactivos relevantes, entre ellas Ethereum— emplean lo que la literatura técnica denomina un modelo de cuenta (account-based model): el sistema mantiene, para cada titular identificado por una dirección o número de cuenta, un saldo único y actualizado, y cada transacción se registra como un débito al saldo del emisor y un crédito al saldo del receptor, de manera directamente análoga al funcionamiento de una cuenta corriente bancaria o de un libro mayor contable convencional.</w:t>
      </w:r>
    </w:p>
    <w:p>
      <w:pPr>
        <w:spacing w:after="160" w:line="300"/>
        <w:jc w:val="both"/>
      </w:pPr>
      <w:r>
        <w:rPr>
          <w:rFonts w:ascii="Garamond" w:cs="Garamond" w:eastAsia="Garamond" w:hAnsi="Garamond"/>
          <w:sz w:val="24"/>
          <w:szCs w:val="24"/>
        </w:rPr>
        <w:t xml:space="preserve">Bitcoin, en cambio, no mantiene saldos de cuenta en absoluto. Lo que el protocolo registra es una colección de salidas de transacciones previas que aún no han sido gastadas —las UTXO propiamente dichas—, cada una de las cuales especifica una cantidad determinada de bitcoins y las condiciones criptográficas (típicamente, la clave pública o el hash de la clave pública del titular) que deben satisfacerse para gastarla. Lo que coloquialmente se denomina «el saldo» de una dirección de Bitcoin no es, en rigor, un valor almacenado en ningún lugar del protocolo, sino un cálculo derivado: la suma de todas las UTXO cuyas condiciones de gasto están asociadas a esa dirección en un momento dado, calculada por el software de la wallet o por cualquier nodo completo a partir del historial público de transacciones.</w:t>
      </w:r>
    </w:p>
    <w:p>
      <w:pPr>
        <w:pStyle w:val="Heading2"/>
        <w:spacing w:after="180" w:before="360"/>
      </w:pPr>
      <w:r>
        <w:rPr>
          <w:rFonts w:ascii="Garamond" w:cs="Garamond" w:eastAsia="Garamond" w:hAnsi="Garamond"/>
          <w:b/>
          <w:bCs/>
          <w:color w:val="10233F"/>
          <w:sz w:val="28"/>
          <w:szCs w:val="28"/>
        </w:rPr>
        <w:t xml:space="preserve">8.3. Cómo se consumen y se generan las UTXO en cada transacción</w:t>
      </w:r>
    </w:p>
    <w:p>
      <w:pPr>
        <w:spacing w:after="160" w:line="300"/>
        <w:jc w:val="both"/>
      </w:pPr>
      <w:r>
        <w:rPr>
          <w:rFonts w:ascii="Garamond" w:cs="Garamond" w:eastAsia="Garamond" w:hAnsi="Garamond"/>
          <w:sz w:val="24"/>
          <w:szCs w:val="24"/>
        </w:rPr>
        <w:t xml:space="preserve">Toda transacción de Bitcoin, según se adelantó en el Capítulo 3, consume una o más UTXO existentes como entradas (inputs) y genera una o más UTXO nuevas como salidas (outputs). Una consecuencia de este diseño, que con frecuencia resulta contraintuitiva para quien proviene de la lógica del modelo de cuenta, es que una UTXO debe gastarse en su totalidad: no existe la posibilidad de gastar «una parte» de una UTXO determinada, del mismo modo en que no es posible pagar con «una parte» de un billete físico sin recibir vuelto.</w:t>
      </w:r>
    </w:p>
    <w:p>
      <w:pPr>
        <w:spacing w:after="160" w:line="300"/>
        <w:jc w:val="both"/>
      </w:pPr>
      <w:r>
        <w:rPr>
          <w:rFonts w:ascii="Garamond" w:cs="Garamond" w:eastAsia="Garamond" w:hAnsi="Garamond"/>
          <w:sz w:val="24"/>
          <w:szCs w:val="24"/>
        </w:rPr>
        <w:t xml:space="preserve">Por esa razón, cuando un usuario desea realizar un pago por un monto inferior al valor de la UTXO (o de la combinación de UTXO) que utiliza como entrada de la transacción, la transacción debe generar necesariamente una segunda salida —denominada salida de cambio (change output)— que devuelve la diferencia, menos la comisión de red correspondiente, a una dirección bajo control del propio emisor, habitualmente una nueva dirección generada automáticamente por la wallet según el esquema determinístico jerárquico descrito en el Capítulo 6. Este mecanismo de «cambio» es directamente análogo, en su lógica económica, al vuelto que se recibe en una transacción en efectivo con billetes físicos, y genera, como consecuencia práctica relevante para el contador, una nueva UTXO adicional bajo control del emisor cada vez que este realiza un pago que no consume exactamente el valor total de sus UTXO disponibles.</w:t>
      </w:r>
    </w:p>
    <w:p>
      <w:pPr>
        <w:pStyle w:val="Heading2"/>
        <w:spacing w:after="180" w:before="360"/>
      </w:pPr>
      <w:r>
        <w:rPr>
          <w:rFonts w:ascii="Garamond" w:cs="Garamond" w:eastAsia="Garamond" w:hAnsi="Garamond"/>
          <w:b/>
          <w:bCs/>
          <w:color w:val="10233F"/>
          <w:sz w:val="28"/>
          <w:szCs w:val="28"/>
        </w:rPr>
        <w:t xml:space="preserve">8.4. Implicancias del modelo UTXO para la determinación del costo computable</w:t>
      </w:r>
    </w:p>
    <w:p>
      <w:pPr>
        <w:spacing w:after="160" w:line="300"/>
        <w:jc w:val="both"/>
      </w:pPr>
      <w:r>
        <w:rPr>
          <w:rFonts w:ascii="Garamond" w:cs="Garamond" w:eastAsia="Garamond" w:hAnsi="Garamond"/>
          <w:sz w:val="24"/>
          <w:szCs w:val="24"/>
        </w:rPr>
        <w:t xml:space="preserve">La consecuencia de mayor relevancia contable e impositiva del modelo UTXO, y el motivo por el cual este capítulo antecede al desarrollo de la Parte III de esta obra, es la siguiente: dado que cada UTXO conserva, de manera indeleble y verificable en el registro público, la información de en qué transacción y en qué momento fue generada, resulta técnicamente posible —y, según se desarrollará en el Capítulo 26, exigible a efectos del Impuesto a las Ganancias en numerosas jurisdicciones, entre ellas la argentina— identificar de manera específica e individualizada cuál o cuáles UTXO, adquiridas en qué momento y a qué costo, se emplean como entrada de una transacción de venta determinada.</w:t>
      </w:r>
    </w:p>
    <w:p>
      <w:pPr>
        <w:spacing w:after="160" w:line="300"/>
        <w:jc w:val="both"/>
      </w:pPr>
      <w:r>
        <w:rPr>
          <w:rFonts w:ascii="Garamond" w:cs="Garamond" w:eastAsia="Garamond" w:hAnsi="Garamond"/>
          <w:sz w:val="24"/>
          <w:szCs w:val="24"/>
        </w:rPr>
        <w:t xml:space="preserve">Esta trazabilidad individualizada de cada unidad contrasta con la lógica de fungibilidad total que rige, por ejemplo, la tenencia de dinero en una cuenta bancaria, en la que resulta imposible —y contablemente irrelevante— identificar qué billete específico depositado en una fecha determinada se retira en una extracción posterior. En el caso de Bitcoin, esa identificación específica es técnicamente posible gracias al modelo UTXO, lo cual habilita la aplicación del método de identificación específica (specific identification) para la determinación del costo computable de cada venta, como alternativa a los métodos de costeo promedio o de primero entrado, primero salido (FIFO) que se analizarán comparativamente en el Capítulo 26, y que numerosas administraciones tributarias —entre ellas, de manera notoria, el Internal Revenue Service de los Estados Unidos a partir de guías interpretativas emitidas en 2019 y profundizadas en años posteriores— han comenzado a exigir o a admitir expresamente para los criptoactivos, precisamente en virtud de esta trazabilidad técnica que los distingue de las tenencias de moneda fiduciaria tradicional.</w:t>
      </w:r>
    </w:p>
    <w:p>
      <w:pPr>
        <w:spacing w:after="160" w:line="300"/>
        <w:jc w:val="both"/>
      </w:pPr>
      <w:r>
        <w:rPr>
          <w:rFonts w:ascii="Garamond" w:cs="Garamond" w:eastAsia="Garamond" w:hAnsi="Garamond"/>
          <w:sz w:val="24"/>
          <w:szCs w:val="24"/>
        </w:rPr>
        <w:t xml:space="preserve">Cabe advertir, sin embargo, que esta trazabilidad técnica a nivel de UTXO no equivale automáticamente a una trazabilidad de titularidad a nivel de identidad personal: como se desarrolló en el Capítulo 7, la propiedad de una UTXO se define por el control de una clave privada, no por un registro de identidad, y el vínculo entre una dirección de Bitcoin determinada y la identidad de su titular solo puede establecerse mediante información externa al protocolo —típicamente, los registros de identificación del cliente (Know Your Customer, KYC) que un exchange regulado se encuentra obligado a recabar—, cuestión que se retomará en profundidad en el Capítulo 33 al tratar la prevención de lavado de activos.</w:t>
      </w:r>
    </w:p>
    <w:p>
      <w:pPr>
        <w:pStyle w:val="Heading2"/>
        <w:spacing w:after="180" w:before="360"/>
      </w:pPr>
      <w:r>
        <w:rPr>
          <w:rFonts w:ascii="Garamond" w:cs="Garamond" w:eastAsia="Garamond" w:hAnsi="Garamond"/>
          <w:b/>
          <w:bCs/>
          <w:color w:val="10233F"/>
          <w:sz w:val="28"/>
          <w:szCs w:val="28"/>
        </w:rPr>
        <w:t xml:space="preserve">8.5. El modelo UTXO y la privacidad: direcciones de un solo uso</w:t>
      </w:r>
    </w:p>
    <w:p>
      <w:pPr>
        <w:spacing w:after="160" w:line="300"/>
        <w:jc w:val="both"/>
      </w:pPr>
      <w:r>
        <w:rPr>
          <w:rFonts w:ascii="Garamond" w:cs="Garamond" w:eastAsia="Garamond" w:hAnsi="Garamond"/>
          <w:sz w:val="24"/>
          <w:szCs w:val="24"/>
        </w:rPr>
        <w:t xml:space="preserve">Una práctica recomendada de manera consistente por la comunidad técnica de Bitcoin desde sus primeros años, y que se relaciona directamente con el modelo UTXO descrito en este capítulo, es la generación de una dirección nueva para cada transacción de recepción de fondos, en lugar de reutilizar reiteradamente una misma dirección. Dado que, como se explicó en el Capítulo 3, la totalidad del historial de transacciones de Bitcoin es público y permanentemente auditable por cualquier participante de la red, la reutilización de una misma dirección para múltiples transacciones facilita que un observador externo pueda inferir, mediante técnicas de análisis de cadena (chain analysis), un patrón de actividad económica asociado a esa dirección, incluyendo el saldo agregado resultante de sumar la totalidad de las UTXO asociadas a ella.</w:t>
      </w:r>
    </w:p>
    <w:p>
      <w:pPr>
        <w:spacing w:after="160" w:line="300"/>
        <w:jc w:val="both"/>
      </w:pPr>
      <w:r>
        <w:rPr>
          <w:rFonts w:ascii="Garamond" w:cs="Garamond" w:eastAsia="Garamond" w:hAnsi="Garamond"/>
          <w:sz w:val="24"/>
          <w:szCs w:val="24"/>
        </w:rPr>
        <w:t xml:space="preserve">La generación de una dirección nueva para cada transacción de recepción —práctica que las wallets determinísticas jerárquicas descritas en el Capítulo 6 automatizan por defecto— dificulta, aunque no elimina completamente, esa inferencia externa, y constituye una de las razones por las cuales una única persona o entidad puede, en la práctica, controlar centenares o miles de direcciones distintas, cada una asociada a un subconjunto de sus UTXO totales. Esta circunstancia tiene una implicancia práctica directa para el auditor que deba verificar la existencia y la integridad de una tenencia de Bitcoin: la evidencia de auditoría no puede limitarse a la verificación de una única dirección, sino que debe contemplar la totalidad del conjunto de direcciones bajo control de la entidad auditada, cuestión que se desarrollará con el detalle procedimental correspondiente en el Capítulo 31.</w:t>
      </w:r>
    </w:p>
    <w:p>
      <w:pPr>
        <w:pStyle w:val="Heading2"/>
        <w:spacing w:after="180" w:before="360"/>
      </w:pPr>
      <w:r>
        <w:rPr>
          <w:rFonts w:ascii="Garamond" w:cs="Garamond" w:eastAsia="Garamond" w:hAnsi="Garamond"/>
          <w:b/>
          <w:bCs/>
          <w:color w:val="10233F"/>
          <w:sz w:val="28"/>
          <w:szCs w:val="28"/>
        </w:rPr>
        <w:t xml:space="preserve">8.6. Síntesis del capítulo</w:t>
      </w:r>
    </w:p>
    <w:p>
      <w:pPr>
        <w:spacing w:after="160" w:line="300"/>
        <w:jc w:val="both"/>
      </w:pPr>
      <w:r>
        <w:rPr>
          <w:rFonts w:ascii="Garamond" w:cs="Garamond" w:eastAsia="Garamond" w:hAnsi="Garamond"/>
          <w:sz w:val="24"/>
          <w:szCs w:val="24"/>
        </w:rPr>
        <w:t xml:space="preserve">Este capítulo desarrolló el modelo UTXO como la estructura de registro que emplea Bitcoin en lugar del modelo de cuenta propio de los sistemas contables y bancarios tradicionales, explicó el mecanismo de consumo y generación de UTXO —incluyendo la salida de cambio— en cada transacción, y estableció la consecuencia de mayor relevancia para esta obra: la trazabilidad individualizada de cada unidad de Bitcoin que el modelo UTXO habilita, y que permite la aplicación del método de identificación específica para la determinación del costo computable, cuestión que se retomará en profundidad en el Capítulo 26. Con este capítulo se cierra la Parte I de la obra, dedicada a los fundamentos históricos y tecnológicos de Bitcoin. El Capítulo 9 completa esa base introductoria abordando, de manera panorámica y comparativa, la tokenización, las stablecoins, las finanzas descentralizadas (DeFi), los tokens no fungibles (NFT) y las organizaciones autónomas descentralizadas (DAO), con el propósito específico de trazar con precisión las fronteras conceptuales entre Bitcoin y ese conjunto más amplio y heterogéneo de criptoactivos, distinción indispensable antes de adentrarnos, a partir de la Parte II, en el análisis contable propiamente dicho.</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8</w:t>
      </w:r>
    </w:p>
    <w:p>
      <w:pPr>
        <w:spacing w:after="160"/>
        <w:ind w:left="480" w:hanging="480"/>
        <w:jc w:val="both"/>
      </w:pPr>
      <w:r>
        <w:rPr>
          <w:rFonts w:ascii="Garamond" w:cs="Garamond" w:eastAsia="Garamond" w:hAnsi="Garamond"/>
          <w:sz w:val="22"/>
          <w:szCs w:val="22"/>
        </w:rPr>
        <w:t xml:space="preserve">Antonopoulos, A. M. (2017). Mastering Bitcoin: Programming the open blockchain (2.ª ed.). O'Reilly Media.</w:t>
      </w:r>
    </w:p>
    <w:p>
      <w:pPr>
        <w:spacing w:after="160"/>
        <w:ind w:left="480" w:hanging="480"/>
        <w:jc w:val="both"/>
      </w:pPr>
      <w:r>
        <w:rPr>
          <w:rFonts w:ascii="Garamond" w:cs="Garamond" w:eastAsia="Garamond" w:hAnsi="Garamond"/>
          <w:sz w:val="22"/>
          <w:szCs w:val="22"/>
        </w:rPr>
        <w:t xml:space="preserve">Internal Revenue Service. (2019). Rev. Rul. 2019-24: Revenue ruling on cryptocurrency hard forks. U.S. Department of the Treasury.</w:t>
      </w:r>
    </w:p>
    <w:p>
      <w:pPr>
        <w:spacing w:after="160"/>
        <w:ind w:left="480" w:hanging="480"/>
        <w:jc w:val="both"/>
      </w:pPr>
      <w:r>
        <w:rPr>
          <w:rFonts w:ascii="Garamond" w:cs="Garamond" w:eastAsia="Garamond" w:hAnsi="Garamond"/>
          <w:sz w:val="22"/>
          <w:szCs w:val="22"/>
        </w:rPr>
        <w:t xml:space="preserve">Nakamoto, S. (2008). Bitcoin: A peer-to-peer electronic cash system. https://bitcoin.org/bitcoin.pdf</w:t>
      </w:r>
    </w:p>
    <w:p>
      <w:pPr>
        <w:spacing w:after="160"/>
        <w:ind w:left="480" w:hanging="480"/>
        <w:jc w:val="both"/>
      </w:pPr>
      <w:r>
        <w:rPr>
          <w:rFonts w:ascii="Garamond" w:cs="Garamond" w:eastAsia="Garamond" w:hAnsi="Garamond"/>
          <w:sz w:val="22"/>
          <w:szCs w:val="22"/>
        </w:rPr>
        <w:t xml:space="preserve">Narayanan, A., Bonneau, J., Felten, E., Miller, A., y Goldfeder, S. (2016). Bitcoin and cryptocurrency technologies: A comprehensive introduction. Princeton University Press.</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9</w:t>
      </w:r>
    </w:p>
    <w:p>
      <w:pPr>
        <w:spacing w:after="400"/>
      </w:pPr>
      <w:r>
        <w:rPr>
          <w:rFonts w:ascii="Garamond" w:cs="Garamond" w:eastAsia="Garamond" w:hAnsi="Garamond"/>
          <w:b/>
          <w:bCs/>
          <w:color w:val="9C7A2E"/>
          <w:sz w:val="40"/>
          <w:szCs w:val="40"/>
        </w:rPr>
        <w:t xml:space="preserve">Tokenización, stablecoins, DeFi, NFT y DAO: panorama y diferenciación de Bitcoin</w:t>
      </w:r>
    </w:p>
    <w:p>
      <w:pPr>
        <w:pStyle w:val="Heading2"/>
        <w:spacing w:after="180" w:before="360"/>
      </w:pPr>
      <w:r>
        <w:rPr>
          <w:rFonts w:ascii="Garamond" w:cs="Garamond" w:eastAsia="Garamond" w:hAnsi="Garamond"/>
          <w:b/>
          <w:bCs/>
          <w:color w:val="10233F"/>
          <w:sz w:val="28"/>
          <w:szCs w:val="28"/>
        </w:rPr>
        <w:t xml:space="preserve">9.1. Introducción: por qué distinguir Bitcoin del universo cripto más amplio</w:t>
      </w:r>
    </w:p>
    <w:p>
      <w:pPr>
        <w:spacing w:after="160" w:line="300"/>
        <w:jc w:val="both"/>
      </w:pPr>
      <w:r>
        <w:rPr>
          <w:rFonts w:ascii="Garamond" w:cs="Garamond" w:eastAsia="Garamond" w:hAnsi="Garamond"/>
          <w:sz w:val="24"/>
          <w:szCs w:val="24"/>
        </w:rPr>
        <w:t xml:space="preserve">Los ocho capítulos precedentes desarrollaron, con el detalle histórico, económico y técnico correspondiente, la naturaleza específica de Bitcoin: una red pública, distribuida y no permisionada, sin emisor identificable, con una política monetaria fija y algorítmicamente verificable, y sin funcionalidad programable más allá de la transferencia de valor. Esta especificidad de Bitcoin contrasta, sin embargo, con el uso extendido —tanto en el discurso mediático cuanto, lamentablemente, en cierta literatura profesional poco rigurosa— del término genérico «criptomonedas» para referirse indistintamente a Bitcoin y a un universo mucho más amplio y heterogéneo de activos digitales que comparten con Bitcoin ciertos elementos tecnológicos —el uso de registros distribuidos y de criptografía—, pero que difieren de manera sustancial en su diseño económico, en su estructura de gobernanza y, como se desarrollará en la Parte III de esta obra, en su encuadre contable aplicable.</w:t>
      </w:r>
    </w:p>
    <w:p>
      <w:pPr>
        <w:spacing w:after="160" w:line="300"/>
        <w:jc w:val="both"/>
      </w:pPr>
      <w:r>
        <w:rPr>
          <w:rFonts w:ascii="Garamond" w:cs="Garamond" w:eastAsia="Garamond" w:hAnsi="Garamond"/>
          <w:sz w:val="24"/>
          <w:szCs w:val="24"/>
        </w:rPr>
        <w:t xml:space="preserve">Este capítulo cierra la Parte I de la obra ofreciendo un panorama conceptual —no exhaustivo, dado que excede el objeto de un libro dedicado específicamente a Bitcoin— de las principales categorías de ese universo más amplio: la tokenización de activos, las stablecoins, las finanzas descentralizadas (DeFi), los tokens no fungibles (NFT) y las organizaciones autónomas descentralizadas (DAO). El propósito de este panorama no es agotar el tratamiento contable de cada una de esas categorías —que merecería, cada una, un tratado específico—, sino trazar con precisión las fronteras conceptuales que permitan al lector distinguir, en cada caso concreto que enfrente en su práctica profesional, si se encuentra ante Bitcoin propiamente dicho o ante un activo de naturaleza distinta que, aunque pueda compartir cierta terminología o infraestructura tecnológica, exige un análisis normativo diferenciado.</w:t>
      </w:r>
    </w:p>
    <w:p>
      <w:pPr>
        <w:pStyle w:val="Heading2"/>
        <w:spacing w:after="180" w:before="360"/>
      </w:pPr>
      <w:r>
        <w:rPr>
          <w:rFonts w:ascii="Garamond" w:cs="Garamond" w:eastAsia="Garamond" w:hAnsi="Garamond"/>
          <w:b/>
          <w:bCs/>
          <w:color w:val="10233F"/>
          <w:sz w:val="28"/>
          <w:szCs w:val="28"/>
        </w:rPr>
        <w:t xml:space="preserve">9.2. Tokenización de activos</w:t>
      </w:r>
    </w:p>
    <w:p>
      <w:pPr>
        <w:spacing w:after="160" w:line="300"/>
        <w:jc w:val="both"/>
      </w:pPr>
      <w:r>
        <w:rPr>
          <w:rFonts w:ascii="Garamond" w:cs="Garamond" w:eastAsia="Garamond" w:hAnsi="Garamond"/>
          <w:sz w:val="24"/>
          <w:szCs w:val="24"/>
        </w:rPr>
        <w:t xml:space="preserve">Se denomina tokenización al proceso de representar, mediante un registro en una red de blockchain, la titularidad o los derechos económicos sobre un activo subyacente, que puede ser tanto un activo nativo de la propia red digital (un token cuya existencia y cuyo valor no dependen de referencia alguna a un activo externo) cuanto un activo del mundo físico o financiero tradicional —inmuebles, acciones, materias primas, obras de arte— cuya titularidad o cuyos derechos económicos se representan digitalmente mediante un token emitido sobre una red de blockchain, típicamente mediante contratos inteligentes (smart contracts) desplegados sobre plataformas programables como Ethereum.</w:t>
      </w:r>
    </w:p>
    <w:p>
      <w:pPr>
        <w:spacing w:after="160" w:line="300"/>
        <w:jc w:val="both"/>
      </w:pPr>
      <w:r>
        <w:rPr>
          <w:rFonts w:ascii="Garamond" w:cs="Garamond" w:eastAsia="Garamond" w:hAnsi="Garamond"/>
          <w:sz w:val="24"/>
          <w:szCs w:val="24"/>
        </w:rPr>
        <w:t xml:space="preserve">La distinción entre un token nativo y un token representativo de un activo externo resulta jurídica y contablemente crucial: mientras que Bitcoin es, como se ha desarrollado extensamente en los capítulos anteriores, un activo nativo sin referencia externa alguna —su valor no deriva de ningún derecho sobre un tercero ni de ningún activo subyacente distinto de sí mismo—, un token que representa la titularidad fraccionada de un inmueble, por ejemplo, constituye, desde la perspectiva contable de su tenedor, un derecho sobre un activo subyacente distinto, cuyo tratamiento contable dependerá de la naturaleza jurídica y económica de ese derecho —participación societaria, título de deuda, derecho real fraccionado— antes que de la circunstancia tecnológica de que dicho derecho se encuentre representado mediante un token. Esta distinción se retomará con el detalle correspondiente en el Capítulo 10 al desarrollar la naturaleza jurídica de los distintos criptoactivos.</w:t>
      </w:r>
    </w:p>
    <w:p>
      <w:pPr>
        <w:pStyle w:val="Heading2"/>
        <w:spacing w:after="180" w:before="360"/>
      </w:pPr>
      <w:r>
        <w:rPr>
          <w:rFonts w:ascii="Garamond" w:cs="Garamond" w:eastAsia="Garamond" w:hAnsi="Garamond"/>
          <w:b/>
          <w:bCs/>
          <w:color w:val="10233F"/>
          <w:sz w:val="28"/>
          <w:szCs w:val="28"/>
        </w:rPr>
        <w:t xml:space="preserve">9.3. Stablecoins</w:t>
      </w:r>
    </w:p>
    <w:p>
      <w:pPr>
        <w:spacing w:after="160" w:line="300"/>
        <w:jc w:val="both"/>
      </w:pPr>
      <w:r>
        <w:rPr>
          <w:rFonts w:ascii="Garamond" w:cs="Garamond" w:eastAsia="Garamond" w:hAnsi="Garamond"/>
          <w:sz w:val="24"/>
          <w:szCs w:val="24"/>
        </w:rPr>
        <w:t xml:space="preserve">Se denominan stablecoins a los criptoactivos diseñados específicamente para mantener una paridad de valor estable respecto de un activo de referencia, típicamente una moneda fiduciaria como el dólar estadounidense, mediante alguno de tres mecanismos de estabilización principales: el respaldo mediante reservas de activos fiduciarios o equivalentes de alta liquidez mantenidos por el emisor centralizado (stablecoins con respaldo fiduciario, categoría en la que se ubican Tether (USDT) y USD Coin (USDC), las de mayor capitalización de mercado a la fecha de esta edición); el respaldo mediante otros criptoactivos depositados en garantía y sujetos a mecanismos de sobrecolateralización gestionados por contratos inteligentes (stablecoins con respaldo cripto, como DAI); y, con un historial considerablemente más volátil y riesgoso, mecanismos puramente algorítmicos que pretenden mantener la paridad mediante incentivos de mercado sin respaldo de reservas tangibles (stablecoins algorítmicas), categoría cuyo caso paradigmático de fracaso —el colapso de TerraUSD (UST) en mayo de 2022, que destruyó decenas de miles de millones de dólares de valor en cuestión de días— constituye un antecedente ineludible en cualquier análisis de riesgo de esta categoría de activos.</w:t>
      </w:r>
    </w:p>
    <w:p>
      <w:pPr>
        <w:spacing w:after="160" w:line="300"/>
        <w:jc w:val="both"/>
      </w:pPr>
      <w:r>
        <w:rPr>
          <w:rFonts w:ascii="Garamond" w:cs="Garamond" w:eastAsia="Garamond" w:hAnsi="Garamond"/>
          <w:sz w:val="24"/>
          <w:szCs w:val="24"/>
        </w:rPr>
        <w:t xml:space="preserve">Como se anticipó al tratar el dinero representativo en el Capítulo 1, las stablecoins con respaldo fiduciario constituyen, en términos de su estructura económica, un descendiente conceptual directo del certificado de depósito bancario convertible: un pasivo del emisor, cuyo tenedor mantiene un derecho de crédito o de rescate sobre las reservas subyacentes. Esta estructura tiene una consecuencia contable de primera importancia que las distingue categóricamente de Bitcoin: mientras que Bitcoin, como se desarrollará en el Capítulo 10, carece de emisor y, en consecuencia, no representa un derecho de crédito contra tercero alguno, una stablecoin con respaldo fiduciario sí constituye, económicamente, un derecho contra el emisor, lo cual plantea, para su tenedor, consideraciones de riesgo de contraparte y eventualmente un encuadre contable como instrumento financiero bajo NIIF 9, distinto del encuadre como activo intangible bajo NIC 38 que, como se desarrollará en el Capítulo 14, resulta aplicable a Bitcoin.</w:t>
      </w:r>
    </w:p>
    <w:p>
      <w:pPr>
        <w:spacing w:after="160" w:line="300"/>
        <w:jc w:val="both"/>
      </w:pPr>
      <w:r>
        <w:rPr>
          <w:rFonts w:ascii="Garamond" w:cs="Garamond" w:eastAsia="Garamond" w:hAnsi="Garamond"/>
          <w:sz w:val="24"/>
          <w:szCs w:val="24"/>
        </w:rPr>
        <w:t xml:space="preserve">El marco regulatorio de las stablecoins ha experimentado una evolución significativa a nivel internacional, con el Reglamento de Mercados de Criptoactivos de la Unión Europea (Markets in Crypto-Assets, MiCA), plenamente aplicable desde diciembre de 2024, estableciendo requisitos específicos de reservas, de auditoría y de autorización para los emisores de los denominados «tokens referenciados a activos» y «tokens de dinero electrónico»; y con la sanción, en julio de 2025, de la ley federal estadounidense conocida como GENIUS Act, que estableció por primera vez un marco regulatorio federal específico para los emisores de stablecoins de pago en los Estados Unidos, exigiendo reservas íntegramente respaldadas en efectivo o en instrumentos equivalentes de máxima liquidez y sujetando a los emisores a supervisión prudencial.</w:t>
      </w:r>
    </w:p>
    <w:p>
      <w:pPr>
        <w:pStyle w:val="Heading2"/>
        <w:spacing w:after="180" w:before="360"/>
      </w:pPr>
      <w:r>
        <w:rPr>
          <w:rFonts w:ascii="Garamond" w:cs="Garamond" w:eastAsia="Garamond" w:hAnsi="Garamond"/>
          <w:b/>
          <w:bCs/>
          <w:color w:val="10233F"/>
          <w:sz w:val="28"/>
          <w:szCs w:val="28"/>
        </w:rPr>
        <w:t xml:space="preserve">9.4. Finanzas descentralizadas (DeFi)</w:t>
      </w:r>
    </w:p>
    <w:p>
      <w:pPr>
        <w:spacing w:after="160" w:line="300"/>
        <w:jc w:val="both"/>
      </w:pPr>
      <w:r>
        <w:rPr>
          <w:rFonts w:ascii="Garamond" w:cs="Garamond" w:eastAsia="Garamond" w:hAnsi="Garamond"/>
          <w:sz w:val="24"/>
          <w:szCs w:val="24"/>
        </w:rPr>
        <w:t xml:space="preserve">Se denomina finanzas descentralizadas, o DeFi por su sigla en inglés (Decentralized Finance), al conjunto de protocolos financieros —préstamos, intercambio de activos, mercados de derivados, generación de rendimiento— implementados mediante contratos inteligentes desplegados sobre redes de blockchain programables, típicamente Ethereum y redes compatibles, que pretenden replicar funciones propias de la intermediación financiera tradicional sin la intervención de una entidad centralizada que actúe como contraparte o custodio.</w:t>
      </w:r>
    </w:p>
    <w:p>
      <w:pPr>
        <w:spacing w:after="160" w:line="300"/>
        <w:jc w:val="both"/>
      </w:pPr>
      <w:r>
        <w:rPr>
          <w:rFonts w:ascii="Garamond" w:cs="Garamond" w:eastAsia="Garamond" w:hAnsi="Garamond"/>
          <w:sz w:val="24"/>
          <w:szCs w:val="24"/>
        </w:rPr>
        <w:t xml:space="preserve">Bitcoin, cabe precisarlo con claridad, no constituye una plataforma DeFi ni fue diseñado con esa funcionalidad: el lenguaje de programación de scripts (Bitcoin Script) que emplea el protocolo para especificar las condiciones de gasto de una UTXO, descrito de manera introductoria en el Capítulo 3, es deliberadamente limitado y no Turing-completo, a diferencia del lenguaje de contratos inteligentes de propósito general (Solidity) que emplea Ethereum, precisamente en virtud de una decisión de diseño original de Nakamoto orientada a priorizar la seguridad y la simplicidad verificable de la red por sobre la flexibilidad funcional. Desarrollos más recientes construidos sobre la red de Bitcoin —conocidos genéricamente como «Bitcoin DeFi» o «BTCFi», que emplean mecanismos de segunda capa o de custodia federada para replicar sobre Bitcoin ciertas funcionalidades propias de las finanzas descentralizadas— constituyen, a la fecha de esta edición, un desarrollo incipiente y considerablemente menos maduro que su equivalente en el ecosistema Ethereum, y exceden el objeto específico de esta obra.</w:t>
      </w:r>
    </w:p>
    <w:p>
      <w:pPr>
        <w:spacing w:after="160" w:line="300"/>
        <w:jc w:val="both"/>
      </w:pPr>
      <w:r>
        <w:rPr>
          <w:rFonts w:ascii="Garamond" w:cs="Garamond" w:eastAsia="Garamond" w:hAnsi="Garamond"/>
          <w:sz w:val="24"/>
          <w:szCs w:val="24"/>
        </w:rPr>
        <w:t xml:space="preserve">La relevancia de mencionar DeFi en este capítulo radica en su frecuente confusión mediática con Bitcoin, y en la necesidad de que el profesional contable identifique con precisión que las cuestiones específicas de tratamiento contable de los protocolos DeFi —el reconocimiento de rendimientos generados por la provisión de liquidez, la valuación de posiciones colateralizadas, el riesgo de los denominados «contratos inteligentes vulnerables» ante fallas de código o ataques informáticos— constituyen un objeto de estudio propio, distinto del tratamiento contable de una tenencia simple de Bitcoin que constituye el objeto central de esta obra.</w:t>
      </w:r>
    </w:p>
    <w:p>
      <w:pPr>
        <w:pStyle w:val="Heading2"/>
        <w:spacing w:after="180" w:before="360"/>
      </w:pPr>
      <w:r>
        <w:rPr>
          <w:rFonts w:ascii="Garamond" w:cs="Garamond" w:eastAsia="Garamond" w:hAnsi="Garamond"/>
          <w:b/>
          <w:bCs/>
          <w:color w:val="10233F"/>
          <w:sz w:val="28"/>
          <w:szCs w:val="28"/>
        </w:rPr>
        <w:t xml:space="preserve">9.5. Tokens no fungibles (NFT)</w:t>
      </w:r>
    </w:p>
    <w:p>
      <w:pPr>
        <w:spacing w:after="160" w:line="300"/>
        <w:jc w:val="both"/>
      </w:pPr>
      <w:r>
        <w:rPr>
          <w:rFonts w:ascii="Garamond" w:cs="Garamond" w:eastAsia="Garamond" w:hAnsi="Garamond"/>
          <w:sz w:val="24"/>
          <w:szCs w:val="24"/>
        </w:rPr>
        <w:t xml:space="preserve">Los tokens no fungibles, o NFT por su sigla en inglés (Non-Fungible Tokens), son criptoactivos que, a diferencia de Bitcoin y de la generalidad de las criptomonedas —que son, por diseño, fungibles, es decir, intercambiables entre sí sin pérdida de valor, en tanto una unidad de Bitcoin es económicamente indistinguible de cualquier otra unidad de Bitcoin—, representan la titularidad de un activo digital o de un derecho específico y único, no intercambiable en términos de equivalencia directa por otro token de la misma naturaleza.</w:t>
      </w:r>
    </w:p>
    <w:p>
      <w:pPr>
        <w:spacing w:after="160" w:line="300"/>
        <w:jc w:val="both"/>
      </w:pPr>
      <w:r>
        <w:rPr>
          <w:rFonts w:ascii="Garamond" w:cs="Garamond" w:eastAsia="Garamond" w:hAnsi="Garamond"/>
          <w:sz w:val="24"/>
          <w:szCs w:val="24"/>
        </w:rPr>
        <w:t xml:space="preserve">El auge especulativo de los NFT, particularmente intenso durante el período 2021-2022 en el segmento de coleccionables digitales y arte digital, y su posterior y pronunciada corrección de mercado, ilustran un patrón de ciclo especulativo que, si bien no resulta ajeno a la propia historia de precios de Bitcoin descrita en el Capítulo 2, obedece a una lógica de valuación económica sustancialmente distinta: mientras que la propuesta de valor de Bitcoin descansa, según se ha desarrollado extensamente en esta obra, en su escasez algorítmica y en su potencial función de reserva de valor monetaria, la valuación de un NFT descansa típicamente en consideraciones de escasez percibida, de autenticidad verificable y de valor cultural o comunitario asociado a una colección o a un creador específico, consideraciones cuya volatilidad y subjetividad son sustancialmente mayores. El tratamiento contable de los NFT —que, a diferencia de Bitcoin, no cuenta siquiera con una decisión de agenda específica del IFRS Interpretations Committee— constituye un área de la práctica profesional todavía más incipiente que la de Bitcoin, y excede el objeto de esta obra.</w:t>
      </w:r>
    </w:p>
    <w:p>
      <w:pPr>
        <w:pStyle w:val="Heading2"/>
        <w:spacing w:after="180" w:before="360"/>
      </w:pPr>
      <w:r>
        <w:rPr>
          <w:rFonts w:ascii="Garamond" w:cs="Garamond" w:eastAsia="Garamond" w:hAnsi="Garamond"/>
          <w:b/>
          <w:bCs/>
          <w:color w:val="10233F"/>
          <w:sz w:val="28"/>
          <w:szCs w:val="28"/>
        </w:rPr>
        <w:t xml:space="preserve">9.6. Organizaciones autónomas descentralizadas (DAO)</w:t>
      </w:r>
    </w:p>
    <w:p>
      <w:pPr>
        <w:spacing w:after="160" w:line="300"/>
        <w:jc w:val="both"/>
      </w:pPr>
      <w:r>
        <w:rPr>
          <w:rFonts w:ascii="Garamond" w:cs="Garamond" w:eastAsia="Garamond" w:hAnsi="Garamond"/>
          <w:sz w:val="24"/>
          <w:szCs w:val="24"/>
        </w:rPr>
        <w:t xml:space="preserve">Se denomina organización autónoma descentralizada, o DAO por su sigla en inglés (Decentralized Autonomous Organization), a una forma de organización colectiva cuyas reglas de gobernanza y, en muchos casos, cuya ejecución de decisiones operativas y financieras, se codifican mediante contratos inteligentes desplegados sobre una red de blockchain programable, con derechos de voto habitualmente distribuidos entre los tenedores de un token de gobernanza específico de la organización.</w:t>
      </w:r>
    </w:p>
    <w:p>
      <w:pPr>
        <w:spacing w:after="160" w:line="300"/>
        <w:jc w:val="both"/>
      </w:pPr>
      <w:r>
        <w:rPr>
          <w:rFonts w:ascii="Garamond" w:cs="Garamond" w:eastAsia="Garamond" w:hAnsi="Garamond"/>
          <w:sz w:val="24"/>
          <w:szCs w:val="24"/>
        </w:rPr>
        <w:t xml:space="preserve">Bitcoin, nuevamente, no constituye una DAO ni posee una estructura de gobernanza tokenizada: como se desarrolló en el Capítulo 2, las decisiones sobre modificaciones al protocolo de Bitcoin se adoptan mediante un proceso informal y descentralizado de propuestas de mejora (BIP), discusión técnica abierta entre desarrolladores independientes, y adopción voluntaria por parte de los operadores de nodos y de los mineros, sin que exista un token de gobernanza ni un mecanismo formal de votación ponderada por tenencia que determine la evolución del protocolo. Esta ausencia de estructura de gobernanza formal y tokenizada constituye, precisamente, uno de los atributos que la literatura jurídica invoca con mayor frecuencia para sostener que Bitcoin no satisface los criterios que la normativa de numerosas jurisdicciones —entre ellas, de manera prominente, la Securities and Exchange Commission de los Estados Unidos, mediante el denominado test de Howey— emplea para calificar a un activo digital como un valor negociable (security) sujeto a un régimen regulatorio más estricto, cuestión que se desarrollará con el detalle jurídico correspondiente en el Capítulo 10.</w:t>
      </w:r>
    </w:p>
    <w:p>
      <w:pPr>
        <w:pStyle w:val="Heading2"/>
        <w:spacing w:after="180" w:before="360"/>
      </w:pPr>
      <w:r>
        <w:rPr>
          <w:rFonts w:ascii="Garamond" w:cs="Garamond" w:eastAsia="Garamond" w:hAnsi="Garamond"/>
          <w:b/>
          <w:bCs/>
          <w:color w:val="10233F"/>
          <w:sz w:val="28"/>
          <w:szCs w:val="28"/>
        </w:rPr>
        <w:t xml:space="preserve">9.7. Cuadro comparativo: Bitcoin frente al universo de criptoactivos</w:t>
      </w:r>
    </w:p>
    <w:p>
      <w:pPr>
        <w:spacing w:after="160" w:line="300"/>
        <w:jc w:val="both"/>
      </w:pPr>
      <w:r>
        <w:rPr>
          <w:rFonts w:ascii="Garamond" w:cs="Garamond" w:eastAsia="Garamond" w:hAnsi="Garamond"/>
          <w:sz w:val="24"/>
          <w:szCs w:val="24"/>
        </w:rPr>
        <w:t xml:space="preserve">A modo de síntesis de las distinciones desarrolladas en este capítulo, resulta útil sistematizar los atributos que diferencian a Bitcoin del resto de las categorías analizadas. Bitcoin carece de emisor identificable, mientras que las stablecoins, los tokens de proyectos DeFi y los NFT habitualmente sí lo tienen. Bitcoin posee una política monetaria fija, algorítmica e inmodificable desde su lanzamiento, mientras que la oferta de la generalidad de los demás criptoactivos puede ser, y con frecuencia es, modificada por decisión del emisor o de una gobernanza tokenizada. Bitcoin carece de funcionalidad de contrato inteligente de propósito general, mientras que la mayor parte de las stablecoins, los protocolos DeFi, los NFT y las DAO se construyen precisamente sobre esa funcionalidad, típicamente en redes distintas de Bitcoin. Y Bitcoin, finalmente, carece de estructura de gobernanza tokenizada, mientras que las DAO se definen precisamente por poseerla.</w:t>
      </w:r>
    </w:p>
    <w:p>
      <w:pPr>
        <w:spacing w:after="160" w:line="300"/>
        <w:jc w:val="both"/>
      </w:pPr>
      <w:r>
        <w:rPr>
          <w:rFonts w:ascii="Garamond" w:cs="Garamond" w:eastAsia="Garamond" w:hAnsi="Garamond"/>
          <w:sz w:val="24"/>
          <w:szCs w:val="24"/>
        </w:rPr>
        <w:t xml:space="preserve">Estas distinciones no son un ejercicio taxonómico ocioso: como se desarrollará en detalle en la Parte III de esta obra, la propia Decisión de Agenda del IFRS Interpretations Committee de 2019, que fundamenta el encuadre de Bitcoin como activo intangible bajo NIC 38, se apoya expresamente en atributos específicos de las «criptomonedas» tal como las define ese documento —entre ellos, la ausencia de un emisor y la ausencia de derechos contractuales sobre efectivo u otro activo financiero—, atributos que Bitcoin satisface plenamente pero que no necesariamente satisfacen las stablecoins, los tokens DeFi, los NFT o los tokens de gobernanza de una DAO, cuyo tratamiento contable, en consecuencia, no puede derivarse automáticamente por analogía con el de Bitcoin, sino que exige, en cada caso, un análisis específico de la naturaleza económica y jurídica del instrumento concreto de que se trate.</w:t>
      </w:r>
    </w:p>
    <w:p>
      <w:pPr>
        <w:pStyle w:val="Heading2"/>
        <w:spacing w:after="180" w:before="360"/>
      </w:pPr>
      <w:r>
        <w:rPr>
          <w:rFonts w:ascii="Garamond" w:cs="Garamond" w:eastAsia="Garamond" w:hAnsi="Garamond"/>
          <w:b/>
          <w:bCs/>
          <w:color w:val="10233F"/>
          <w:sz w:val="28"/>
          <w:szCs w:val="28"/>
        </w:rPr>
        <w:t xml:space="preserve">9.8. Síntesis del capítulo y cierre de la Parte I</w:t>
      </w:r>
    </w:p>
    <w:p>
      <w:pPr>
        <w:spacing w:after="160" w:line="300"/>
        <w:jc w:val="both"/>
      </w:pPr>
      <w:r>
        <w:rPr>
          <w:rFonts w:ascii="Garamond" w:cs="Garamond" w:eastAsia="Garamond" w:hAnsi="Garamond"/>
          <w:sz w:val="24"/>
          <w:szCs w:val="24"/>
        </w:rPr>
        <w:t xml:space="preserve">Este capítulo completó el panorama tecnológico y conceptual de la Parte I de la obra, trazando las fronteras que distinguen a Bitcoin —activo nativo, sin emisor, con política monetaria fija y sin funcionalidad de contrato inteligente de propósito general— del universo más amplio y heterogéneo de criptoactivos que incluye la tokenización de activos externos, las stablecoins, los protocolos DeFi, los NFT y las DAO. Esta distinción, lejos de ser un preámbulo desconectado del resto de la obra, constituye la premisa metodológica que sustentará el análisis normativo desarrollado a partir de la Parte II: el tratamiento contable que se desarrollará en los capítulos siguientes está referido específicamente a Bitcoin, y su extensión por analogía a otros criptoactivos exige, en cada caso, la verificación previa de que ese activo comparte los atributos económicos y jurídicos específicos que fundamentan dicho tratamiento, y no una mera similitud terminológica o tecnológica superficial. La Parte II de esta obra, que comienza con el Capítulo 10, inaugura el análisis propiamente contable de Bitcoin como activo, partiendo precisamente de su naturaleza económica y jurídica específica.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9</w:t>
      </w:r>
    </w:p>
    <w:p>
      <w:pPr>
        <w:spacing w:after="160"/>
        <w:ind w:left="480" w:hanging="480"/>
        <w:jc w:val="both"/>
      </w:pPr>
      <w:r>
        <w:rPr>
          <w:rFonts w:ascii="Garamond" w:cs="Garamond" w:eastAsia="Garamond" w:hAnsi="Garamond"/>
          <w:sz w:val="22"/>
          <w:szCs w:val="22"/>
        </w:rPr>
        <w:t xml:space="preserve">Comisión Europea. (2023). Reglamento (UE) 2023/1114 del Parlamento Europeo y del Consejo relativo a los mercados de criptoactivos (MiCA).</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Liu, Y., y Tsyvinski, A. (2021). Risks and returns of cryptocurrency. The Review of Financial Studies, 34(6), 2689-2727.</w:t>
      </w:r>
    </w:p>
    <w:p>
      <w:pPr>
        <w:spacing w:after="160"/>
        <w:ind w:left="480" w:hanging="480"/>
        <w:jc w:val="both"/>
      </w:pPr>
      <w:r>
        <w:rPr>
          <w:rFonts w:ascii="Garamond" w:cs="Garamond" w:eastAsia="Garamond" w:hAnsi="Garamond"/>
          <w:sz w:val="22"/>
          <w:szCs w:val="22"/>
        </w:rPr>
        <w:t xml:space="preserve">U.S. Congress. (2025). Guiding and Establishing National Innovation for U.S. Stablecoins Act (GENIUS Act), Pub. L. No. 119-XX.</w:t>
      </w:r>
    </w:p>
    <w:p>
      <w:pPr>
        <w:spacing w:after="160"/>
        <w:ind w:left="480" w:hanging="480"/>
        <w:jc w:val="both"/>
      </w:pPr>
      <w:r>
        <w:rPr>
          <w:rFonts w:ascii="Garamond" w:cs="Garamond" w:eastAsia="Garamond" w:hAnsi="Garamond"/>
          <w:sz w:val="22"/>
          <w:szCs w:val="22"/>
        </w:rPr>
        <w:t xml:space="preserve">U.S. Securities and Exchange Commission v. W. J. Howey Co., 328 U.S. 293 (1946).</w:t>
      </w:r>
    </w:p>
    <w:p>
      <w:r>
        <w:br w:type="page"/>
      </w:r>
    </w:p>
    <w:p>
      <w:pPr>
        <w:spacing w:after="160" w:before="400"/>
      </w:pPr>
      <w:r>
        <w:rPr>
          <w:rFonts w:ascii="Garamond" w:cs="Garamond" w:eastAsia="Garamond" w:hAnsi="Garamond"/>
          <w:b/>
          <w:bCs/>
          <w:caps/>
          <w:color w:val="9C7A2E"/>
          <w:sz w:val="24"/>
          <w:szCs w:val="24"/>
        </w:rPr>
        <w:t xml:space="preserve">PARTE II — BITCOIN COMO ACTIVO: MARCO CONCEPTUAL CONTABLE</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10</w:t>
      </w:r>
    </w:p>
    <w:p>
      <w:pPr>
        <w:spacing w:after="400"/>
      </w:pPr>
      <w:r>
        <w:rPr>
          <w:rFonts w:ascii="Garamond" w:cs="Garamond" w:eastAsia="Garamond" w:hAnsi="Garamond"/>
          <w:b/>
          <w:bCs/>
          <w:color w:val="9C7A2E"/>
          <w:sz w:val="40"/>
          <w:szCs w:val="40"/>
        </w:rPr>
        <w:t xml:space="preserve">Bitcoin como activo: naturaleza económica y jurídica</w:t>
      </w:r>
    </w:p>
    <w:p>
      <w:pPr>
        <w:pStyle w:val="Heading2"/>
        <w:spacing w:after="180" w:before="360"/>
      </w:pPr>
      <w:r>
        <w:rPr>
          <w:rFonts w:ascii="Garamond" w:cs="Garamond" w:eastAsia="Garamond" w:hAnsi="Garamond"/>
          <w:b/>
          <w:bCs/>
          <w:color w:val="10233F"/>
          <w:sz w:val="28"/>
          <w:szCs w:val="28"/>
        </w:rPr>
        <w:t xml:space="preserve">10.1. Introducción: de la tecnología a la calificación jurídico-contable</w:t>
      </w:r>
    </w:p>
    <w:p>
      <w:pPr>
        <w:spacing w:after="160" w:line="300"/>
        <w:jc w:val="both"/>
      </w:pPr>
      <w:r>
        <w:rPr>
          <w:rFonts w:ascii="Garamond" w:cs="Garamond" w:eastAsia="Garamond" w:hAnsi="Garamond"/>
          <w:sz w:val="24"/>
          <w:szCs w:val="24"/>
        </w:rPr>
        <w:t xml:space="preserve">La Parte I de esta obra desarrolló, con el detalle histórico, económico y técnico correspondiente, qué es Bitcoin y cómo funciona. Esa base resulta indispensable, pero no suficiente, para responder la pregunta que estructura el resto de la obra: ¿qué es Bitcoin desde el punto de vista jurídico y contable? Esta pregunta no admite una respuesta unívoca y universal, en la medida en que la calificación jurídica de Bitcoin varía —a veces sustancialmente— entre distintos ordenamientos, y en que, dentro de un mismo ordenamiento, distintas ramas del derecho (civil, tributario, cambiario, penal) pueden calificarlo de manera diversa según la finalidad específica de la norma aplicable. Este capítulo aborda esa cuestión con el propósito específico de sentar las bases jurídicas y económicas que fundamentarán, en el Capítulo 11, el análisis bajo el Marco Conceptual del IASB, y en el Capítulo 14, el encuadre contable definitivo bajo NIC 38.</w:t>
      </w:r>
    </w:p>
    <w:p>
      <w:pPr>
        <w:pStyle w:val="Heading2"/>
        <w:spacing w:after="180" w:before="360"/>
      </w:pPr>
      <w:r>
        <w:rPr>
          <w:rFonts w:ascii="Garamond" w:cs="Garamond" w:eastAsia="Garamond" w:hAnsi="Garamond"/>
          <w:b/>
          <w:bCs/>
          <w:color w:val="10233F"/>
          <w:sz w:val="28"/>
          <w:szCs w:val="28"/>
        </w:rPr>
        <w:t xml:space="preserve">10.2. ¿Es Bitcoin dinero? El análisis funcional retomado</w:t>
      </w:r>
    </w:p>
    <w:p>
      <w:pPr>
        <w:spacing w:after="160" w:line="300"/>
        <w:jc w:val="both"/>
      </w:pPr>
      <w:r>
        <w:rPr>
          <w:rFonts w:ascii="Garamond" w:cs="Garamond" w:eastAsia="Garamond" w:hAnsi="Garamond"/>
          <w:sz w:val="24"/>
          <w:szCs w:val="24"/>
        </w:rPr>
        <w:t xml:space="preserve">El Capítulo 1 de esta obra identificó las tres funciones clásicas del dinero —medio de intercambio, unidad de cuenta y reserva de valor— como el criterio funcional que la ciencia económica emplea para evaluar si un bien determinado satisface la condición de dinero en sentido pleno. Aplicado a Bitcoin, ese análisis arroja resultados diferenciados según la función considerada.</w:t>
      </w:r>
    </w:p>
    <w:p>
      <w:pPr>
        <w:spacing w:after="160" w:line="300"/>
        <w:jc w:val="both"/>
      </w:pPr>
      <w:r>
        <w:rPr>
          <w:rFonts w:ascii="Garamond" w:cs="Garamond" w:eastAsia="Garamond" w:hAnsi="Garamond"/>
          <w:sz w:val="24"/>
          <w:szCs w:val="24"/>
        </w:rPr>
        <w:t xml:space="preserve">Como medio de intercambio, la aceptación de Bitcoin para la adquisición cotidiana de bienes y servicios, aunque creciente y facilitada por desarrollos como la Lightning Network descrita en el Capítulo 5, permanece, a la fecha de esta edición, marginal en la generalidad de las economías del mundo, con la notable excepción del régimen de curso legal adoptado por El Salvador desde 2021, descrito en el Capítulo 2. Como unidad de cuenta, la práctica de mercado dominante —incluso entre quienes transaccionan habitualmente en Bitcoin— continúa expresando precios en referencia a monedas fiduciarias (dólares estadounidenses, pesos argentinos) y no en unidades de Bitcoin, lo cual sugiere que Bitcoin no ha desplazado, en la práctica generalizada, a la moneda fiduciaria como unidad de cuenta de referencia. Como reserva de valor, en cambio, la evidencia empírica de adopción institucional desarrollada en el Capítulo 2 —tesorerías corporativas, fondos cotizados, reservas de determinados actores estatales— sugiere una aceptación creciente y significativa de Bitcoin en esa función específica, aunque acompañada de una volatilidad de precio sustancialmente superior a la de los activos de reserva de valor tradicionales, como el oro o los bonos soberanos de alta calificación crediticia.</w:t>
      </w:r>
    </w:p>
    <w:p>
      <w:pPr>
        <w:spacing w:after="160" w:line="300"/>
        <w:jc w:val="both"/>
      </w:pPr>
      <w:r>
        <w:rPr>
          <w:rFonts w:ascii="Garamond" w:cs="Garamond" w:eastAsia="Garamond" w:hAnsi="Garamond"/>
          <w:sz w:val="24"/>
          <w:szCs w:val="24"/>
        </w:rPr>
        <w:t xml:space="preserve">Esta satisfacción parcial y desigual de las tres funciones clásicas del dinero es, precisamente, uno de los fundamentos centrales que la Decisión de Agenda del IFRS Interpretations Committee de 2019 —que se analizará en profundidad en el Capítulo 21— invoca para concluir que las criptomonedas como Bitcoin no satisfacen la definición de efectivo (cash) a los fines de la normativa contable internacional, conclusión que se retomará y fundamentará con el detalle normativo correspondiente en el Capítulo 14.</w:t>
      </w:r>
    </w:p>
    <w:p>
      <w:pPr>
        <w:pStyle w:val="Heading2"/>
        <w:spacing w:after="180" w:before="360"/>
      </w:pPr>
      <w:r>
        <w:rPr>
          <w:rFonts w:ascii="Garamond" w:cs="Garamond" w:eastAsia="Garamond" w:hAnsi="Garamond"/>
          <w:b/>
          <w:bCs/>
          <w:color w:val="10233F"/>
          <w:sz w:val="28"/>
          <w:szCs w:val="28"/>
        </w:rPr>
        <w:t xml:space="preserve">10.3. La calificación jurídica de Bitcoin en el derecho comparado</w:t>
      </w:r>
    </w:p>
    <w:p>
      <w:pPr>
        <w:pStyle w:val="Heading3"/>
        <w:spacing w:after="140" w:before="280"/>
      </w:pPr>
      <w:r>
        <w:rPr>
          <w:rFonts w:ascii="Garamond" w:cs="Garamond" w:eastAsia="Garamond" w:hAnsi="Garamond"/>
          <w:b/>
          <w:bCs/>
          <w:i/>
          <w:iCs/>
          <w:color w:val="1A1A1A"/>
          <w:sz w:val="24"/>
          <w:szCs w:val="24"/>
        </w:rPr>
        <w:t xml:space="preserve">10.3.1. Estados Unidos: mercancía, valor negociable y propiedad, según el organismo</w:t>
      </w:r>
    </w:p>
    <w:p>
      <w:pPr>
        <w:spacing w:after="160" w:line="300"/>
        <w:jc w:val="both"/>
      </w:pPr>
      <w:r>
        <w:rPr>
          <w:rFonts w:ascii="Garamond" w:cs="Garamond" w:eastAsia="Garamond" w:hAnsi="Garamond"/>
          <w:sz w:val="24"/>
          <w:szCs w:val="24"/>
        </w:rPr>
        <w:t xml:space="preserve">El ordenamiento estadounidense ofrece un ejemplo paradigmático de la fragmentación regulatoria que puede afectar la calificación jurídica de un mismo activo según el organismo y la finalidad normativa considerada. La Commodity Futures Trading Commission (CFTC) ha sostenido, de manera consistente desde 2015, que Bitcoin constituye una mercancía (commodity) a los fines de su competencia regulatoria sobre mercados de derivados. La Securities and Exchange Commission (SEC), por su parte, ha sostenido reiteradamente —incluyendo declaraciones formales de sus principales funcionarios y, de manera indirecta, mediante la propia aprobación en 2024 de los fondos cotizados de Bitcoin al contado descrita en el Capítulo 2— que Bitcoin no satisface los elementos del test de Howey (derivado del precedente SEC v. W. J. Howey Co. de 1946, que define un contrato de inversión sujeto a la regulación de valores negociables como aquel que involucra la inversión de dinero en una empresa común con expectativa de beneficios derivados predominantemente del esfuerzo de terceros), precisamente en virtud de la ausencia de un emisor o de un equipo promotor identificable cuyo esfuerzo determine el retorno esperado del inversor, atributo que —como se desarrolló en el Capítulo 9— distingue a Bitcoin de numerosos otros criptoactivos que sí han sido calificados como valores negociables no registrados en diversas acciones de cumplimiento de la propia SEC. El Internal Revenue Service (IRS), finalmente, a los fines específicamente tributarios, califica a Bitcoin y a los demás criptoactivos como propiedad (property), sujeta al régimen general de ganancias y pérdidas de capital aplicable a la enajenación de bienes.</w:t>
      </w:r>
    </w:p>
    <w:p>
      <w:pPr>
        <w:pStyle w:val="Heading3"/>
        <w:spacing w:after="140" w:before="280"/>
      </w:pPr>
      <w:r>
        <w:rPr>
          <w:rFonts w:ascii="Garamond" w:cs="Garamond" w:eastAsia="Garamond" w:hAnsi="Garamond"/>
          <w:b/>
          <w:bCs/>
          <w:i/>
          <w:iCs/>
          <w:color w:val="1A1A1A"/>
          <w:sz w:val="24"/>
          <w:szCs w:val="24"/>
        </w:rPr>
        <w:t xml:space="preserve">10.3.2. Unión Europea: el Reglamento MiCA y la categoría residual</w:t>
      </w:r>
    </w:p>
    <w:p>
      <w:pPr>
        <w:spacing w:after="160" w:line="300"/>
        <w:jc w:val="both"/>
      </w:pPr>
      <w:r>
        <w:rPr>
          <w:rFonts w:ascii="Garamond" w:cs="Garamond" w:eastAsia="Garamond" w:hAnsi="Garamond"/>
          <w:sz w:val="24"/>
          <w:szCs w:val="24"/>
        </w:rPr>
        <w:t xml:space="preserve">El Reglamento de Mercados de Criptoactivos de la Unión Europea, ya mencionado en el Capítulo 9, clasifica a los criptoactivos en tres categorías principales —tokens referenciados a activos, tokens de dinero electrónico, y una categoría residual de «otros criptoactivos»—, ubicando a Bitcoin, en virtud de la ausencia de un emisor identificable que MiCA exige para las dos primeras categorías, dentro de esta última categoría residual, sujeta a un régimen de obligaciones de transparencia y de conducta de mercado significativamente más liviano que el aplicable a las stablecoins reguladas expresamente por el mismo cuerpo normativo.</w:t>
      </w:r>
    </w:p>
    <w:p>
      <w:pPr>
        <w:pStyle w:val="Heading3"/>
        <w:spacing w:after="140" w:before="280"/>
      </w:pPr>
      <w:r>
        <w:rPr>
          <w:rFonts w:ascii="Garamond" w:cs="Garamond" w:eastAsia="Garamond" w:hAnsi="Garamond"/>
          <w:b/>
          <w:bCs/>
          <w:i/>
          <w:iCs/>
          <w:color w:val="1A1A1A"/>
          <w:sz w:val="24"/>
          <w:szCs w:val="24"/>
        </w:rPr>
        <w:t xml:space="preserve">10.3.3. Argentina: bien inmaterial, no moneda de curso legal</w:t>
      </w:r>
    </w:p>
    <w:p>
      <w:pPr>
        <w:spacing w:after="160" w:line="300"/>
        <w:jc w:val="both"/>
      </w:pPr>
      <w:r>
        <w:rPr>
          <w:rFonts w:ascii="Garamond" w:cs="Garamond" w:eastAsia="Garamond" w:hAnsi="Garamond"/>
          <w:sz w:val="24"/>
          <w:szCs w:val="24"/>
        </w:rPr>
        <w:t xml:space="preserve">El ordenamiento jurídico argentino no cuenta, a la fecha de esta edición, con una ley específica que regule integralmente a Bitcoin o a los criptoactivos en general, circunstancia que exige recurrir a las categorías generales del Código Civil y Comercial de la Nación para su calificación jurídica. El artículo 16 de dicho Código, en su redacción vigente desde la reforma introducida por la Ley N.º 27.739 de 2024 en materia de prevención de lavado de activos, incorporó una definición expresa de «activos virtuales», calificándolos como una representación digital de valor que puede ser objeto de comercio digital y cuyas funciones son la de instrumento de intercambio, o de unidad de cuenta, o de reserva de valor, pero que no constituye moneda de curso legal en las jurisdicciones en las que se emite ni en la República Argentina. Esta incorporación normativa, aunque circunscripta primariamente a los fines de la prevención del lavado de activos que se desarrollarán en el Capítulo 33, resulta relevante para el encuadre general de Bitcoin en el derecho argentino, en tanto confirma expresamente su calificación como bien —en los términos del artículo 16 del propio Código, que define a los bienes como objetos materiales e inmateriales susceptibles de valor económico— y descarta de manera explícita su calificación como moneda de curso legal.</w:t>
      </w:r>
    </w:p>
    <w:p>
      <w:pPr>
        <w:spacing w:after="160" w:line="300"/>
        <w:jc w:val="both"/>
      </w:pPr>
      <w:r>
        <w:rPr>
          <w:rFonts w:ascii="Garamond" w:cs="Garamond" w:eastAsia="Garamond" w:hAnsi="Garamond"/>
          <w:sz w:val="24"/>
          <w:szCs w:val="24"/>
        </w:rPr>
        <w:t xml:space="preserve">La Comisión Nacional de Valores (CNV), por su parte, ha adoptado un enfoque de regulación funcional y no de calificación general: mediante la Resolución General N.º 994/2024 y normativa complementaria posterior, la CNV estableció un régimen de registro para los Proveedores de Servicios de Activos Virtuales (PSAV) que operan en el mercado argentino, sin pronunciarse de manera general sobre la naturaleza jurídica de Bitcoin como valor negociable, criterio que resulta consistente con la práctica internacional predominante de regular la actividad de los intermediarios antes que calificar de manera uniforme y general la naturaleza del activo subyacente.</w:t>
      </w:r>
    </w:p>
    <w:p>
      <w:pPr>
        <w:pStyle w:val="Heading2"/>
        <w:spacing w:after="180" w:before="360"/>
      </w:pPr>
      <w:r>
        <w:rPr>
          <w:rFonts w:ascii="Garamond" w:cs="Garamond" w:eastAsia="Garamond" w:hAnsi="Garamond"/>
          <w:b/>
          <w:bCs/>
          <w:color w:val="10233F"/>
          <w:sz w:val="28"/>
          <w:szCs w:val="28"/>
        </w:rPr>
        <w:t xml:space="preserve">10.4. Bitcoin y la definición de activo del Marco Conceptual: una primera aproximación</w:t>
      </w:r>
    </w:p>
    <w:p>
      <w:pPr>
        <w:spacing w:after="160" w:line="300"/>
        <w:jc w:val="both"/>
      </w:pPr>
      <w:r>
        <w:rPr>
          <w:rFonts w:ascii="Garamond" w:cs="Garamond" w:eastAsia="Garamond" w:hAnsi="Garamond"/>
          <w:sz w:val="24"/>
          <w:szCs w:val="24"/>
        </w:rPr>
        <w:t xml:space="preserve">Sin perjuicio del desarrollo pormenorizado que el Capítulo 11 dedicará al Marco Conceptual del IASB, corresponde adelantar aquí, a modo de cierre de este capítulo, la conclusión hacia la cual convergen los desarrollos económicos y jurídicos precedentes: Bitcoin satisface, prima facie, los tres elementos que el Marco Conceptual exige para la calificación de un recurso como activo —un recurso económico presente controlado por la entidad como resultado de sucesos pasados, con capacidad de producir beneficios económicos futuros—. El control se ejerce, como se desarrolló extensamente en el Capítulo 7, mediante la posesión exclusiva y demostrable de la clave privada correspondiente; el suceso pasado que origina ese control es la transacción de adquisición, registrada de manera pública e inmutable en la cadena de bloques descrita en el Capítulo 3; y el potencial de beneficios económicos futuros deriva de la capacidad de Bitcoin de ser intercambiado por otros bienes, servicios o efectivo, o de ser empleado para cancelar obligaciones, conforme se desarrolló al analizar su función de medio de intercambio en la sección 10.2 de este capítulo.</w:t>
      </w:r>
    </w:p>
    <w:p>
      <w:pPr>
        <w:spacing w:after="160" w:line="300"/>
        <w:jc w:val="both"/>
      </w:pPr>
      <w:r>
        <w:rPr>
          <w:rFonts w:ascii="Garamond" w:cs="Garamond" w:eastAsia="Garamond" w:hAnsi="Garamond"/>
          <w:sz w:val="24"/>
          <w:szCs w:val="24"/>
        </w:rPr>
        <w:t xml:space="preserve">Lo que el análisis desarrollado en este capítulo no permite todavía determinar —y que constituye, precisamente, el objeto específico de los Capítulos 12, 13 y 14 de esta obra— es cuál de las categorías específicas de activo reconocidas por la normativa contable vigente resulta aplicable a Bitcoin: si corresponde su calificación como efectivo o equivalente de efectivo, como instrumento financiero, como existencia (inventario) o como activo intangible. Esa determinación exige un análisis normativo específico, norma por norma, que se desarrollará a partir del Capítulo 12.</w:t>
      </w:r>
    </w:p>
    <w:p>
      <w:pPr>
        <w:pStyle w:val="Heading2"/>
        <w:spacing w:after="180" w:before="360"/>
      </w:pPr>
      <w:r>
        <w:rPr>
          <w:rFonts w:ascii="Garamond" w:cs="Garamond" w:eastAsia="Garamond" w:hAnsi="Garamond"/>
          <w:b/>
          <w:bCs/>
          <w:color w:val="10233F"/>
          <w:sz w:val="28"/>
          <w:szCs w:val="28"/>
        </w:rPr>
        <w:t xml:space="preserve">10.5. Síntesis del capítulo</w:t>
      </w:r>
    </w:p>
    <w:p>
      <w:pPr>
        <w:spacing w:after="160" w:line="300"/>
        <w:jc w:val="both"/>
      </w:pPr>
      <w:r>
        <w:rPr>
          <w:rFonts w:ascii="Garamond" w:cs="Garamond" w:eastAsia="Garamond" w:hAnsi="Garamond"/>
          <w:sz w:val="24"/>
          <w:szCs w:val="24"/>
        </w:rPr>
        <w:t xml:space="preserve">Este capítulo estableció que Bitcoin satisface de manera parcial y desigual las tres funciones clásicas del dinero, lo cual fundamenta su exclusión de la categoría de efectivo a los fines contables; que su calificación jurídica varía significativamente entre ordenamientos y, dentro de un mismo ordenamiento, entre distintos organismos y finalidades normativas, oscilando entre las categorías de mercancía, propiedad, bien inmaterial y activo virtual sui generis, sin que en ningún caso relevante se lo haya calificado como moneda de curso legal fuera de la excepción salvadoreña; y que, prima facie, Bitcoin satisface los elementos constitutivos de la definición general de activo del Marco Conceptual del IASB, cuyo desarrollo pormenorizado constituye el objeto del Capítulo 11. Con estas bases jurídicas y conceptuales sentadas, la obra se encuentra en condiciones de abordar, a partir del capítulo siguiente, el análisis normativo específico que determinará el tratamiento contable definitivo de Bitcoin bajo las Normas Internacionales de Información Financiera.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10</w:t>
      </w:r>
    </w:p>
    <w:p>
      <w:pPr>
        <w:spacing w:after="160"/>
        <w:ind w:left="480" w:hanging="480"/>
        <w:jc w:val="both"/>
      </w:pPr>
      <w:r>
        <w:rPr>
          <w:rFonts w:ascii="Garamond" w:cs="Garamond" w:eastAsia="Garamond" w:hAnsi="Garamond"/>
          <w:sz w:val="22"/>
          <w:szCs w:val="22"/>
        </w:rPr>
        <w:t xml:space="preserve">Comisión Nacional de Valores. (2024). Resolución General N.º 994/2024: Registro de Proveedores de Servicios de Activos Virtuales.</w:t>
      </w:r>
    </w:p>
    <w:p>
      <w:pPr>
        <w:spacing w:after="160"/>
        <w:ind w:left="480" w:hanging="480"/>
        <w:jc w:val="both"/>
      </w:pPr>
      <w:r>
        <w:rPr>
          <w:rFonts w:ascii="Garamond" w:cs="Garamond" w:eastAsia="Garamond" w:hAnsi="Garamond"/>
          <w:sz w:val="22"/>
          <w:szCs w:val="22"/>
        </w:rPr>
        <w:t xml:space="preserve">Congreso de la Nación Argentina. (2024). Ley N.º 27.739: Modificación del Código Penal y del Código Civil y Comercial en materia de prevención de lavado de activos.</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Reglamento (UE) 2023/1114 del Parlamento Europeo y del Consejo relativo a los mercados de criptoactivos (MiCA).</w:t>
      </w:r>
    </w:p>
    <w:p>
      <w:pPr>
        <w:spacing w:after="160"/>
        <w:ind w:left="480" w:hanging="480"/>
        <w:jc w:val="both"/>
      </w:pPr>
      <w:r>
        <w:rPr>
          <w:rFonts w:ascii="Garamond" w:cs="Garamond" w:eastAsia="Garamond" w:hAnsi="Garamond"/>
          <w:sz w:val="22"/>
          <w:szCs w:val="22"/>
        </w:rPr>
        <w:t xml:space="preserve">U.S. Commodity Futures Trading Commission v. McDonnell, 287 F. Supp. 3d 213 (E.D.N.Y. 2018).</w:t>
      </w:r>
    </w:p>
    <w:p>
      <w:pPr>
        <w:spacing w:after="160"/>
        <w:ind w:left="480" w:hanging="480"/>
        <w:jc w:val="both"/>
      </w:pPr>
      <w:r>
        <w:rPr>
          <w:rFonts w:ascii="Garamond" w:cs="Garamond" w:eastAsia="Garamond" w:hAnsi="Garamond"/>
          <w:sz w:val="22"/>
          <w:szCs w:val="22"/>
        </w:rPr>
        <w:t xml:space="preserve">U.S. Securities and Exchange Commission v. W. J. Howey Co., 328 U.S. 293 (1946).</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11</w:t>
      </w:r>
    </w:p>
    <w:p>
      <w:pPr>
        <w:spacing w:after="400"/>
      </w:pPr>
      <w:r>
        <w:rPr>
          <w:rFonts w:ascii="Garamond" w:cs="Garamond" w:eastAsia="Garamond" w:hAnsi="Garamond"/>
          <w:b/>
          <w:bCs/>
          <w:color w:val="9C7A2E"/>
          <w:sz w:val="40"/>
          <w:szCs w:val="40"/>
        </w:rPr>
        <w:t xml:space="preserve">El Marco Conceptual del IASB: activo, pasivo y patrimonio</w:t>
      </w:r>
    </w:p>
    <w:p>
      <w:pPr>
        <w:pStyle w:val="Heading2"/>
        <w:spacing w:after="180" w:before="360"/>
      </w:pPr>
      <w:r>
        <w:rPr>
          <w:rFonts w:ascii="Garamond" w:cs="Garamond" w:eastAsia="Garamond" w:hAnsi="Garamond"/>
          <w:b/>
          <w:bCs/>
          <w:color w:val="10233F"/>
          <w:sz w:val="28"/>
          <w:szCs w:val="28"/>
        </w:rPr>
        <w:t xml:space="preserve">11.1. Introducción: la función del Marco Conceptual en la jerarquía normativa</w:t>
      </w:r>
    </w:p>
    <w:p>
      <w:pPr>
        <w:spacing w:after="160" w:line="300"/>
        <w:jc w:val="both"/>
      </w:pPr>
      <w:r>
        <w:rPr>
          <w:rFonts w:ascii="Garamond" w:cs="Garamond" w:eastAsia="Garamond" w:hAnsi="Garamond"/>
          <w:sz w:val="24"/>
          <w:szCs w:val="24"/>
        </w:rPr>
        <w:t xml:space="preserve">El Marco Conceptual para la Información Financiera (Conceptual Framework for Financial Reporting), emitido por el International Accounting Standards Board (IASB) en su versión vigente desde marzo de 2018, no constituye en sí mismo una Norma Internacional de Información Financiera de aplicación obligatoria directa, sino un cuerpo de conceptos fundamentales que cumple una doble función dentro de la arquitectura normativa contable internacional: por un lado, orienta al propio IASB en el desarrollo y la revisión de normas específicas; por otro lado, y de manera particularmente relevante para el objeto de esta obra, proporciona el marco de referencia que preparadores de estados financieros, auditores y —de manera crucial para el análisis de Bitcoin que se desarrolla en esta Parte II— el propio IFRS Interpretations Committee deben emplear para desarrollar políticas contables consistentes cuando ninguna NIIF específica aborda de manera directa una transacción u otro suceso determinado, situación que, como se ha señalado repetidamente en los capítulos anteriores, es precisamente la que enfrenta el tratamiento contable de Bitcoin.</w:t>
      </w:r>
    </w:p>
    <w:p>
      <w:pPr>
        <w:spacing w:after="160" w:line="300"/>
        <w:jc w:val="both"/>
      </w:pPr>
      <w:r>
        <w:rPr>
          <w:rFonts w:ascii="Garamond" w:cs="Garamond" w:eastAsia="Garamond" w:hAnsi="Garamond"/>
          <w:sz w:val="24"/>
          <w:szCs w:val="24"/>
        </w:rPr>
        <w:t xml:space="preserve">El párrafo 11 de la Norma Internacional de Contabilidad (NIC) 8, Políticas Contables, Cambios en las Estimaciones Contables y Errores, establece expresamente que, en ausencia de una NIIF que aplique específicamente a una transacción, la dirección de la entidad debe recurrir a su juicio profesional para desarrollar y aplicar una política contable que dé lugar a información relevante y fiable, y que, al ejercer ese juicio, debe considerar, en primer lugar, los requisitos y guías establecidos en las NIIF que traten cuestiones similares y relacionadas, y, en segundo lugar, las definiciones, criterios de reconocimiento y conceptos de medición para activos, pasivos, ingresos y gastos establecidos en el Marco Conceptual. Esta disposición normativa —de aparente tecnicismo procedimental— es la que confiere al Marco Conceptual una relevancia decisiva para el tratamiento contable de Bitcoin, y la que explica por qué la propia Decisión de Agenda del IFRS Interpretations Committee de 2019, que se analizará en el Capítulo 21, estructura su análisis precisamente evaluando si Bitcoin satisface las definiciones de activo, de efectivo y de instrumento financiero que se derivan del Marco Conceptual y de las normas específicas relacionadas.</w:t>
      </w:r>
    </w:p>
    <w:p>
      <w:pPr>
        <w:pStyle w:val="Heading2"/>
        <w:spacing w:after="180" w:before="360"/>
      </w:pPr>
      <w:r>
        <w:rPr>
          <w:rFonts w:ascii="Garamond" w:cs="Garamond" w:eastAsia="Garamond" w:hAnsi="Garamond"/>
          <w:b/>
          <w:bCs/>
          <w:color w:val="10233F"/>
          <w:sz w:val="28"/>
          <w:szCs w:val="28"/>
        </w:rPr>
        <w:t xml:space="preserve">11.2. La definición de activo</w:t>
      </w:r>
    </w:p>
    <w:p>
      <w:pPr>
        <w:spacing w:after="160" w:line="300"/>
        <w:jc w:val="both"/>
      </w:pPr>
      <w:r>
        <w:rPr>
          <w:rFonts w:ascii="Garamond" w:cs="Garamond" w:eastAsia="Garamond" w:hAnsi="Garamond"/>
          <w:sz w:val="24"/>
          <w:szCs w:val="24"/>
        </w:rPr>
        <w:t xml:space="preserve">El párrafo 4.3 del Marco Conceptual define a un activo como un recurso económico presente controlado por la entidad como resultado de sucesos pasados. A su vez, el párrafo 4.4 define a un recurso económico como un derecho que tiene el potencial de producir beneficios económicos. Esta definición, vigente desde la revisión de 2018 del Marco Conceptual, introdujo una modificación conceptual relevante respecto de la versión anterior de 2010, al desplazar el foco definitorio desde el «beneficio económico futuro esperado» propiamente dicho hacia el «derecho» que tiene el potencial de producirlo, distinción que, aunque de sutileza técnica considerable, no altera la conclusión sustantiva aplicable a Bitcoin que se desarrolla en este capítulo.</w:t>
      </w:r>
    </w:p>
    <w:p>
      <w:pPr>
        <w:spacing w:after="160" w:line="300"/>
        <w:jc w:val="both"/>
      </w:pPr>
      <w:r>
        <w:rPr>
          <w:rFonts w:ascii="Garamond" w:cs="Garamond" w:eastAsia="Garamond" w:hAnsi="Garamond"/>
          <w:sz w:val="24"/>
          <w:szCs w:val="24"/>
        </w:rPr>
        <w:t xml:space="preserve">El análisis de los tres elementos constitutivos de esta definición —recurso económico, control, y suceso pasado— aplicado específicamente a Bitcoin, ya anticipado de manera introductoria en el Capítulo 10, puede ahora desarrollarse con el rigor conceptual que el Marco Conceptual exige.</w:t>
      </w:r>
    </w:p>
    <w:p>
      <w:pPr>
        <w:pStyle w:val="Heading3"/>
        <w:spacing w:after="140" w:before="280"/>
      </w:pPr>
      <w:r>
        <w:rPr>
          <w:rFonts w:ascii="Garamond" w:cs="Garamond" w:eastAsia="Garamond" w:hAnsi="Garamond"/>
          <w:b/>
          <w:bCs/>
          <w:i/>
          <w:iCs/>
          <w:color w:val="1A1A1A"/>
          <w:sz w:val="24"/>
          <w:szCs w:val="24"/>
        </w:rPr>
        <w:t xml:space="preserve">11.2.1. El elemento «recurso económico»: potencial de beneficios económicos</w:t>
      </w:r>
    </w:p>
    <w:p>
      <w:pPr>
        <w:spacing w:after="160" w:line="300"/>
        <w:jc w:val="both"/>
      </w:pPr>
      <w:r>
        <w:rPr>
          <w:rFonts w:ascii="Garamond" w:cs="Garamond" w:eastAsia="Garamond" w:hAnsi="Garamond"/>
          <w:sz w:val="24"/>
          <w:szCs w:val="24"/>
        </w:rPr>
        <w:t xml:space="preserve">El párrafo 4.14 del Marco Conceptual aclara que un recurso económico podría producir beneficios económicos para la entidad de diversas formas, incluyendo, entre otras, la de intercambiarse por otros recursos económicos en condiciones favorables. Bitcoin satisface holgadamente esta condición: como se ha desarrollado extensamente en la Parte I de esta obra, y particularmente al tratar su función de medio de intercambio en el Capítulo 10, Bitcoin puede intercambiarse por efectivo, por otros criptoactivos, o directamente por bienes y servicios en las jurisdicciones y comercios que lo aceptan como medio de pago, satisfaciendo así el estándar amplio y no restrictivo que el Marco Conceptual exige para la calificación como recurso económico, sin que resulte necesario, a estos fines, que Bitcoin genere flujos de efectivo contractuales o rendimientos periódicos análogos a los de un instrumento de renta fija.</w:t>
      </w:r>
    </w:p>
    <w:p>
      <w:pPr>
        <w:pStyle w:val="Heading3"/>
        <w:spacing w:after="140" w:before="280"/>
      </w:pPr>
      <w:r>
        <w:rPr>
          <w:rFonts w:ascii="Garamond" w:cs="Garamond" w:eastAsia="Garamond" w:hAnsi="Garamond"/>
          <w:b/>
          <w:bCs/>
          <w:i/>
          <w:iCs/>
          <w:color w:val="1A1A1A"/>
          <w:sz w:val="24"/>
          <w:szCs w:val="24"/>
        </w:rPr>
        <w:t xml:space="preserve">11.2.2. El elemento «control»: la posesión de la clave privada como control criptográfico</w:t>
      </w:r>
    </w:p>
    <w:p>
      <w:pPr>
        <w:spacing w:after="160" w:line="300"/>
        <w:jc w:val="both"/>
      </w:pPr>
      <w:r>
        <w:rPr>
          <w:rFonts w:ascii="Garamond" w:cs="Garamond" w:eastAsia="Garamond" w:hAnsi="Garamond"/>
          <w:sz w:val="24"/>
          <w:szCs w:val="24"/>
        </w:rPr>
        <w:t xml:space="preserve">El párrafo 4.20 del Marco Conceptual establece que una entidad controla un recurso económico si tiene la capacidad presente de dirigir el uso del recurso económico y de obtener los beneficios económicos que puedan derivarse de él, y que esa capacidad debe surgir de un derecho ya existente y ejecutable. Este elemento del análisis constituye, precisamente, el punto en el cual el desarrollo criptográfico realizado en el Capítulo 7 de esta obra adquiere su máxima relevancia normativa: el control sobre un bitcoin no se ejerce, como en el caso de un activo financiero tradicional, mediante un derecho contractual exigible frente a un tercero identificado, sino mediante el control exclusivo y demostrable —a través de una firma digital válida— de la clave privada asociada a la dirección en la que se registra el bitcoin correspondiente en la cadena de bloques pública descrita en el Capítulo 3.</w:t>
      </w:r>
    </w:p>
    <w:p>
      <w:pPr>
        <w:spacing w:after="160" w:line="300"/>
        <w:jc w:val="both"/>
      </w:pPr>
      <w:r>
        <w:rPr>
          <w:rFonts w:ascii="Garamond" w:cs="Garamond" w:eastAsia="Garamond" w:hAnsi="Garamond"/>
          <w:sz w:val="24"/>
          <w:szCs w:val="24"/>
        </w:rPr>
        <w:t xml:space="preserve">Esta forma de control —de naturaleza técnica y criptográfica antes que jurídico-contractual— ha sido objeto de cierto debate doctrinario acerca de si satisface plenamente el estándar del Marco Conceptual, en la medida en que este último fue formulado originalmente pensando en activos cuyo control deriva de un derecho de propiedad reconocido y ejecutable ante los tribunales de una jurisdicción determinada. La posición doctrinaria predominante —y la que adoptó implícitamente el propio IFRS Interpretations Committee en su Decisión de Agenda de 2019, al no cuestionar en momento alguno la satisfacción del elemento «control» de la definición de activo— sostiene que el control criptográfico exclusivo sobre una clave privada satisface plenamente el estándar del Marco Conceptual, en la medida en que otorga a su titular la capacidad presente, exclusiva y oponible de disponer del bitcoin correspondiente, con independencia de que ese control se sustente en un mecanismo técnico-matemático antes que en un registro de propiedad estatal tradicional. Esta conclusión resulta, por lo demás, coherente con el reconocimiento jurisprudencial y legislativo creciente —incluyendo, como se desarrolló en el Capítulo 10, la incorporación expresa de los «activos virtuales» al artículo 16 del Código Civil y Comercial argentino como bienes susceptibles de valor económico— de que el control fáctico y tecnológico sobre un criptoactivo constituye una forma de propiedad jurídicamente reconocible y protegible.</w:t>
      </w:r>
    </w:p>
    <w:p>
      <w:pPr>
        <w:pStyle w:val="Heading3"/>
        <w:spacing w:after="140" w:before="280"/>
      </w:pPr>
      <w:r>
        <w:rPr>
          <w:rFonts w:ascii="Garamond" w:cs="Garamond" w:eastAsia="Garamond" w:hAnsi="Garamond"/>
          <w:b/>
          <w:bCs/>
          <w:i/>
          <w:iCs/>
          <w:color w:val="1A1A1A"/>
          <w:sz w:val="24"/>
          <w:szCs w:val="24"/>
        </w:rPr>
        <w:t xml:space="preserve">11.2.3. El elemento «suceso pasado»: la transacción de adquisición</w:t>
      </w:r>
    </w:p>
    <w:p>
      <w:pPr>
        <w:spacing w:after="160" w:line="300"/>
        <w:jc w:val="both"/>
      </w:pPr>
      <w:r>
        <w:rPr>
          <w:rFonts w:ascii="Garamond" w:cs="Garamond" w:eastAsia="Garamond" w:hAnsi="Garamond"/>
          <w:sz w:val="24"/>
          <w:szCs w:val="24"/>
        </w:rPr>
        <w:t xml:space="preserve">El tercer elemento de la definición de activo —que el control derive de un suceso pasado— no plantea, en el caso de Bitcoin, mayor complejidad analítica: la transacción mediante la cual una entidad adquiere el control sobre determinados bitcoins, ya sea mediante su compra en un exchange, su recepción como contraprestación por bienes o servicios, o su obtención como recompensa de minería según se describió en el Capítulo 4, constituye precisamente el suceso pasado que origina el control criptográfico sobre esos bitcoins, control que queda registrado de manera pública, verificable e inmutable en la cadena de bloques, en los términos desarrollados en el Capítulo 3 de esta obra.</w:t>
      </w:r>
    </w:p>
    <w:p>
      <w:pPr>
        <w:pStyle w:val="Heading2"/>
        <w:spacing w:after="180" w:before="360"/>
      </w:pPr>
      <w:r>
        <w:rPr>
          <w:rFonts w:ascii="Garamond" w:cs="Garamond" w:eastAsia="Garamond" w:hAnsi="Garamond"/>
          <w:b/>
          <w:bCs/>
          <w:color w:val="10233F"/>
          <w:sz w:val="28"/>
          <w:szCs w:val="28"/>
        </w:rPr>
        <w:t xml:space="preserve">11.3. La definición de pasivo y su irrelevancia para la tenencia de Bitcoin</w:t>
      </w:r>
    </w:p>
    <w:p>
      <w:pPr>
        <w:spacing w:after="160" w:line="300"/>
        <w:jc w:val="both"/>
      </w:pPr>
      <w:r>
        <w:rPr>
          <w:rFonts w:ascii="Garamond" w:cs="Garamond" w:eastAsia="Garamond" w:hAnsi="Garamond"/>
          <w:sz w:val="24"/>
          <w:szCs w:val="24"/>
        </w:rPr>
        <w:t xml:space="preserve">El párrafo 4.26 del Marco Conceptual define a un pasivo como una obligación presente de la entidad de transferir un recurso económico como resultado de sucesos pasados. Este elemento del Marco Conceptual, aunque desarrollado extensamente por la normativa contable en general, resulta de aplicación marginal al análisis específico de una tenencia de Bitcoin como activo: quien posee bitcoins no asume, por esa sola tenencia, obligación presente alguna frente a un tercero identificado, precisamente en virtud de la ausencia de emisor que constituye, como se desarrolló en el Capítulo 9, uno de los atributos definitorios de Bitcoin frente a otros criptoactivos como las stablecoins, cuyo emisor sí asume una obligación de rescate que constituye, para él, un pasivo en los términos de esta definición.</w:t>
      </w:r>
    </w:p>
    <w:p>
      <w:pPr>
        <w:spacing w:after="160" w:line="300"/>
        <w:jc w:val="both"/>
      </w:pPr>
      <w:r>
        <w:rPr>
          <w:rFonts w:ascii="Garamond" w:cs="Garamond" w:eastAsia="Garamond" w:hAnsi="Garamond"/>
          <w:sz w:val="24"/>
          <w:szCs w:val="24"/>
        </w:rPr>
        <w:t xml:space="preserve">La cuestión del pasivo adquiere, sin embargo, relevancia contable específica en el caso particular del emisor de una stablecoin —cuestión que excede el objeto central de esta obra, dedicada específicamente a Bitcoin— y, de manera más pertinente para esta obra, en el análisis del pasivo por impuesto diferido que puede surgir de las diferencias temporarias entre la base contable y la base fiscal de una tenencia de Bitcoin, cuestión que se desarrollará en profundidad en el Capítulo 18 al tratar la NIC 12.</w:t>
      </w:r>
    </w:p>
    <w:p>
      <w:pPr>
        <w:pStyle w:val="Heading2"/>
        <w:spacing w:after="180" w:before="360"/>
      </w:pPr>
      <w:r>
        <w:rPr>
          <w:rFonts w:ascii="Garamond" w:cs="Garamond" w:eastAsia="Garamond" w:hAnsi="Garamond"/>
          <w:b/>
          <w:bCs/>
          <w:color w:val="10233F"/>
          <w:sz w:val="28"/>
          <w:szCs w:val="28"/>
        </w:rPr>
        <w:t xml:space="preserve">11.4. Patrimonio y su relación con las ganancias y pérdidas no realizadas por tenencia de Bitcoin</w:t>
      </w:r>
    </w:p>
    <w:p>
      <w:pPr>
        <w:spacing w:after="160" w:line="300"/>
        <w:jc w:val="both"/>
      </w:pPr>
      <w:r>
        <w:rPr>
          <w:rFonts w:ascii="Garamond" w:cs="Garamond" w:eastAsia="Garamond" w:hAnsi="Garamond"/>
          <w:sz w:val="24"/>
          <w:szCs w:val="24"/>
        </w:rPr>
        <w:t xml:space="preserve">El párrafo 4.63 del Marco Conceptual define al patrimonio como la parte residual de los activos de la entidad, una vez deducidos todos sus pasivos. Esta definición residual adquiere relevancia práctica directa en el tratamiento contable de Bitcoin en la medida en que, como se desarrollará con el detalle correspondiente en el Capítulo 14, el criterio de medición posterior que resulta aplicable bajo NIC 38 a un activo intangible de vida útil indefinida como Bitcoin —el modelo de revaluación, en los casos excepcionales en que existe un mercado activo que lo habilita— exige que los incrementos de valor por encima del costo original se reconozcan directamente en una reserva específica del patrimonio (superávit de revaluación), y no en el resultado del ejercicio, a diferencia del tratamiento que resultaría aplicable si Bitcoin se midiera a valor razonable con cambios en resultados, como ocurre, según se adelantó en el Capítulo 2, bajo los principios de contabilidad generalmente aceptados de los Estados Unidos (US GAAP) a partir de la actualización normativa de la Financial Accounting Standards Board vigente desde 2025.</w:t>
      </w:r>
    </w:p>
    <w:p>
      <w:pPr>
        <w:spacing w:after="160" w:line="300"/>
        <w:jc w:val="both"/>
      </w:pPr>
      <w:r>
        <w:rPr>
          <w:rFonts w:ascii="Garamond" w:cs="Garamond" w:eastAsia="Garamond" w:hAnsi="Garamond"/>
          <w:sz w:val="24"/>
          <w:szCs w:val="24"/>
        </w:rPr>
        <w:t xml:space="preserve">Esta distinción entre el reconocimiento de ganancias no realizadas directamente en resultados o en una cuenta específica del patrimonio constituye, como se desarrollará en profundidad en el Capítulo 13 al tratar comparativamente el valor razonable y el costo histórico, y en el Capítulo 14 al desarrollar la NIC 38 en detalle, una de las diferencias de mayor impacto práctico entre el tratamiento contable de Bitcoin bajo NIIF y bajo US GAAP, con consecuencias directas sobre la comparabilidad internacional de los estados contables de entidades que mantienen tenencias significativas de Bitoin, cuestión de particular relevancia práctica dados los casos de MicroStrategy y Tesla desarrollados en el Capítulo 2 y retomados en el Capítulo 37.</w:t>
      </w:r>
    </w:p>
    <w:p>
      <w:pPr>
        <w:pStyle w:val="Heading2"/>
        <w:spacing w:after="180" w:before="360"/>
      </w:pPr>
      <w:r>
        <w:rPr>
          <w:rFonts w:ascii="Garamond" w:cs="Garamond" w:eastAsia="Garamond" w:hAnsi="Garamond"/>
          <w:b/>
          <w:bCs/>
          <w:color w:val="10233F"/>
          <w:sz w:val="28"/>
          <w:szCs w:val="28"/>
        </w:rPr>
        <w:t xml:space="preserve">11.5. Reconocimiento y baja en cuentas: los criterios generales del Marco Conceptual</w:t>
      </w:r>
    </w:p>
    <w:p>
      <w:pPr>
        <w:spacing w:after="160" w:line="300"/>
        <w:jc w:val="both"/>
      </w:pPr>
      <w:r>
        <w:rPr>
          <w:rFonts w:ascii="Garamond" w:cs="Garamond" w:eastAsia="Garamond" w:hAnsi="Garamond"/>
          <w:sz w:val="24"/>
          <w:szCs w:val="24"/>
        </w:rPr>
        <w:t xml:space="preserve">El Capítulo 5 del Marco Conceptual desarrolla los criterios generales de reconocimiento, estableciendo en su párrafo 5.7 que una entidad reconoce un activo, un pasivo, o una partida de patrimonio si dicho reconocimiento proporciona a los usuarios de los estados financieros información que sea relevante y que represente fielmente la sustancia del elemento reconocido, sujeto a una relación de costo-beneficio del propio proceso de generación de información. A diferencia de versiones anteriores del Marco Conceptual, que establecían como condición explícita de reconocimiento la «probabilidad» de que el beneficio económico futuro fluyera hacia la entidad, la versión vigente desde 2018 eliminó ese umbral de probabilidad como condición autónoma de reconocimiento, integrándolo en cambio dentro del análisis general de relevancia y representación fiel.</w:t>
      </w:r>
    </w:p>
    <w:p>
      <w:pPr>
        <w:spacing w:after="160" w:line="300"/>
        <w:jc w:val="both"/>
      </w:pPr>
      <w:r>
        <w:rPr>
          <w:rFonts w:ascii="Garamond" w:cs="Garamond" w:eastAsia="Garamond" w:hAnsi="Garamond"/>
          <w:sz w:val="24"/>
          <w:szCs w:val="24"/>
        </w:rPr>
        <w:t xml:space="preserve">Esta evolución conceptual resulta, en el caso de Bitcoin, de aplicación relativamente directa: dado que la existencia del activo se verifica de manera criptográficamente inmediata y objetiva —a diferencia de activos cuya existencia depende de estimaciones o de la ocurrencia futura de sucesos inciertos—, el reconocimiento inicial de una tenencia de Bitcoin no plantea, en la generalidad de los casos, las dificultades de incertidumbre de existencia que sí pueden presentar otros activos contingentes. Lo que sí exige un análisis específico y pormenorizado —que se desarrollará en el Capítulo 12— es el momento preciso de ese reconocimiento inicial, cuestión que adquiere particular complejidad en supuestos no estándar, tales como la recepción de bitcoins como recompensa de minería, la generación de nuevos bitcoins a partir de un evento de fork como el descrito en el Capítulo 2, o la recepción de bitcoins en fideicomiso o en custodia para terceros.</w:t>
      </w:r>
    </w:p>
    <w:p>
      <w:pPr>
        <w:pStyle w:val="Heading2"/>
        <w:spacing w:after="180" w:before="360"/>
      </w:pPr>
      <w:r>
        <w:rPr>
          <w:rFonts w:ascii="Garamond" w:cs="Garamond" w:eastAsia="Garamond" w:hAnsi="Garamond"/>
          <w:b/>
          <w:bCs/>
          <w:color w:val="10233F"/>
          <w:sz w:val="28"/>
          <w:szCs w:val="28"/>
        </w:rPr>
        <w:t xml:space="preserve">11.6. Síntesis del capítulo</w:t>
      </w:r>
    </w:p>
    <w:p>
      <w:pPr>
        <w:spacing w:after="160" w:line="300"/>
        <w:jc w:val="both"/>
      </w:pPr>
      <w:r>
        <w:rPr>
          <w:rFonts w:ascii="Garamond" w:cs="Garamond" w:eastAsia="Garamond" w:hAnsi="Garamond"/>
          <w:sz w:val="24"/>
          <w:szCs w:val="24"/>
        </w:rPr>
        <w:t xml:space="preserve">Este capítulo desarrolló, con el rigor conceptual que exige el Marco Conceptual del IASB, el análisis de los tres elementos constitutivos de la definición de activo —recurso económico, control y suceso pasado— aplicado específicamente a Bitcoin, concluyendo que Bitcoin satisface plenamente esa definición, con particular énfasis en la naturaleza criptográfica, y no contractual, del control que su titular ejerce sobre él. Se analizó, asimismo, la irrelevancia directa de la definición de pasivo para la tenencia de Bitcoin —en contraste con el caso de las stablecoins—, y la relevancia de la definición de patrimonio para comprender el tratamiento contable de las ganancias no realizadas por tenencia, cuestión que se retomará en profundidad en los Capítulos 13 y 14. Con esta base conceptual firmemente establecida, el Capítulo 12 avanza hacia el análisis específico del reconocimiento y la medición contable de Bitcoin, como paso previo indispensable al análisis normativo pormenorizado de la Parte III de esta obra.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11</w:t>
      </w:r>
    </w:p>
    <w:p>
      <w:pPr>
        <w:spacing w:after="160"/>
        <w:ind w:left="480" w:hanging="480"/>
        <w:jc w:val="both"/>
      </w:pPr>
      <w:r>
        <w:rPr>
          <w:rFonts w:ascii="Garamond" w:cs="Garamond" w:eastAsia="Garamond" w:hAnsi="Garamond"/>
          <w:sz w:val="22"/>
          <w:szCs w:val="22"/>
        </w:rPr>
        <w:t xml:space="preserve">Financial Accounting Standards Board. (2023). Accounting Standards Update 2023-08: Accounting for and disclosure of crypto assets. FASB.</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(2005). NIC 8: Políticas contables, cambios en las estimaciones contables y errores. IFRS Foundation.</w:t>
      </w:r>
    </w:p>
    <w:p>
      <w:pPr>
        <w:spacing w:after="160"/>
        <w:ind w:left="480" w:hanging="480"/>
        <w:jc w:val="both"/>
      </w:pPr>
      <w:r>
        <w:rPr>
          <w:rFonts w:ascii="Garamond" w:cs="Garamond" w:eastAsia="Garamond" w:hAnsi="Garamond"/>
          <w:sz w:val="22"/>
          <w:szCs w:val="22"/>
        </w:rPr>
        <w:t xml:space="preserve">International Accounting Standards Board. (2018). Conceptual Framework for Financial Reporting.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12</w:t>
      </w:r>
    </w:p>
    <w:p>
      <w:pPr>
        <w:spacing w:after="400"/>
      </w:pPr>
      <w:r>
        <w:rPr>
          <w:rFonts w:ascii="Garamond" w:cs="Garamond" w:eastAsia="Garamond" w:hAnsi="Garamond"/>
          <w:b/>
          <w:bCs/>
          <w:color w:val="9C7A2E"/>
          <w:sz w:val="40"/>
          <w:szCs w:val="40"/>
        </w:rPr>
        <w:t xml:space="preserve">Reconocimiento y medición contable</w:t>
      </w:r>
    </w:p>
    <w:p>
      <w:pPr>
        <w:pStyle w:val="Heading2"/>
        <w:spacing w:after="180" w:before="360"/>
      </w:pPr>
      <w:r>
        <w:rPr>
          <w:rFonts w:ascii="Garamond" w:cs="Garamond" w:eastAsia="Garamond" w:hAnsi="Garamond"/>
          <w:b/>
          <w:bCs/>
          <w:color w:val="10233F"/>
          <w:sz w:val="28"/>
          <w:szCs w:val="28"/>
        </w:rPr>
        <w:t xml:space="preserve">12.1. Introducción: de la definición general al momento específico de reconocimiento</w:t>
      </w:r>
    </w:p>
    <w:p>
      <w:pPr>
        <w:spacing w:after="160" w:line="300"/>
        <w:jc w:val="both"/>
      </w:pPr>
      <w:r>
        <w:rPr>
          <w:rFonts w:ascii="Garamond" w:cs="Garamond" w:eastAsia="Garamond" w:hAnsi="Garamond"/>
          <w:sz w:val="24"/>
          <w:szCs w:val="24"/>
        </w:rPr>
        <w:t xml:space="preserve">El Capítulo 11 estableció que Bitcoin satisface la definición general de activo del Marco Conceptual del IASB, y adelantó que el momento preciso de su reconocimiento inicial exige un análisis específico según la vía por la cual una entidad adquiere el control sobre determinados bitcoins. Este capítulo desarrolla ese análisis, distinguiendo los supuestos más frecuentes que la práctica profesional enfrenta —la compra directa, la recepción como contraprestación por bienes o servicios, la obtención como recompensa de minería, la generación por un evento de fork, y la tenencia en custodia de terceros—, y establece, para cada uno de ellos, el criterio de medición inicial aplicable, como paso previo indispensable al desarrollo pormenorizado de la NIC 38 que se realizará en el Capítulo 14.</w:t>
      </w:r>
    </w:p>
    <w:p>
      <w:pPr>
        <w:pStyle w:val="Heading2"/>
        <w:spacing w:after="180" w:before="360"/>
      </w:pPr>
      <w:r>
        <w:rPr>
          <w:rFonts w:ascii="Garamond" w:cs="Garamond" w:eastAsia="Garamond" w:hAnsi="Garamond"/>
          <w:b/>
          <w:bCs/>
          <w:color w:val="10233F"/>
          <w:sz w:val="28"/>
          <w:szCs w:val="28"/>
        </w:rPr>
        <w:t xml:space="preserve">12.2. Reconocimiento inicial: compra directa de Bitcoin</w:t>
      </w:r>
    </w:p>
    <w:p>
      <w:pPr>
        <w:spacing w:after="160" w:line="300"/>
        <w:jc w:val="both"/>
      </w:pPr>
      <w:r>
        <w:rPr>
          <w:rFonts w:ascii="Garamond" w:cs="Garamond" w:eastAsia="Garamond" w:hAnsi="Garamond"/>
          <w:sz w:val="24"/>
          <w:szCs w:val="24"/>
        </w:rPr>
        <w:t xml:space="preserve">El supuesto más sencillo y frecuente de adquisición de Bitcoin es la compra directa a cambio de efectivo u otro medio de pago, típicamente realizada a través de un exchange registrado o de una operación entre partes (peer-to-peer). En este supuesto, el reconocimiento inicial del activo debe realizarse en el momento en que la entidad adquirente obtiene el control sobre el bitcoin correspondiente, en los términos desarrollados en el Capítulo 11 —es decir, el momento en que la transacción de transferencia queda registrada de manera irrevocable en la cadena de bloques, según se describió en el Capítulo 3, y no necesariamente el momento en que se celebra el acuerdo comercial de compra ni el momento en que se abona el precio, si estos momentos difirieran del de la efectiva transferencia del control criptográfico.</w:t>
      </w:r>
    </w:p>
    <w:p>
      <w:pPr>
        <w:spacing w:after="160" w:line="300"/>
        <w:jc w:val="both"/>
      </w:pPr>
      <w:r>
        <w:rPr>
          <w:rFonts w:ascii="Garamond" w:cs="Garamond" w:eastAsia="Garamond" w:hAnsi="Garamond"/>
          <w:sz w:val="24"/>
          <w:szCs w:val="24"/>
        </w:rPr>
        <w:t xml:space="preserve">Esta precisión resulta particularmente relevante en el supuesto —frecuente en la práctica de los exchanges centralizados— de que la entidad adquiera bitcoins a través de una plataforma que registra la operación en su propio libro contable interno (off-chain), sin que exista una transferencia efectiva en la cadena de bloques pública hasta que la entidad decida retirar los fondos de la plataforma hacia una wallet bajo su propio control. En ese supuesto intermedio, la entidad no controla criptográficamente el bitcoin —no posee la clave privada correspondiente—, sino que posee, en rigor, un derecho de crédito contra el exchange para la entrega de una cantidad determinada de bitcoins, cuestión que se desarrolla en la sección 12.5 de este capítulo y que tiene consecuencias de clasificación contable distintas de las de una tenencia directa de Bitcoin.</w:t>
      </w:r>
    </w:p>
    <w:p>
      <w:pPr>
        <w:spacing w:after="160" w:line="300"/>
        <w:jc w:val="both"/>
      </w:pPr>
      <w:r>
        <w:rPr>
          <w:rFonts w:ascii="Garamond" w:cs="Garamond" w:eastAsia="Garamond" w:hAnsi="Garamond"/>
          <w:sz w:val="24"/>
          <w:szCs w:val="24"/>
        </w:rPr>
        <w:t xml:space="preserve">La medición inicial de un bitcoin adquirido mediante compra directa debe realizarse, conforme al principio general de costo histórico que rige el reconocimiento inicial de los activos intangibles bajo el párrafo 24 de la NIC 38 —que se desarrollará en profundidad en el Capítulo 14—, por su costo de adquisición, integrado por el precio pagado más cualquier costo directamente atribuible a la preparación del activo para su uso previsto, entre los que se incluyen las comisiones de la plataforma de intercambio y las comisiones de red (fees) descritas en el Capítulo 3, en la medida en que resulten directamente atribuibles a la transacción de adquisición.</w:t>
      </w:r>
    </w:p>
    <w:p>
      <w:pPr>
        <w:pStyle w:val="Heading2"/>
        <w:spacing w:after="180" w:before="360"/>
      </w:pPr>
      <w:r>
        <w:rPr>
          <w:rFonts w:ascii="Garamond" w:cs="Garamond" w:eastAsia="Garamond" w:hAnsi="Garamond"/>
          <w:b/>
          <w:bCs/>
          <w:color w:val="10233F"/>
          <w:sz w:val="28"/>
          <w:szCs w:val="28"/>
        </w:rPr>
        <w:t xml:space="preserve">12.3. Reconocimiento inicial: recepción como contraprestación por bienes o servicios</w:t>
      </w:r>
    </w:p>
    <w:p>
      <w:pPr>
        <w:spacing w:after="160" w:line="300"/>
        <w:jc w:val="both"/>
      </w:pPr>
      <w:r>
        <w:rPr>
          <w:rFonts w:ascii="Garamond" w:cs="Garamond" w:eastAsia="Garamond" w:hAnsi="Garamond"/>
          <w:sz w:val="24"/>
          <w:szCs w:val="24"/>
        </w:rPr>
        <w:t xml:space="preserve">Cuando una entidad recibe bitcoins como contraprestación por la venta de bienes o la prestación de servicios en el curso de sus actividades ordinarias, corresponde distinguir dos reconocimientos simultáneos pero conceptualmente independientes: el reconocimiento del ingreso de actividades ordinarias, que se rige por la Norma Internacional de Información Financiera (NIIF) 15, Ingresos de Actividades Ordinarias procedentes de Contratos con Clientes, y el reconocimiento del activo Bitcoin recibido como contraprestación, que se rige por la NIC 38.</w:t>
      </w:r>
    </w:p>
    <w:p>
      <w:pPr>
        <w:spacing w:after="160" w:line="300"/>
        <w:jc w:val="both"/>
      </w:pPr>
      <w:r>
        <w:rPr>
          <w:rFonts w:ascii="Garamond" w:cs="Garamond" w:eastAsia="Garamond" w:hAnsi="Garamond"/>
          <w:sz w:val="24"/>
          <w:szCs w:val="24"/>
        </w:rPr>
        <w:t xml:space="preserve">El párrafo 66 de la NIIF 15 establece que, cuando la contraprestación prometida en un contrato con un cliente incluye una contraprestación distinta del efectivo, la entidad debe medir esa contraprestación distinta del efectivo —o el derecho a recibirla— a valor razonable, y que si ese valor razonable no puede estimarse de manera fiable, la contraprestación debe medirse de manera indirecta por referencia al precio de venta independiente de los bienes o servicios prometidos al cliente. En el caso específico de Bitcoin, la existencia de mercados activos y líquidos con cotizaciones públicas y verificables en tiempo real —circunstancia que, como se desarrollará en el Capítulo 17 al tratar la NIIF 13, resulta determinante para la jerarquía de valor razonable aplicable— permite, en la generalidad de los casos, una estimación fiable del valor razonable de los bitcoins recibidos al momento de la transacción, sin necesidad de recurrir al método indirecto de estimación por referencia al precio de venta independiente.</w:t>
      </w:r>
    </w:p>
    <w:p>
      <w:pPr>
        <w:spacing w:after="160" w:line="300"/>
        <w:jc w:val="both"/>
      </w:pPr>
      <w:r>
        <w:rPr>
          <w:rFonts w:ascii="Garamond" w:cs="Garamond" w:eastAsia="Garamond" w:hAnsi="Garamond"/>
          <w:sz w:val="24"/>
          <w:szCs w:val="24"/>
        </w:rPr>
        <w:t xml:space="preserve">El monto de ingreso reconocido bajo NIIF 15 por esta vía coincide, en consecuencia, con el costo de adquisición al cual se reconoce inicialmente el activo Bitcoin bajo NIC 38: el valor razonable de los bitcoins recibidos a la fecha de la transacción, expresado en la moneda funcional de la entidad conforme a los criterios de conversión que se desarrollarán en el Capítulo 19 al tratar la NIC 21. Cualquier variación posterior en el valor de esos bitcoins —al alza o a la baja— constituye, a partir de ese momento, un resultado por tenencia sujeto al régimen de medición posterior de NIC 38 que se desarrollará en el Capítulo 14, y no un ajuste al ingreso ya reconocido conforme a NIIF 15.</w:t>
      </w:r>
    </w:p>
    <w:p>
      <w:pPr>
        <w:pStyle w:val="Heading2"/>
        <w:spacing w:after="180" w:before="360"/>
      </w:pPr>
      <w:r>
        <w:rPr>
          <w:rFonts w:ascii="Garamond" w:cs="Garamond" w:eastAsia="Garamond" w:hAnsi="Garamond"/>
          <w:b/>
          <w:bCs/>
          <w:color w:val="10233F"/>
          <w:sz w:val="28"/>
          <w:szCs w:val="28"/>
        </w:rPr>
        <w:t xml:space="preserve">12.4. Reconocimiento inicial: recompensa de minería</w:t>
      </w:r>
    </w:p>
    <w:p>
      <w:pPr>
        <w:spacing w:after="160" w:line="300"/>
        <w:jc w:val="both"/>
      </w:pPr>
      <w:r>
        <w:rPr>
          <w:rFonts w:ascii="Garamond" w:cs="Garamond" w:eastAsia="Garamond" w:hAnsi="Garamond"/>
          <w:sz w:val="24"/>
          <w:szCs w:val="24"/>
        </w:rPr>
        <w:t xml:space="preserve">El supuesto de los bitcoins obtenidos como recompensa de minería, descrito técnicamente en el Capítulo 4, plantea una cuestión de reconocimiento contable de mayor complejidad doctrinaria, en la medida en que no existe, en sentido estricto, una «contraprestación» pactada entre partes identificadas, sino la asignación algorítmica y automática de nuevos bitcoins —y de las comisiones de las transacciones incluidas en el bloque— a quien resuelve exitosamente el problema computacional de prueba de trabajo descrito en el Capítulo 4.</w:t>
      </w:r>
    </w:p>
    <w:p>
      <w:pPr>
        <w:spacing w:after="160" w:line="300"/>
        <w:jc w:val="both"/>
      </w:pPr>
      <w:r>
        <w:rPr>
          <w:rFonts w:ascii="Garamond" w:cs="Garamond" w:eastAsia="Garamond" w:hAnsi="Garamond"/>
          <w:sz w:val="24"/>
          <w:szCs w:val="24"/>
        </w:rPr>
        <w:t xml:space="preserve">La doctrina contable predominante, en ausencia de una norma específica que aborde este supuesto de manera directa, ha convergido hacia dos posiciones principales. La primera posición, de mayor aceptación práctica, sostiene que la actividad de minería debe analizarse por analogía con la prestación de un servicio de validación y procesamiento de transacciones a la red de Bitcoin en su conjunto, en cuyo caso resultarían aplicables, por analogía, los principios de reconocimiento de ingresos de la NIIF 15 al momento en que el minero satisface su obligación de desempeño —es decir, al momento en que el bloque minado es aceptado por la red y la recompensa correspondiente queda registrada de manera irrevocable a su favor—, midiendo el ingreso y el activo correlativo a valor razonable en ese momento. La segunda posición, de aplicación más restringida en la práctica, sostiene que la actividad de minería constituye, en rigor, un proceso de producción de un bien —de manera análoga a la extracción de un recurso natural—, en cuyo caso correspondería, en principio, un tratamiento por analogía con la NIC 2, Inventarios, o con la NIC 16, Propiedades, Planta y Equipo, en lo que respecta al reconocimiento del hardware de minería como bien de uso, cuestión que se retomará en el Capítulo 24 al desarrollar el asiento contable específico de la actividad de minería.</w:t>
      </w:r>
    </w:p>
    <w:p>
      <w:pPr>
        <w:spacing w:after="160" w:line="300"/>
        <w:jc w:val="both"/>
      </w:pPr>
      <w:r>
        <w:rPr>
          <w:rFonts w:ascii="Garamond" w:cs="Garamond" w:eastAsia="Garamond" w:hAnsi="Garamond"/>
          <w:sz w:val="24"/>
          <w:szCs w:val="24"/>
        </w:rPr>
        <w:t xml:space="preserve">Con independencia de cuál de estas dos posiciones doctrinarias se adopte para fundamentar el reconocimiento —cuestión que, en la práctica profesional argentina, no ha sido objeto de pronunciamiento expreso por parte de la FACPCE—, existe coincidencia generalizada en la conclusión sustantiva de que los bitcoins obtenidos como recompensa de minería deben reconocerse inicialmente a su valor razonable a la fecha en que la entidad obtiene el control sobre ellos, con contrapartida en el resultado del ejercicio como ingreso de actividades ordinarias, si la minería constituye la actividad ordinaria de la entidad, o como otro ingreso, en caso contrario.</w:t>
      </w:r>
    </w:p>
    <w:p>
      <w:pPr>
        <w:pStyle w:val="Heading2"/>
        <w:spacing w:after="180" w:before="360"/>
      </w:pPr>
      <w:r>
        <w:rPr>
          <w:rFonts w:ascii="Garamond" w:cs="Garamond" w:eastAsia="Garamond" w:hAnsi="Garamond"/>
          <w:b/>
          <w:bCs/>
          <w:color w:val="10233F"/>
          <w:sz w:val="28"/>
          <w:szCs w:val="28"/>
        </w:rPr>
        <w:t xml:space="preserve">12.5. La distinción crucial entre control criptográfico directo y derecho de crédito contra un custodio</w:t>
      </w:r>
    </w:p>
    <w:p>
      <w:pPr>
        <w:spacing w:after="160" w:line="300"/>
        <w:jc w:val="both"/>
      </w:pPr>
      <w:r>
        <w:rPr>
          <w:rFonts w:ascii="Garamond" w:cs="Garamond" w:eastAsia="Garamond" w:hAnsi="Garamond"/>
          <w:sz w:val="24"/>
          <w:szCs w:val="24"/>
        </w:rPr>
        <w:t xml:space="preserve">Este capítulo no puede cerrarse sin retomar, con el desarrollo pormenorizado que merece, la distinción anticipada en la sección 12.2 entre el reconocimiento de Bitcoin propiamente dicho —cuando la entidad posee el control criptográfico directo sobre la clave privada correspondiente, en los términos desarrollados en los Capítulos 6, 7 y 11— y el reconocimiento de un derecho de crédito contra un tercero custodio —cuando la entidad mantiene sus bitcoins depositados en un exchange o en un servicio de custodia profesional, sin control criptográfico directo sobre las claves privadas correspondientes—.</w:t>
      </w:r>
    </w:p>
    <w:p>
      <w:pPr>
        <w:spacing w:after="160" w:line="300"/>
        <w:jc w:val="both"/>
      </w:pPr>
      <w:r>
        <w:rPr>
          <w:rFonts w:ascii="Garamond" w:cs="Garamond" w:eastAsia="Garamond" w:hAnsi="Garamond"/>
          <w:sz w:val="24"/>
          <w:szCs w:val="24"/>
        </w:rPr>
        <w:t xml:space="preserve">Esta distinción, que puede parecer de relevancia primariamente jurídica, tiene una consecuencia contable de primer orden: mientras que la tenencia directa de Bitcoin se reconoce, como se ha desarrollado en este capítulo, como un activo intangible bajo NIC 38, la tenencia indirecta a través de un custodio —en la medida en que el contrato de custodia no otorgue a la entidad depositante un derecho de propiedad segregado y protegido frente a la eventual insolvencia del custodio, sino un derecho de crédito quirografario general— podría exigir su reconocimiento como un instrumento financiero bajo NIIF 9, sujeto a las reglas de deterioro esperado (expected credit loss) de esa norma, con una exposición al riesgo de crédito del custodio que no está presente en la tenencia directa. La determinación de cuál de estos dos encuadres resulta aplicable a un caso concreto exige un análisis pormenorizado de los términos contractuales específicos del servicio de custodia, y en particular de si los activos del cliente se mantienen efectivamente segregados de los activos propios del custodio y protegidos frente a los acreedores de este último en caso de insolvencia —cuestión que el colapso de FTX en noviembre de 2022, en el cual se constató que los activos depositados por los clientes no se encontraban efectivamente segregados de los fondos operativos de la plataforma, puso dramáticamente de manifiesto como riesgo material y no meramente teórico—, y que se retomará al tratar las notas a los estados contables en el Capítulo 25 y la prueba de reservas en el Capítulo 35.</w:t>
      </w:r>
    </w:p>
    <w:p>
      <w:pPr>
        <w:pStyle w:val="Heading2"/>
        <w:spacing w:after="180" w:before="360"/>
      </w:pPr>
      <w:r>
        <w:rPr>
          <w:rFonts w:ascii="Garamond" w:cs="Garamond" w:eastAsia="Garamond" w:hAnsi="Garamond"/>
          <w:b/>
          <w:bCs/>
          <w:color w:val="10233F"/>
          <w:sz w:val="28"/>
          <w:szCs w:val="28"/>
        </w:rPr>
        <w:t xml:space="preserve">12.6. Medición posterior: una anticipación del desarrollo de los Capítulos 13 y 14</w:t>
      </w:r>
    </w:p>
    <w:p>
      <w:pPr>
        <w:spacing w:after="160" w:line="300"/>
        <w:jc w:val="both"/>
      </w:pPr>
      <w:r>
        <w:rPr>
          <w:rFonts w:ascii="Garamond" w:cs="Garamond" w:eastAsia="Garamond" w:hAnsi="Garamond"/>
          <w:sz w:val="24"/>
          <w:szCs w:val="24"/>
        </w:rPr>
        <w:t xml:space="preserve">Habiendo desarrollado en este capítulo los criterios de reconocimiento inicial y de medición al momento de la incorporación del activo, corresponde anticipar, a modo de cierre y de enlace con los capítulos siguientes, que la medición posterior de una tenencia de Bitcoin —es decir, cómo se valúa ese activo en cada fecha de cierre de estados contables posterior a su reconocimiento inicial— constituye una cuestión normativamente más compleja y doctrinariamente más discutida que la del reconocimiento inicial desarrollado en este capítulo. El Capítulo 13 desarrollará, con carácter general, la disyuntiva conceptual entre el valor razonable y el costo histórico como bases de medición posterior; y el Capítulo 14 aplicará esa disyuntiva al régimen específico de la NIC 38, que —como se adelantará en ese capítulo— exige, en la generalidad de los casos, un modelo de costo menos deterioro acumulado, con la posibilidad excepcional de un modelo de revaluación cuando exista un mercado activo en los términos exigidos por esa norma, cuestión que ha sido objeto de crítica doctrinaria sostenida por su asimetría frente a la volatilidad característica del precio de Bitcoin.</w:t>
      </w:r>
    </w:p>
    <w:p>
      <w:pPr>
        <w:pStyle w:val="Heading2"/>
        <w:spacing w:after="180" w:before="360"/>
      </w:pPr>
      <w:r>
        <w:rPr>
          <w:rFonts w:ascii="Garamond" w:cs="Garamond" w:eastAsia="Garamond" w:hAnsi="Garamond"/>
          <w:b/>
          <w:bCs/>
          <w:color w:val="10233F"/>
          <w:sz w:val="28"/>
          <w:szCs w:val="28"/>
        </w:rPr>
        <w:t xml:space="preserve">12.7. Síntesis del capítulo</w:t>
      </w:r>
    </w:p>
    <w:p>
      <w:pPr>
        <w:spacing w:after="160" w:line="300"/>
        <w:jc w:val="both"/>
      </w:pPr>
      <w:r>
        <w:rPr>
          <w:rFonts w:ascii="Garamond" w:cs="Garamond" w:eastAsia="Garamond" w:hAnsi="Garamond"/>
          <w:sz w:val="24"/>
          <w:szCs w:val="24"/>
        </w:rPr>
        <w:t xml:space="preserve">Este capítulo desarrolló los criterios de reconocimiento inicial y de medición al momento de la incorporación de una tenencia de Bitcoin al patrimonio de una entidad, distinguiendo los supuestos de compra directa, recepción como contraprestación por bienes o servicios bajo NIIF 15, y obtención como recompensa de minería, para los cuales se estableció el criterio común de medición inicial a valor razonable a la fecha de la transacción. Se desarrolló, asimismo, la distinción crucial entre el control criptográfico directo sobre Bitcoin —que determina su encuadre como activo intangible bajo NIC 38— y el derecho de crédito contra un custodio que puede resultar aplicable cuando los bitcoins se mantienen depositados en un exchange sin segregación efectiva, distinción que el colapso de FTX puso dramáticamente de manifiesto como una cuestión de riesgo material y no meramente académico. Con estas bases de reconocimiento y medición inicial firmemente establecidas, la obra se encuentra en condiciones de abordar, en el Capítulo 13, el análisis comparativo entre valor razonable y costo histórico que fundamentará el desarrollo pormenorizado de la NIC 38 en el Capítulo 14.</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12</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(2009). NIIF 9: Instrumentos financieros. IFRS Foundation.</w:t>
      </w:r>
    </w:p>
    <w:p>
      <w:pPr>
        <w:spacing w:after="160"/>
        <w:ind w:left="480" w:hanging="480"/>
        <w:jc w:val="both"/>
      </w:pPr>
      <w:r>
        <w:rPr>
          <w:rFonts w:ascii="Garamond" w:cs="Garamond" w:eastAsia="Garamond" w:hAnsi="Garamond"/>
          <w:sz w:val="22"/>
          <w:szCs w:val="22"/>
        </w:rPr>
        <w:t xml:space="preserve">International Accounting Standards Board. (2014). NIIF 15: Ingresos de actividades ordinarias procedentes de contratos con clientes. IFRS Foundation.</w:t>
      </w:r>
    </w:p>
    <w:p>
      <w:pPr>
        <w:spacing w:after="160"/>
        <w:ind w:left="480" w:hanging="480"/>
        <w:jc w:val="both"/>
      </w:pPr>
      <w:r>
        <w:rPr>
          <w:rFonts w:ascii="Garamond" w:cs="Garamond" w:eastAsia="Garamond" w:hAnsi="Garamond"/>
          <w:sz w:val="22"/>
          <w:szCs w:val="22"/>
        </w:rPr>
        <w:t xml:space="preserve">U.S. Securities and Exchange Commission. (2023). SEC charges Samuel Bankman-Fried with defrauding investors in crypto asset trading platform FTX. Litigation Release No. 25999.</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13</w:t>
      </w:r>
    </w:p>
    <w:p>
      <w:pPr>
        <w:spacing w:after="400"/>
      </w:pPr>
      <w:r>
        <w:rPr>
          <w:rFonts w:ascii="Garamond" w:cs="Garamond" w:eastAsia="Garamond" w:hAnsi="Garamond"/>
          <w:b/>
          <w:bCs/>
          <w:color w:val="9C7A2E"/>
          <w:sz w:val="40"/>
          <w:szCs w:val="40"/>
        </w:rPr>
        <w:t xml:space="preserve">Valor razonable versus costo histórico</w:t>
      </w:r>
    </w:p>
    <w:p>
      <w:pPr>
        <w:pStyle w:val="Heading2"/>
        <w:spacing w:after="180" w:before="360"/>
      </w:pPr>
      <w:r>
        <w:rPr>
          <w:rFonts w:ascii="Garamond" w:cs="Garamond" w:eastAsia="Garamond" w:hAnsi="Garamond"/>
          <w:b/>
          <w:bCs/>
          <w:color w:val="10233F"/>
          <w:sz w:val="28"/>
          <w:szCs w:val="28"/>
        </w:rPr>
        <w:t xml:space="preserve">13.1. Introducción: dos filosofías de medición contable</w:t>
      </w:r>
    </w:p>
    <w:p>
      <w:pPr>
        <w:spacing w:after="160" w:line="300"/>
        <w:jc w:val="both"/>
      </w:pPr>
      <w:r>
        <w:rPr>
          <w:rFonts w:ascii="Garamond" w:cs="Garamond" w:eastAsia="Garamond" w:hAnsi="Garamond"/>
          <w:sz w:val="24"/>
          <w:szCs w:val="24"/>
        </w:rPr>
        <w:t xml:space="preserve">Los Capítulos 11 y 12 sentaron las bases conceptuales del reconocimiento inicial de Bitcoin como activo, pero dejaron pendiente, para su desarrollo específico en este capítulo, la cuestión que con mayor intensidad divide a la doctrina contable internacional en relación con los criptoactivos: ¿con qué base debe medirse una tenencia de Bitcoin en cada fecha de cierre posterior a su reconocimiento inicial? Esta pregunta remite a una disyuntiva conceptual que trasciende ampliamente el caso específico de Bitcoin, y que atraviesa la teoría contable desde mediados del siglo XX: la disyuntiva entre el costo histórico y el valor razonable como bases alternativas de medición.</w:t>
      </w:r>
    </w:p>
    <w:p>
      <w:pPr>
        <w:spacing w:after="160" w:line="300"/>
        <w:jc w:val="both"/>
      </w:pPr>
      <w:r>
        <w:rPr>
          <w:rFonts w:ascii="Garamond" w:cs="Garamond" w:eastAsia="Garamond" w:hAnsi="Garamond"/>
          <w:sz w:val="24"/>
          <w:szCs w:val="24"/>
        </w:rPr>
        <w:t xml:space="preserve">Este capítulo desarrolla esa disyuntiva con carácter general, exponiendo los fundamentos doctrinarios de cada base de medición, sus fortalezas y debilidades respectivas, y su aplicación específica al caso de Bitcoin, como paso indispensable para comprender, en el Capítulo 14, por qué la NIC 38 adopta, para los activos intangibles en general, un criterio que —como se anticipó en el Capítulo 11— ha sido objeto de crítica doctrinaria sostenida cuando se aplica a un activo de la volatilidad y la liquidez de mercado características de Bitcoin.</w:t>
      </w:r>
    </w:p>
    <w:p>
      <w:pPr>
        <w:pStyle w:val="Heading2"/>
        <w:spacing w:after="180" w:before="360"/>
      </w:pPr>
      <w:r>
        <w:rPr>
          <w:rFonts w:ascii="Garamond" w:cs="Garamond" w:eastAsia="Garamond" w:hAnsi="Garamond"/>
          <w:b/>
          <w:bCs/>
          <w:color w:val="10233F"/>
          <w:sz w:val="28"/>
          <w:szCs w:val="28"/>
        </w:rPr>
        <w:t xml:space="preserve">13.2. El costo histórico: fundamentos y limitaciones</w:t>
      </w:r>
    </w:p>
    <w:p>
      <w:pPr>
        <w:spacing w:after="160" w:line="300"/>
        <w:jc w:val="both"/>
      </w:pPr>
      <w:r>
        <w:rPr>
          <w:rFonts w:ascii="Garamond" w:cs="Garamond" w:eastAsia="Garamond" w:hAnsi="Garamond"/>
          <w:sz w:val="24"/>
          <w:szCs w:val="24"/>
        </w:rPr>
        <w:t xml:space="preserve">El costo histórico, como base de medición, registra un activo por el importe de efectivo o equivalentes de efectivo pagado, o por el valor razonable de la contraprestación entregada, en el momento de su adquisición, manteniendo ese importe —ajustado únicamente por amortización y por eventuales pérdidas por deterioro— como valor de libros a lo largo de la vida del activo, con independencia de las fluctuaciones posteriores de su valor de mercado.</w:t>
      </w:r>
    </w:p>
    <w:p>
      <w:pPr>
        <w:spacing w:after="160" w:line="300"/>
        <w:jc w:val="both"/>
      </w:pPr>
      <w:r>
        <w:rPr>
          <w:rFonts w:ascii="Garamond" w:cs="Garamond" w:eastAsia="Garamond" w:hAnsi="Garamond"/>
          <w:sz w:val="24"/>
          <w:szCs w:val="24"/>
        </w:rPr>
        <w:t xml:space="preserve">La justificación doctrinaria clásica del costo histórico —desarrollada extensamente en la literatura contable del siglo XX, entre otros por el marco conceptual original del Financial Accounting Standards Board estadounidense en su Statement of Financial Accounting Concepts N.º 5 de 1984— descansa en dos atributos que la teoría contable considera deseables: la verificabilidad objetiva (el costo histórico se sustenta en una transacción real y documentada, y no en una estimación sujeta a juicio profesional) y la prudencia (el costo histórico evita el reconocimiento de ganancias no realizadas que podrían revertirse antes de su efectiva materialización mediante una transacción de venta).</w:t>
      </w:r>
    </w:p>
    <w:p>
      <w:pPr>
        <w:spacing w:after="160" w:line="300"/>
        <w:jc w:val="both"/>
      </w:pPr>
      <w:r>
        <w:rPr>
          <w:rFonts w:ascii="Garamond" w:cs="Garamond" w:eastAsia="Garamond" w:hAnsi="Garamond"/>
          <w:sz w:val="24"/>
          <w:szCs w:val="24"/>
        </w:rPr>
        <w:t xml:space="preserve">La limitación central del costo histórico, sin embargo, y la que motivó la progresiva expansión del valor razonable como base de medición alternativa a partir de la década de 1990, es su pérdida de relevancia informativa a medida que transcurre el tiempo desde la adquisición del activo, particularmente en el caso de activos cuyo valor de mercado resulta significativamente distinto —por encima o por debajo— de su costo original. Para un activo como Bitcoin, cuya volatilidad de precio ha sido documentada de manera consistente a lo largo de su historia de mercado desde 2010, un valor de libros congelado en el costo histórico de adquisición puede, al cabo de pocos meses o incluso semanas, resultar completamente disociado del valor económico real que ese activo representa para la entidad tenedora, comprometiendo severamente la relevancia de la información contable para los usuarios de los estados financieros.</w:t>
      </w:r>
    </w:p>
    <w:p>
      <w:pPr>
        <w:pStyle w:val="Heading2"/>
        <w:spacing w:after="180" w:before="360"/>
      </w:pPr>
      <w:r>
        <w:rPr>
          <w:rFonts w:ascii="Garamond" w:cs="Garamond" w:eastAsia="Garamond" w:hAnsi="Garamond"/>
          <w:b/>
          <w:bCs/>
          <w:color w:val="10233F"/>
          <w:sz w:val="28"/>
          <w:szCs w:val="28"/>
        </w:rPr>
        <w:t xml:space="preserve">13.3. El valor razonable: fundamentos y limitaciones</w:t>
      </w:r>
    </w:p>
    <w:p>
      <w:pPr>
        <w:spacing w:after="160" w:line="300"/>
        <w:jc w:val="both"/>
      </w:pPr>
      <w:r>
        <w:rPr>
          <w:rFonts w:ascii="Garamond" w:cs="Garamond" w:eastAsia="Garamond" w:hAnsi="Garamond"/>
          <w:sz w:val="24"/>
          <w:szCs w:val="24"/>
        </w:rPr>
        <w:t xml:space="preserve">El valor razonable, definido por la NIIF 13 —que se desarrollará en profundidad en el Capítulo 17— como el precio que se recibiría por vender un activo, o que se pagaría por transferir un pasivo, en una transacción ordenada entre participantes de mercado en la fecha de medición, ofrece, en contraposición al costo histórico, una medición que refleja, en cada fecha de cierre, la mejor estimación disponible del valor económico corriente del activo, maximizando la relevancia informativa de los estados contables para la toma de decisiones económicas de sus usuarios.</w:t>
      </w:r>
    </w:p>
    <w:p>
      <w:pPr>
        <w:spacing w:after="160" w:line="300"/>
        <w:jc w:val="both"/>
      </w:pPr>
      <w:r>
        <w:rPr>
          <w:rFonts w:ascii="Garamond" w:cs="Garamond" w:eastAsia="Garamond" w:hAnsi="Garamond"/>
          <w:sz w:val="24"/>
          <w:szCs w:val="24"/>
        </w:rPr>
        <w:t xml:space="preserve">La aplicación del valor razonable a Bitcoin presenta, además, una ventaja práctica que no está presente en la generalidad de los activos intangibles a los que la NIC 38 se aplica —marcas, patentes, relaciones con clientes—: la existencia de mercados activos, líquidos, y con cotizaciones públicas continuas y verificables en tiempo real, circunstancia que, como se desarrollará en el Capítulo 17, permite clasificar la medición del valor razonable de Bitcoin dentro del Nivel 1 de la jerarquía de valor razonable de la NIIF 13 —el nivel de mayor objetividad y verificabilidad, reservado a los activos cuyo valor razonable puede determinarse por referencia directa a precios cotizados en mercados activos para activos idénticos—, un atributo que la generalidad de los activos intangibles tradicionales, carentes de un mercado secundario activo, no posee.</w:t>
      </w:r>
    </w:p>
    <w:p>
      <w:pPr>
        <w:spacing w:after="160" w:line="300"/>
        <w:jc w:val="both"/>
      </w:pPr>
      <w:r>
        <w:rPr>
          <w:rFonts w:ascii="Garamond" w:cs="Garamond" w:eastAsia="Garamond" w:hAnsi="Garamond"/>
          <w:sz w:val="24"/>
          <w:szCs w:val="24"/>
        </w:rPr>
        <w:t xml:space="preserve">La limitación doctrinaria que tradicionalmente se ha invocado contra la aplicación generalizada del valor razonable es el riesgo de introducir en los estados contables una volatilidad de resultados que no refleja necesariamente un cambio en la capacidad operativa o en el desempeño de gestión de la entidad, sino meras fluctuaciones de mercado que pueden revertirse con la misma rapidez con que se produjeron, cuestión de particular relevancia práctica para un activo tan volátil como Bitcoin, y que constituye, precisamente, uno de los argumentos que la literatura contable ha invocado —con posiciones encontradas, como se desarrollará en la sección siguiente— tanto a favor cuanto en contra de su aplicación a los criptoactivos.</w:t>
      </w:r>
    </w:p>
    <w:p>
      <w:pPr>
        <w:pStyle w:val="Heading2"/>
        <w:spacing w:after="180" w:before="360"/>
      </w:pPr>
      <w:r>
        <w:rPr>
          <w:rFonts w:ascii="Garamond" w:cs="Garamond" w:eastAsia="Garamond" w:hAnsi="Garamond"/>
          <w:b/>
          <w:bCs/>
          <w:color w:val="10233F"/>
          <w:sz w:val="28"/>
          <w:szCs w:val="28"/>
        </w:rPr>
        <w:t xml:space="preserve">13.4. El debate doctrinario aplicado específicamente a Bitcoin</w:t>
      </w:r>
    </w:p>
    <w:p>
      <w:pPr>
        <w:spacing w:after="160" w:line="300"/>
        <w:jc w:val="both"/>
      </w:pPr>
      <w:r>
        <w:rPr>
          <w:rFonts w:ascii="Garamond" w:cs="Garamond" w:eastAsia="Garamond" w:hAnsi="Garamond"/>
          <w:sz w:val="24"/>
          <w:szCs w:val="24"/>
        </w:rPr>
        <w:t xml:space="preserve">La controversia doctrinaria en torno a la base de medición posterior aplicable a Bitcoin no es meramente teórica: como se adelantó en los Capítulos 2 y 11, y como se desarrollará con el detalle normativo correspondiente en el Capítulo 14, la NIC 38 vigente exige, para los activos intangibles de vida útil indefinida como Bitcoin, un modelo de costo menos deterioro acumulado como criterio por defecto, con la posibilidad excepcional —de aplicación práctica limitada, como se explicará en el Capítulo 14— de un modelo de revaluación a valor razonable con contrapartida en una reserva específica del patrimonio, y no en el resultado del ejercicio.</w:t>
      </w:r>
    </w:p>
    <w:p>
      <w:pPr>
        <w:spacing w:after="160" w:line="300"/>
        <w:jc w:val="both"/>
      </w:pPr>
      <w:r>
        <w:rPr>
          <w:rFonts w:ascii="Garamond" w:cs="Garamond" w:eastAsia="Garamond" w:hAnsi="Garamond"/>
          <w:sz w:val="24"/>
          <w:szCs w:val="24"/>
        </w:rPr>
        <w:t xml:space="preserve">Este criterio ha sido objeto de crítica doctrinaria sostenida por una parte significativa de la literatura contable especializada en criptoactivos, que argumenta que el modelo de costo menos deterioro, combinado con la prohibición expresa que la NIC 36 —que se desarrollará en el Capítulo 16— establece de revertir pérdidas por deterioro reconocidas sobre activos intangibles, genera una asimetría de reconocimiento particularmente inadecuada para un activo de la volatilidad de Bitcoin: las caídas de precio por debajo del costo histórico se reconocen íntegra e inmediatamente como pérdida por deterioro en el resultado del ejercicio, mientras que las recuperaciones y los incrementos de valor por encima del costo original no se reconocen en absoluto —ni siquiera hasta el nivel del costo original— bajo el modelo de costo, sino únicamente hasta el momento de la efectiva enajenación del activo. Esta asimetría, documentada de manera notoria en los estados contables de MicroStrategy y de Tesla durante los ciclos de mercado bajista de Bitcoin ocurridos en 2018 y en 2022, según se desarrollará con el detalle de los casos concretos en el Capítulo 37, ha sido invocada como uno de los factores que motivó a la Financial Accounting Standards Board estadounidense a apartarse de ese criterio mediante la actualización normativa vigente desde 2025, adoptando en su lugar, para los criptoactivos que satisfacen determinados criterios específicos, un modelo de medición a valor razonable con cambios en resultados en cada período, en lugar del modelo de costo menos deterioro.</w:t>
      </w:r>
    </w:p>
    <w:p>
      <w:pPr>
        <w:spacing w:after="160" w:line="300"/>
        <w:jc w:val="both"/>
      </w:pPr>
      <w:r>
        <w:rPr>
          <w:rFonts w:ascii="Garamond" w:cs="Garamond" w:eastAsia="Garamond" w:hAnsi="Garamond"/>
          <w:sz w:val="24"/>
          <w:szCs w:val="24"/>
        </w:rPr>
        <w:t xml:space="preserve">Frente a esta posición crítica, una segunda corriente doctrinaria —que ha encontrado eco en la posición institucional que hasta la fecha de esta edición mantiene el propio IASB, sin haber emprendido un proyecto normativo específico para modificar el tratamiento de los criptoactivos bajo NIC 38— sostiene que la extensión generalizada del valor razonable con cambios en resultados a la totalidad de los activos intangibles, más allá del caso específico de Bitcoin, plantearía cuestiones de coherencia sistémica dentro del propio cuerpo normativo de las NIIF, en la medida en que introduciría un tratamiento excepcional para una categoría acotada de activos intangibles —los que poseen mercados activos, hoy prácticamente circunscripta a determinados criptoactivos— sin una revisión más amplia y sistemática del régimen de medición de activos intangibles en su conjunto, revisión que, según esta posición, debería abordarse de manera integral y no mediante una excepción normativa focalizada exclusivamente en Bitcoin y activos de naturaleza análoga.</w:t>
      </w:r>
    </w:p>
    <w:p>
      <w:pPr>
        <w:pStyle w:val="Heading2"/>
        <w:spacing w:after="180" w:before="360"/>
      </w:pPr>
      <w:r>
        <w:rPr>
          <w:rFonts w:ascii="Garamond" w:cs="Garamond" w:eastAsia="Garamond" w:hAnsi="Garamond"/>
          <w:b/>
          <w:bCs/>
          <w:color w:val="10233F"/>
          <w:sz w:val="28"/>
          <w:szCs w:val="28"/>
        </w:rPr>
        <w:t xml:space="preserve">13.5. Conclusión provisional: la norma vigente y sus consecuencias prácticas</w:t>
      </w:r>
    </w:p>
    <w:p>
      <w:pPr>
        <w:spacing w:after="160" w:line="300"/>
        <w:jc w:val="both"/>
      </w:pPr>
      <w:r>
        <w:rPr>
          <w:rFonts w:ascii="Garamond" w:cs="Garamond" w:eastAsia="Garamond" w:hAnsi="Garamond"/>
          <w:sz w:val="24"/>
          <w:szCs w:val="24"/>
        </w:rPr>
        <w:t xml:space="preserve">Sin perjuicio de la legitimidad de ambas posiciones doctrinarias expuestas en la sección anterior —cuya exposición equilibrada corresponde a una obra con la vocación de referencia académica que se propone esta obra—, corresponde a esta obra, en tanto tratado de aplicación práctica de la normativa vigente, partir de la norma efectivamente aplicable a la fecha de esta edición: la NIC 38, con el criterio de costo menos deterioro como regla general y el modelo de revaluación como excepción de aplicación práctica limitada, según se desarrollará con el detalle normativo pormenorizado en el Capítulo 14. La existencia del debate doctrinario expuesto en este capítulo no habilita al profesional contable a apartarse de la norma vigente en la elaboración de estados contables preparados bajo NIIF, sin perjuicio de que dicho debate resulte plenamente pertinente —y, en opinión del autor de esta obra, necesario— para la formación del juicio profesional del contador, para la comunicación con los usuarios de los estados contables acerca de las limitaciones informativas del criterio de medición aplicado, y para el seguimiento de la evolución normativa futura del IASB en esta materia, que esta obra se compromete a incorporar en sus sucesivas actualizaciones.</w:t>
      </w:r>
    </w:p>
    <w:p>
      <w:pPr>
        <w:pStyle w:val="Heading2"/>
        <w:spacing w:after="180" w:before="360"/>
      </w:pPr>
      <w:r>
        <w:rPr>
          <w:rFonts w:ascii="Garamond" w:cs="Garamond" w:eastAsia="Garamond" w:hAnsi="Garamond"/>
          <w:b/>
          <w:bCs/>
          <w:color w:val="10233F"/>
          <w:sz w:val="28"/>
          <w:szCs w:val="28"/>
        </w:rPr>
        <w:t xml:space="preserve">13.6. Síntesis del capítulo</w:t>
      </w:r>
    </w:p>
    <w:p>
      <w:pPr>
        <w:spacing w:after="160" w:line="300"/>
        <w:jc w:val="both"/>
      </w:pPr>
      <w:r>
        <w:rPr>
          <w:rFonts w:ascii="Garamond" w:cs="Garamond" w:eastAsia="Garamond" w:hAnsi="Garamond"/>
          <w:sz w:val="24"/>
          <w:szCs w:val="24"/>
        </w:rPr>
        <w:t xml:space="preserve">Este capítulo desarrolló, con carácter general, la disyuntiva doctrinaria entre el costo histórico y el valor razonable como bases alternativas de medición contable, evaluando sus fundamentos, sus fortalezas y sus limitaciones respectivas, y su aplicación específica al caso de Bitcoin. Se expuso el debate doctrinario —presentado de manera equilibrada, sin adoptar una posición normativa propia distinta de la vigente— en torno a la asimetría que genera la aplicación del modelo de costo menos deterioro de la NIC 38 a un activo de la volatilidad de Bitcoin, y se contrastó ese criterio con la evolución normativa reciente de la FASB estadounidense hacia el valor razonable con cambios en resultados. Con esta base conceptual firmemente establecida, la obra se encuentra en condiciones de abordar, a partir de la Parte III y específicamente en el Capítulo 14, el desarrollo pormenorizado y técnicamente exhaustivo de la NIC 38 como norma que rige, a la fecha de esta edición, el tratamiento contable de Bitcoin bajo las Normas Internacionales de Información Financiera.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13</w:t>
      </w:r>
    </w:p>
    <w:p>
      <w:pPr>
        <w:spacing w:after="160"/>
        <w:ind w:left="480" w:hanging="480"/>
        <w:jc w:val="both"/>
      </w:pPr>
      <w:r>
        <w:rPr>
          <w:rFonts w:ascii="Garamond" w:cs="Garamond" w:eastAsia="Garamond" w:hAnsi="Garamond"/>
          <w:sz w:val="22"/>
          <w:szCs w:val="22"/>
        </w:rPr>
        <w:t xml:space="preserve">Financial Accounting Standards Board. (1984). Statement of Financial Accounting Concepts No. 5: Recognition and measurement in financial statements of business enterprises. FASB.</w:t>
      </w:r>
    </w:p>
    <w:p>
      <w:pPr>
        <w:spacing w:after="160"/>
        <w:ind w:left="480" w:hanging="480"/>
        <w:jc w:val="both"/>
      </w:pPr>
      <w:r>
        <w:rPr>
          <w:rFonts w:ascii="Garamond" w:cs="Garamond" w:eastAsia="Garamond" w:hAnsi="Garamond"/>
          <w:sz w:val="22"/>
          <w:szCs w:val="22"/>
        </w:rPr>
        <w:t xml:space="preserve">Financial Accounting Standards Board. (2023). Accounting Standards Update 2023-08: Accounting for and disclosure of crypto assets. FASB.</w:t>
      </w:r>
    </w:p>
    <w:p>
      <w:pPr>
        <w:spacing w:after="160"/>
        <w:ind w:left="480" w:hanging="480"/>
        <w:jc w:val="both"/>
      </w:pPr>
      <w:r>
        <w:rPr>
          <w:rFonts w:ascii="Garamond" w:cs="Garamond" w:eastAsia="Garamond" w:hAnsi="Garamond"/>
          <w:sz w:val="22"/>
          <w:szCs w:val="22"/>
        </w:rPr>
        <w:t xml:space="preserve">International Accounting Standards Board. (2001). NIC 36: Deterioro del valor de los activos.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(2011). NIIF 13: Medición del valor razonable. IFRS Foundation.</w:t>
      </w:r>
    </w:p>
    <w:p>
      <w:pPr>
        <w:spacing w:after="160"/>
        <w:ind w:left="480" w:hanging="480"/>
        <w:jc w:val="both"/>
      </w:pPr>
      <w:r>
        <w:rPr>
          <w:rFonts w:ascii="Garamond" w:cs="Garamond" w:eastAsia="Garamond" w:hAnsi="Garamond"/>
          <w:sz w:val="22"/>
          <w:szCs w:val="22"/>
        </w:rPr>
        <w:t xml:space="preserve">Procházka, D. (2018). Accounting for bitcoin and other cryptocurrencies under IFRS: A comparison and assessment of competing models. The International Journal of Digital Accounting Research, 18, 161-188.</w:t>
      </w:r>
    </w:p>
    <w:p>
      <w:r>
        <w:br w:type="page"/>
      </w:r>
    </w:p>
    <w:p>
      <w:pPr>
        <w:spacing w:after="160" w:before="400"/>
      </w:pPr>
      <w:r>
        <w:rPr>
          <w:rFonts w:ascii="Garamond" w:cs="Garamond" w:eastAsia="Garamond" w:hAnsi="Garamond"/>
          <w:b/>
          <w:bCs/>
          <w:caps/>
          <w:color w:val="9C7A2E"/>
          <w:sz w:val="24"/>
          <w:szCs w:val="24"/>
        </w:rPr>
        <w:t xml:space="preserve">PARTE III — NORMATIVA CONTABLE APLICABLE</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14</w:t>
      </w:r>
    </w:p>
    <w:p>
      <w:pPr>
        <w:spacing w:after="400"/>
      </w:pPr>
      <w:r>
        <w:rPr>
          <w:rFonts w:ascii="Garamond" w:cs="Garamond" w:eastAsia="Garamond" w:hAnsi="Garamond"/>
          <w:b/>
          <w:bCs/>
          <w:color w:val="9C7A2E"/>
          <w:sz w:val="40"/>
          <w:szCs w:val="40"/>
        </w:rPr>
        <w:t xml:space="preserve">NIC 38 – Activos intangibles aplicada a Bitcoin</w:t>
      </w:r>
    </w:p>
    <w:p>
      <w:pPr>
        <w:pStyle w:val="Heading2"/>
        <w:spacing w:after="180" w:before="360"/>
      </w:pPr>
      <w:r>
        <w:rPr>
          <w:rFonts w:ascii="Garamond" w:cs="Garamond" w:eastAsia="Garamond" w:hAnsi="Garamond"/>
          <w:b/>
          <w:bCs/>
          <w:color w:val="10233F"/>
          <w:sz w:val="28"/>
          <w:szCs w:val="28"/>
        </w:rPr>
        <w:t xml:space="preserve">14.1. Introducción: la norma de referencia para el tratamiento contable de Bitcoin</w:t>
      </w:r>
    </w:p>
    <w:p>
      <w:pPr>
        <w:spacing w:after="160" w:line="300"/>
        <w:jc w:val="both"/>
      </w:pPr>
      <w:r>
        <w:rPr>
          <w:rFonts w:ascii="Garamond" w:cs="Garamond" w:eastAsia="Garamond" w:hAnsi="Garamond"/>
          <w:sz w:val="24"/>
          <w:szCs w:val="24"/>
        </w:rPr>
        <w:t xml:space="preserve">Los capítulos precedentes de esta obra han convergido, de manera reiterada y desde perspectivas complementarias —económica en el Capítulo 10, conceptual en el Capítulo 11, de reconocimiento en el Capítulo 12, y de medición en el Capítulo 13—, hacia una misma conclusión: bajo las Normas Internacionales de Información Financiera vigentes a la fecha de esta edición, y en ausencia de una norma específica emitida por el IASB para los criptoactivos, el tratamiento contable de Bitcoin se rige, en la generalidad de los casos, por la Norma Internacional de Contabilidad (NIC) 38, Activos Intangibles. Este capítulo desarrolla esa norma con el detalle exhaustivo que su condición de eje normativo central de esta obra exige, exponiendo tanto su texto y su lógica interna cuanto los fundamentos de la Decisión de Agenda del IFRS Interpretations Committee de 2019 que consolidó esa conclusión, cuyo análisis pormenorizado se completará en el Capítulo 21.</w:t>
      </w:r>
    </w:p>
    <w:p>
      <w:pPr>
        <w:pStyle w:val="Heading2"/>
        <w:spacing w:after="180" w:before="360"/>
      </w:pPr>
      <w:r>
        <w:rPr>
          <w:rFonts w:ascii="Garamond" w:cs="Garamond" w:eastAsia="Garamond" w:hAnsi="Garamond"/>
          <w:b/>
          <w:bCs/>
          <w:color w:val="10233F"/>
          <w:sz w:val="28"/>
          <w:szCs w:val="28"/>
        </w:rPr>
        <w:t xml:space="preserve">14.2. La definición de activo intangible y el criterio de identificabilidad</w:t>
      </w:r>
    </w:p>
    <w:p>
      <w:pPr>
        <w:spacing w:after="160" w:line="300"/>
        <w:jc w:val="both"/>
      </w:pPr>
      <w:r>
        <w:rPr>
          <w:rFonts w:ascii="Garamond" w:cs="Garamond" w:eastAsia="Garamond" w:hAnsi="Garamond"/>
          <w:sz w:val="24"/>
          <w:szCs w:val="24"/>
        </w:rPr>
        <w:t xml:space="preserve">El párrafo 8 de la NIC 38 define a un activo intangible como un activo identificable, de carácter no monetario y sin apariencia física. Esta definición exige, para su satisfacción, tres elementos acumulativos: identificabilidad, carácter no monetario, y ausencia de apariencia física, cuyo análisis específico aplicado a Bitcoin corresponde desarrollar a continuación.</w:t>
      </w:r>
    </w:p>
    <w:p>
      <w:pPr>
        <w:spacing w:after="160" w:line="300"/>
        <w:jc w:val="both"/>
      </w:pPr>
      <w:r>
        <w:rPr>
          <w:rFonts w:ascii="Garamond" w:cs="Garamond" w:eastAsia="Garamond" w:hAnsi="Garamond"/>
          <w:sz w:val="24"/>
          <w:szCs w:val="24"/>
        </w:rPr>
        <w:t xml:space="preserve">El párrafo 12 de la norma precisa que un activo satisface el criterio de identificabilidad cuando es separable —esto es, susceptible de ser separado de la entidad y vendido, transferido, otorgado en explotación, arrendado o intercambiado, ya sea individualmente o junto con un contrato, activo o pasivo relacionado— o cuando surge de derechos contractuales o de otros derechos de tipo legal, con independencia de que esos derechos sean transferibles o separables de la entidad. Bitcoin satisface holgadamente el criterio de separabilidad: como se ha desarrollado extensamente en la Parte I de esta obra, y particularmente en el Capítulo 7 al tratar la criptografía de clave pública y privada, un bitcoin puede transferirse de manera independiente, mediante una simple transacción en la red, sin que dicha transferencia exija o dependa de la transferencia simultánea de ningún otro activo, contrato o pasivo de la entidad titular.</w:t>
      </w:r>
    </w:p>
    <w:p>
      <w:pPr>
        <w:pStyle w:val="Heading2"/>
        <w:spacing w:after="180" w:before="360"/>
      </w:pPr>
      <w:r>
        <w:rPr>
          <w:rFonts w:ascii="Garamond" w:cs="Garamond" w:eastAsia="Garamond" w:hAnsi="Garamond"/>
          <w:b/>
          <w:bCs/>
          <w:color w:val="10233F"/>
          <w:sz w:val="28"/>
          <w:szCs w:val="28"/>
        </w:rPr>
        <w:t xml:space="preserve">14.3. El carácter no monetario</w:t>
      </w:r>
    </w:p>
    <w:p>
      <w:pPr>
        <w:spacing w:after="160" w:line="300"/>
        <w:jc w:val="both"/>
      </w:pPr>
      <w:r>
        <w:rPr>
          <w:rFonts w:ascii="Garamond" w:cs="Garamond" w:eastAsia="Garamond" w:hAnsi="Garamond"/>
          <w:sz w:val="24"/>
          <w:szCs w:val="24"/>
        </w:rPr>
        <w:t xml:space="preserve">El párrafo 8 de la NIC 38 define a los activos monetarios como el efectivo mantenido y los activos a recibir por importes fijos o determinables de efectivo, distinción que la propia norma toma del párrafo 16 de la NIC 21, que se desarrollará con mayor detalle en el Capítulo 19. Bitcoin, como se estableció con detalle al analizar su función de dinero en el Capítulo 10, no constituye efectivo bajo la definición contable —no es de curso legal ni existe obligación de aceptarlo como medio de pago, salvo en la excepción salvadoreña mencionada en el Capítulo 2—, y su titular no posee, por la sola tenencia del activo, un derecho a recibir de un tercero un importe fijo o determinable de efectivo, a diferencia de lo que ocurriría, por ejemplo, con una stablecoin con derecho contractual de rescate contra su emisor, según se desarrolló al distinguir ambas categorías en el Capítulo 9. En consecuencia, Bitcoin satisface el requisito de carácter no monetario exigido por la definición de activo intangible.</w:t>
      </w:r>
    </w:p>
    <w:p>
      <w:pPr>
        <w:pStyle w:val="Heading2"/>
        <w:spacing w:after="180" w:before="360"/>
      </w:pPr>
      <w:r>
        <w:rPr>
          <w:rFonts w:ascii="Garamond" w:cs="Garamond" w:eastAsia="Garamond" w:hAnsi="Garamond"/>
          <w:b/>
          <w:bCs/>
          <w:color w:val="10233F"/>
          <w:sz w:val="28"/>
          <w:szCs w:val="28"/>
        </w:rPr>
        <w:t xml:space="preserve">14.4. La ausencia de apariencia física</w:t>
      </w:r>
    </w:p>
    <w:p>
      <w:pPr>
        <w:spacing w:after="160" w:line="300"/>
        <w:jc w:val="both"/>
      </w:pPr>
      <w:r>
        <w:rPr>
          <w:rFonts w:ascii="Garamond" w:cs="Garamond" w:eastAsia="Garamond" w:hAnsi="Garamond"/>
          <w:sz w:val="24"/>
          <w:szCs w:val="24"/>
        </w:rPr>
        <w:t xml:space="preserve">El tercer elemento de la definición —la ausencia de sustancia física— no plantea, en el caso de Bitcoin, mayor dificultad analítica: un bitcoin no es, como se ha explicado extensamente en la Parte I de esta obra, un objeto físico ni un archivo digital individualizado que «reside» en un dispositivo determinado, sino un registro contable digital de titularidad sobre determinadas UTXO en la cadena de bloques pública descrita en el Capítulo 3, carente en su totalidad de sustancia material. Este atributo es, precisamente, el que la Decisión de Agenda del IFRS Interpretations Committee de 2019 invoca de manera expresa y central para descartar cualquier posible encuadre de Bitcoin dentro de la categoría de propiedades, planta y equipo (NIC 16) o de existencias tangibles, orientando en cambio el análisis normativo hacia la NIC 38, según se desarrollará con mayor detalle en el Capítulo 21.</w:t>
      </w:r>
    </w:p>
    <w:p>
      <w:pPr>
        <w:pStyle w:val="Heading2"/>
        <w:spacing w:after="180" w:before="360"/>
      </w:pPr>
      <w:r>
        <w:rPr>
          <w:rFonts w:ascii="Garamond" w:cs="Garamond" w:eastAsia="Garamond" w:hAnsi="Garamond"/>
          <w:b/>
          <w:bCs/>
          <w:color w:val="10233F"/>
          <w:sz w:val="28"/>
          <w:szCs w:val="28"/>
        </w:rPr>
        <w:t xml:space="preserve">14.5. Criterios de reconocimiento: control, beneficios económicos futuros y medición fiable</w:t>
      </w:r>
    </w:p>
    <w:p>
      <w:pPr>
        <w:spacing w:after="160" w:line="300"/>
        <w:jc w:val="both"/>
      </w:pPr>
      <w:r>
        <w:rPr>
          <w:rFonts w:ascii="Garamond" w:cs="Garamond" w:eastAsia="Garamond" w:hAnsi="Garamond"/>
          <w:sz w:val="24"/>
          <w:szCs w:val="24"/>
        </w:rPr>
        <w:t xml:space="preserve">El párrafo 21 de la NIC 38 exige, para el reconocimiento de un activo intangible, que se satisfagan simultáneamente dos condiciones adicionales a la definición desarrollada en las secciones precedentes: que sea probable que los beneficios económicos futuros que se han atribuido al activo fluyan a la entidad, y que el costo del activo pueda ser medido de forma fiable. El primero de estos requisitos remite directamente al análisis del elemento «recurso económico» desarrollado en el Capítulo 11, cuya satisfacción por parte de Bitcoin ya quedó establecida en ese capítulo. El segundo requisito —la medición fiable del costo— se satisface, en el supuesto de reconocimiento inicial por compra directa desarrollado en el Capítulo 12, mediante la referencia objetiva al precio efectivamente pagado en la transacción de adquisición, documentado de manera pública e inmutable en la cadena de bloques.</w:t>
      </w:r>
    </w:p>
    <w:p>
      <w:pPr>
        <w:pStyle w:val="Heading2"/>
        <w:spacing w:after="180" w:before="360"/>
      </w:pPr>
      <w:r>
        <w:rPr>
          <w:rFonts w:ascii="Garamond" w:cs="Garamond" w:eastAsia="Garamond" w:hAnsi="Garamond"/>
          <w:b/>
          <w:bCs/>
          <w:color w:val="10233F"/>
          <w:sz w:val="28"/>
          <w:szCs w:val="28"/>
        </w:rPr>
        <w:t xml:space="preserve">14.6. Medición posterior: el modelo de costo como regla general</w:t>
      </w:r>
    </w:p>
    <w:p>
      <w:pPr>
        <w:spacing w:after="160" w:line="300"/>
        <w:jc w:val="both"/>
      </w:pPr>
      <w:r>
        <w:rPr>
          <w:rFonts w:ascii="Garamond" w:cs="Garamond" w:eastAsia="Garamond" w:hAnsi="Garamond"/>
          <w:sz w:val="24"/>
          <w:szCs w:val="24"/>
        </w:rPr>
        <w:t xml:space="preserve">El párrafo 74 de la NIC 38 establece que, con posterioridad al reconocimiento inicial, una entidad debe optar, como política contable, entre el modelo de costo y el modelo de revaluación, aplicando la política elegida a la totalidad de los activos que integren una misma clase de activos intangibles. Bajo el modelo de costo, regulado por el párrafo 74 de la norma, un activo intangible se contabiliza por su costo menos la amortización acumulada y menos las pérdidas por deterioro del valor acumuladas, según el régimen específico de deterioro que se desarrollará en profundidad en el Capítulo 16 al tratar la NIC 36.</w:t>
      </w:r>
    </w:p>
    <w:p>
      <w:pPr>
        <w:spacing w:after="160" w:line="300"/>
        <w:jc w:val="both"/>
      </w:pPr>
      <w:r>
        <w:rPr>
          <w:rFonts w:ascii="Garamond" w:cs="Garamond" w:eastAsia="Garamond" w:hAnsi="Garamond"/>
          <w:sz w:val="24"/>
          <w:szCs w:val="24"/>
        </w:rPr>
        <w:t xml:space="preserve">La aplicación de este modelo a Bitcoin exige, previamente, determinar su vida útil en los términos del párrafo 88 de la NIC 38, que distingue entre activos intangibles de vida útil finita —sujetos a amortización sistemática a lo largo de esa vida útil— y activos intangibles de vida útil indefinida, respecto de los cuales el párrafo 107 de la norma prohíbe expresamente su amortización, exigiendo en su lugar la realización de una prueba de deterioro al menos anualmente, y en cualquier momento en que existan indicios de deterioro, conforme al régimen de la NIC 36. Bitcoin, en tanto activo cuya capacidad de generar beneficios económicos no está sujeta a un límite temporal contractual, legal, ni derivado de la obsolescencia tecnológica o económica previsible —a diferencia, por ejemplo, de una patente con plazo de vigencia legal determinado—, se clasifica de manera consistente en la práctica profesional y en la literatura contable especializada como un activo intangible de vida útil indefinida, y en consecuencia no está sujeto a amortización, sino exclusivamente al régimen de deterioro que se desarrollará en el Capítulo 16.</w:t>
      </w:r>
    </w:p>
    <w:p>
      <w:pPr>
        <w:spacing w:after="160" w:line="300"/>
        <w:jc w:val="both"/>
      </w:pPr>
      <w:r>
        <w:rPr>
          <w:rFonts w:ascii="Garamond" w:cs="Garamond" w:eastAsia="Garamond" w:hAnsi="Garamond"/>
          <w:sz w:val="24"/>
          <w:szCs w:val="24"/>
        </w:rPr>
        <w:t xml:space="preserve">La consecuencia práctica de este régimen —que constituye, precisamente, el objeto de la crítica doctrinaria desarrollada en el Capítulo 13— es que el valor de libros de una tenencia de Bitcoin bajo el modelo de costo permanecerá inalterado en su costo histórico de adquisición, salvo por eventuales pérdidas por deterioro, con independencia de que su valor de mercado se incremente sustancialmente por encima de ese costo original, y sin posibilidad de reversión de las pérdidas por deterioro reconocidas en ejercicios anteriores, conforme a la prohibición expresa del párrafo 124 de la NIC 36 aplicable específicamente a los activos intangibles.</w:t>
      </w:r>
    </w:p>
    <w:p>
      <w:pPr>
        <w:pStyle w:val="Heading2"/>
        <w:spacing w:after="180" w:before="360"/>
      </w:pPr>
      <w:r>
        <w:rPr>
          <w:rFonts w:ascii="Garamond" w:cs="Garamond" w:eastAsia="Garamond" w:hAnsi="Garamond"/>
          <w:b/>
          <w:bCs/>
          <w:color w:val="10233F"/>
          <w:sz w:val="28"/>
          <w:szCs w:val="28"/>
        </w:rPr>
        <w:t xml:space="preserve">14.7. Medición posterior: el modelo de revaluación y el requisito de mercado activo</w:t>
      </w:r>
    </w:p>
    <w:p>
      <w:pPr>
        <w:spacing w:after="160" w:line="300"/>
        <w:jc w:val="both"/>
      </w:pPr>
      <w:r>
        <w:rPr>
          <w:rFonts w:ascii="Garamond" w:cs="Garamond" w:eastAsia="Garamond" w:hAnsi="Garamond"/>
          <w:sz w:val="24"/>
          <w:szCs w:val="24"/>
        </w:rPr>
        <w:t xml:space="preserve">El párrafo 75 de la NIC 38 habilita, como alternativa al modelo de costo, un modelo de revaluación bajo el cual un activo intangible se contabiliza por su valor razonable en la fecha de revaluación, menos la amortización acumulada posterior y las pérdidas por deterioro del valor acumuladas posteriores, con la condición expresa e ineludible de que ese valor razonable pueda determinarse por referencia a un mercado activo, en los términos definidos por el Apéndice A de la propia norma.</w:t>
      </w:r>
    </w:p>
    <w:p>
      <w:pPr>
        <w:spacing w:after="160" w:line="300"/>
        <w:jc w:val="both"/>
      </w:pPr>
      <w:r>
        <w:rPr>
          <w:rFonts w:ascii="Garamond" w:cs="Garamond" w:eastAsia="Garamond" w:hAnsi="Garamond"/>
          <w:sz w:val="24"/>
          <w:szCs w:val="24"/>
        </w:rPr>
        <w:t xml:space="preserve">Esta condición —la existencia de un mercado activo— constituye, precisamente, el punto de mayor controversia técnica en la aplicación de la NIC 38 a Bitcoin. El párrafo 78 de la norma establece, de manera notablemente restrictiva, que no es habitual que exista un mercado activo para un activo intangible, y ofrece como únicos ejemplos de activos intangibles que podrían negociarse en un mercado activo a las licencias de taxis, las cuotas de pesca y las cuotas de producción, ejemplos redactados con anterioridad a la existencia de Bitcoin y evidentemente no pensados para él, pero cuya lógica subyacente —la de un mercado en el cual los elementos negociados son homogéneos, existen compradores y vendedores dispuestos a transar en todo momento, y los precios están disponibles al público— resulta, según sostiene la posición doctrinaria mayoritaria y según reconoció implícitamente la propia Decisión de Agenda del IFRS Interpretations Committee de 2019 al no descartar expresamente esta posibilidad, aplicable a Bitcoin en la medida en que existan mercados de intercambio (exchanges) con volúmenes de negociación significativos, profundidad de mercado y transparencia de precios suficientes para satisfacer el estándar del Apéndice A de la norma.</w:t>
      </w:r>
    </w:p>
    <w:p>
      <w:pPr>
        <w:spacing w:after="160" w:line="300"/>
        <w:jc w:val="both"/>
      </w:pPr>
      <w:r>
        <w:rPr>
          <w:rFonts w:ascii="Garamond" w:cs="Garamond" w:eastAsia="Garamond" w:hAnsi="Garamond"/>
          <w:sz w:val="24"/>
          <w:szCs w:val="24"/>
        </w:rPr>
        <w:t xml:space="preserve">Cabe precisar, sin embargo, que la determinación concreta de si existe o no un mercado activo para Bitcoin en un momento y una jurisdicción determinados constituye una cuestión de hecho, sujeta al juicio profesional del preparador de los estados contables y a la evaluación del auditor, y no una conclusión normativa general y permanente. La práctica profesional predominante hasta la fecha de esta edición —con la notable excepción de MicroStrategy, que optó por el modelo de costo menos deterioro en sus estados contables preparados bajo US GAAP hasta la vigencia de la actualización normativa FASB de 2025— ha tendido a adoptar el modelo de costo antes que el de revaluación, en parte por la mayor familiaridad y simplicidad operativa de ese modelo, y en parte por la incertidumbre doctrinaria que continúa rodeando a la satisfacción estricta del estándar de mercado activo para un activo de la naturaleza específica de Bitcoin.</w:t>
      </w:r>
    </w:p>
    <w:p>
      <w:pPr>
        <w:spacing w:after="160" w:line="300"/>
        <w:jc w:val="both"/>
      </w:pPr>
      <w:r>
        <w:rPr>
          <w:rFonts w:ascii="Garamond" w:cs="Garamond" w:eastAsia="Garamond" w:hAnsi="Garamond"/>
          <w:sz w:val="24"/>
          <w:szCs w:val="24"/>
        </w:rPr>
        <w:t xml:space="preserve">Cuando el modelo de revaluación resulta aplicable, el párrafo 85 de la NIC 38 establece que el incremento en el valor de libros de un activo intangible como consecuencia de la revaluación debe reconocerse directamente en otro resultado integral, acumulándose en el patrimonio bajo el encabezamiento de superávit de revaluación, y no en el resultado del ejercicio, en consistencia con el análisis del elemento «patrimonio» del Marco Conceptual desarrollado en el Capítulo 11. Una disminución como consecuencia de la revaluación, en cambio, debe reconocerse en el resultado del ejercicio, salvo en la medida en que exista saldo acreedor en el superávit de revaluación relacionado con ese mismo activo, en cuyo caso la disminución se carga contra ese superávit.</w:t>
      </w:r>
    </w:p>
    <w:p>
      <w:pPr>
        <w:pStyle w:val="Heading2"/>
        <w:spacing w:after="180" w:before="360"/>
      </w:pPr>
      <w:r>
        <w:rPr>
          <w:rFonts w:ascii="Garamond" w:cs="Garamond" w:eastAsia="Garamond" w:hAnsi="Garamond"/>
          <w:b/>
          <w:bCs/>
          <w:color w:val="10233F"/>
          <w:sz w:val="28"/>
          <w:szCs w:val="28"/>
        </w:rPr>
        <w:t xml:space="preserve">14.8. Información a revelar exigida por la norma</w:t>
      </w:r>
    </w:p>
    <w:p>
      <w:pPr>
        <w:spacing w:after="160" w:line="300"/>
        <w:jc w:val="both"/>
      </w:pPr>
      <w:r>
        <w:rPr>
          <w:rFonts w:ascii="Garamond" w:cs="Garamond" w:eastAsia="Garamond" w:hAnsi="Garamond"/>
          <w:sz w:val="24"/>
          <w:szCs w:val="24"/>
        </w:rPr>
        <w:t xml:space="preserve">El párrafo 118 de la NIC 38 exige, para cada clase de activos intangibles, la revelación de un conjunto de información que resulta plenamente aplicable a una tenencia de Bitcoin, entre la que se destaca, a los fines específicos de esta obra: si la vida útil es indefinida o finita; el método de amortización utilizado, en su caso; el importe en libros bruto y la amortización acumulada al principio y al final del período; la partida o partidas del estado de resultados en las que se incluye la amortización de los activos intangibles, en su caso; y una conciliación entre los valores en libros al principio y al final del período, mostrando por separado las adiciones, los retiros, las pérdidas por deterioro reconocidas o revertidas, y cualquier otro cambio habido durante el período.</w:t>
      </w:r>
    </w:p>
    <w:p>
      <w:pPr>
        <w:spacing w:after="160" w:line="300"/>
        <w:jc w:val="both"/>
      </w:pPr>
      <w:r>
        <w:rPr>
          <w:rFonts w:ascii="Garamond" w:cs="Garamond" w:eastAsia="Garamond" w:hAnsi="Garamond"/>
          <w:sz w:val="24"/>
          <w:szCs w:val="24"/>
        </w:rPr>
        <w:t xml:space="preserve">A esta información exigida con carácter general por la NIC 38, corresponde añadir, según se desarrollará con el detalle correspondiente en el Capítulo 25 al tratar las notas específicas a los estados contables, un conjunto de revelaciones adicionales que la práctica profesional y ciertos organismos reguladores de valores —entre ellos, de manera notoria, la propia SEC estadounidense mediante guías interpretativas específicas para emisores con tenencias significativas de criptoactivos— han comenzado a exigir o a recomendar, referidas a la naturaleza de la custodia de los activos, los riesgos de concentración y de ciberseguridad asociados, y la metodología específica empleada para la determinación del valor razonable a efectos de las pruebas de deterioro.</w:t>
      </w:r>
    </w:p>
    <w:p>
      <w:pPr>
        <w:pStyle w:val="Heading2"/>
        <w:spacing w:after="180" w:before="360"/>
      </w:pPr>
      <w:r>
        <w:rPr>
          <w:rFonts w:ascii="Garamond" w:cs="Garamond" w:eastAsia="Garamond" w:hAnsi="Garamond"/>
          <w:b/>
          <w:bCs/>
          <w:color w:val="10233F"/>
          <w:sz w:val="28"/>
          <w:szCs w:val="28"/>
        </w:rPr>
        <w:t xml:space="preserve">14.9. Síntesis del capítulo</w:t>
      </w:r>
    </w:p>
    <w:p>
      <w:pPr>
        <w:spacing w:after="160" w:line="300"/>
        <w:jc w:val="both"/>
      </w:pPr>
      <w:r>
        <w:rPr>
          <w:rFonts w:ascii="Garamond" w:cs="Garamond" w:eastAsia="Garamond" w:hAnsi="Garamond"/>
          <w:sz w:val="24"/>
          <w:szCs w:val="24"/>
        </w:rPr>
        <w:t xml:space="preserve">Este capítulo desarrolló, con el detalle exhaustivo que su condición de norma central de esta obra exige, la aplicación de la NIC 38 a Bitcoin: la satisfacción de los tres elementos de la definición de activo intangible (identificabilidad, carácter no monetario y ausencia de apariencia física); la satisfacción de los criterios de reconocimiento (probabilidad de beneficios económicos futuros y medición fiable del costo); la calificación de Bitcoin como activo intangible de vida útil indefinida, no sujeto a amortización pero sí al régimen de deterioro de la NIC 36; y la disyuntiva entre el modelo de costo, de aplicación predominante en la práctica profesional actual, y el modelo de revaluación, condicionado a la existencia de un mercado activo en los términos restrictivos del Apéndice A de la norma. El Capítulo 15 continúa el desarrollo normativo de la Parte III abordando la NIC 2, Inventarios, aplicable en el supuesto específico —y doctrinariamente diferenciado del régimen general desarrollado en este capítulo— de las entidades que mantienen Bitcoin para su venta en el curso ordinario de sus actividades comerciales, tales como los intermediarios y comercializadores (traders) de criptoactivos.</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14</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(2001). NIC 21: Efectos de las variaciones en las tasas de cambio de la moneda extranjera. IFRS Foundation.</w:t>
      </w:r>
    </w:p>
    <w:p>
      <w:pPr>
        <w:spacing w:after="160"/>
        <w:ind w:left="480" w:hanging="480"/>
        <w:jc w:val="both"/>
      </w:pPr>
      <w:r>
        <w:rPr>
          <w:rFonts w:ascii="Garamond" w:cs="Garamond" w:eastAsia="Garamond" w:hAnsi="Garamond"/>
          <w:sz w:val="22"/>
          <w:szCs w:val="22"/>
        </w:rPr>
        <w:t xml:space="preserve">International Accounting Standards Board. (2001). NIC 36: Deterioro del valor de los activos.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MicroStrategy Incorporated. (2024). Annual Report on Form 10-K for the fiscal year ended December 31, 2023. U.S. Securities and Exchange Commission.</w:t>
      </w:r>
    </w:p>
    <w:p>
      <w:pPr>
        <w:spacing w:after="160"/>
        <w:ind w:left="480" w:hanging="480"/>
        <w:jc w:val="both"/>
      </w:pPr>
      <w:r>
        <w:rPr>
          <w:rFonts w:ascii="Garamond" w:cs="Garamond" w:eastAsia="Garamond" w:hAnsi="Garamond"/>
          <w:sz w:val="22"/>
          <w:szCs w:val="22"/>
        </w:rPr>
        <w:t xml:space="preserve">U.S. Securities and Exchange Commission, Division of Corporation Finance. (2022). CF Disclosure Guidance: Topic No. 8, Crypto Asset Disclosure.</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15</w:t>
      </w:r>
    </w:p>
    <w:p>
      <w:pPr>
        <w:spacing w:after="400"/>
      </w:pPr>
      <w:r>
        <w:rPr>
          <w:rFonts w:ascii="Garamond" w:cs="Garamond" w:eastAsia="Garamond" w:hAnsi="Garamond"/>
          <w:b/>
          <w:bCs/>
          <w:color w:val="9C7A2E"/>
          <w:sz w:val="40"/>
          <w:szCs w:val="40"/>
        </w:rPr>
        <w:t xml:space="preserve">NIC 2 – Inventarios aplicada a Bitcoin</w:t>
      </w:r>
    </w:p>
    <w:p>
      <w:pPr>
        <w:pStyle w:val="Heading2"/>
        <w:spacing w:after="180" w:before="360"/>
      </w:pPr>
      <w:r>
        <w:rPr>
          <w:rFonts w:ascii="Garamond" w:cs="Garamond" w:eastAsia="Garamond" w:hAnsi="Garamond"/>
          <w:b/>
          <w:bCs/>
          <w:color w:val="10233F"/>
          <w:sz w:val="28"/>
          <w:szCs w:val="28"/>
        </w:rPr>
        <w:t xml:space="preserve">15.1. Introducción: el supuesto específico de la NIC 2</w:t>
      </w:r>
    </w:p>
    <w:p>
      <w:pPr>
        <w:spacing w:after="160" w:line="300"/>
        <w:jc w:val="both"/>
      </w:pPr>
      <w:r>
        <w:rPr>
          <w:rFonts w:ascii="Garamond" w:cs="Garamond" w:eastAsia="Garamond" w:hAnsi="Garamond"/>
          <w:sz w:val="24"/>
          <w:szCs w:val="24"/>
        </w:rPr>
        <w:t xml:space="preserve">El Capítulo 14 desarrolló la NIC 38 como norma de aplicación general al tratamiento contable de Bitcoin, correspondiente al supuesto de una entidad que mantiene Bitcoin como reserva de valor, como medio de inversión, o para cualquier otra finalidad distinta de su comercialización habitual en el curso ordinario de las actividades de la entidad. Este capítulo desarrolla el supuesto específico, doctrinariamente diferenciado, en el cual una entidad mantiene Bitcoin con el propósito específico de venderlo en el curso ordinario de sus actividades comerciales, supuesto en el cual, como se adelantó en el cierre del Capítulo 14, corresponde la aplicación de la NIC 2, Inventarios, en lugar de la NIC 38.</w:t>
      </w:r>
    </w:p>
    <w:p>
      <w:pPr>
        <w:spacing w:after="160" w:line="300"/>
        <w:jc w:val="both"/>
      </w:pPr>
      <w:r>
        <w:rPr>
          <w:rFonts w:ascii="Garamond" w:cs="Garamond" w:eastAsia="Garamond" w:hAnsi="Garamond"/>
          <w:sz w:val="24"/>
          <w:szCs w:val="24"/>
        </w:rPr>
        <w:t xml:space="preserve">La propia Decisión de Agenda del IFRS Interpretations Committee de 2019, que se analizará con el detalle correspondiente en el Capítulo 21, identifica expresamente este supuesto como la única excepción al encuadre general de las criptomonedas como activos intangibles bajo NIC 38, estableciendo que una entidad debe aplicar la NIC 2 a las tenencias de criptomonedas cuando estas se mantienen para su venta en el curso ordinario del negocio, criterio que este capítulo desarrolla con el detalle normativo pormenorizado que la relevancia práctica de este supuesto —aplicable, como se verá, a un segmento significativo y creciente de la industria de criptoactivos— exige.</w:t>
      </w:r>
    </w:p>
    <w:p>
      <w:pPr>
        <w:pStyle w:val="Heading2"/>
        <w:spacing w:after="180" w:before="360"/>
      </w:pPr>
      <w:r>
        <w:rPr>
          <w:rFonts w:ascii="Garamond" w:cs="Garamond" w:eastAsia="Garamond" w:hAnsi="Garamond"/>
          <w:b/>
          <w:bCs/>
          <w:color w:val="10233F"/>
          <w:sz w:val="28"/>
          <w:szCs w:val="28"/>
        </w:rPr>
        <w:t xml:space="preserve">15.2. El alcance de la NIC 2 y el criterio de propósito de tenencia</w:t>
      </w:r>
    </w:p>
    <w:p>
      <w:pPr>
        <w:spacing w:after="160" w:line="300"/>
        <w:jc w:val="both"/>
      </w:pPr>
      <w:r>
        <w:rPr>
          <w:rFonts w:ascii="Garamond" w:cs="Garamond" w:eastAsia="Garamond" w:hAnsi="Garamond"/>
          <w:sz w:val="24"/>
          <w:szCs w:val="24"/>
        </w:rPr>
        <w:t xml:space="preserve">El párrafo 6 de la NIC 2 define a las existencias (inventarios) como activos poseídos para ser vendidos en el curso normal de la operación; en proceso de producción con vistas a esa venta; o en forma de materiales o suministros, para ser consumidos en el proceso de producción o en la prestación de servicios. De estas tres categorías, la primera —activos poseídos para ser vendidos en el curso normal de la operación— es la relevante para Bitcoin, en tanto activo que no atraviesa, a diferencia de una materia prima industrial, un proceso de transformación productiva previo a su venta.</w:t>
      </w:r>
    </w:p>
    <w:p>
      <w:pPr>
        <w:spacing w:after="160" w:line="300"/>
        <w:jc w:val="both"/>
      </w:pPr>
      <w:r>
        <w:rPr>
          <w:rFonts w:ascii="Garamond" w:cs="Garamond" w:eastAsia="Garamond" w:hAnsi="Garamond"/>
          <w:sz w:val="24"/>
          <w:szCs w:val="24"/>
        </w:rPr>
        <w:t xml:space="preserve">El criterio determinante para la aplicación de la NIC 2, en consecuencia, no es la naturaleza intrínseca del activo —que, como se estableció en el Capítulo 14, satisface plenamente la definición de activo intangible bajo NIC 38—, sino el propósito específico y el modelo de negocio con el cual la entidad mantiene ese activo. Esta lógica de clasificación basada en el propósito de tenencia, y no en la naturaleza física o jurídica del bien, resulta familiar para el contador a partir de su aplicación consolidada a otros activos: un mismo inmueble puede clasificarse, según el propósito de su tenencia, como bien de uso (NIC 16), como propiedad de inversión (NIC 40) o como existencia (NIC 2, en el caso de una empresa constructora que lo mantiene para su venta), sin que la naturaleza física del inmueble varíe en absoluto entre esos tres supuestos.</w:t>
      </w:r>
    </w:p>
    <w:p>
      <w:pPr>
        <w:pStyle w:val="Heading2"/>
        <w:spacing w:after="180" w:before="360"/>
      </w:pPr>
      <w:r>
        <w:rPr>
          <w:rFonts w:ascii="Garamond" w:cs="Garamond" w:eastAsia="Garamond" w:hAnsi="Garamond"/>
          <w:b/>
          <w:bCs/>
          <w:color w:val="10233F"/>
          <w:sz w:val="28"/>
          <w:szCs w:val="28"/>
        </w:rPr>
        <w:t xml:space="preserve">15.3. Sujetos alcanzados: intermediarios y comercializadores (traders) de Bitcoin</w:t>
      </w:r>
    </w:p>
    <w:p>
      <w:pPr>
        <w:spacing w:after="160" w:line="300"/>
        <w:jc w:val="both"/>
      </w:pPr>
      <w:r>
        <w:rPr>
          <w:rFonts w:ascii="Garamond" w:cs="Garamond" w:eastAsia="Garamond" w:hAnsi="Garamond"/>
          <w:sz w:val="24"/>
          <w:szCs w:val="24"/>
        </w:rPr>
        <w:t xml:space="preserve">El supuesto de aplicación práctica más claro y frecuente de la NIC 2 a Bitcoin corresponde a las entidades cuya actividad ordinaria consiste, precisamente, en la compraventa de Bitcoin con ánimo de lucro a partir del margen entre el precio de compra y el precio de venta —los denominados comercializadores o traders de criptoactivos, categoría que incluye tanto a mesas de negociación (trading desks) especializadas cuanto, en determinadas configuraciones operativas, a los propios exchanges de criptoactivos en relación con el inventario de Bitcoin que mantienen disponible para facilitar la liquidez de sus operaciones de intermediación—.</w:t>
      </w:r>
    </w:p>
    <w:p>
      <w:pPr>
        <w:spacing w:after="160" w:line="300"/>
        <w:jc w:val="both"/>
      </w:pPr>
      <w:r>
        <w:rPr>
          <w:rFonts w:ascii="Garamond" w:cs="Garamond" w:eastAsia="Garamond" w:hAnsi="Garamond"/>
          <w:sz w:val="24"/>
          <w:szCs w:val="24"/>
        </w:rPr>
        <w:t xml:space="preserve">Para estas entidades, la calificación de Bitcoin como existencia bajo NIC 2, en lugar de como activo intangible bajo NIC 38, no constituye una mera cuestión de exposición formal en el estado de situación patrimonial, sino que conlleva una consecuencia de medición sustantivamente distinta y, en cierto sentido, más favorable a la relevancia informativa que el modelo de costo de la NIC 38 desarrollado en el Capítulo 14: el párrafo 3(b) de la propia NIC 2 excluye expresamente de su alcance general de medición —el menor entre el costo y el valor neto realizable, que se desarrollará en la sección siguiente— a los inventarios mantenidos por comercializadores (brokers-traders) de materias primas cotizadas, permitiendo a estos últimos medir sus inventarios a valor razonable menos los costos de venta, con los cambios en ese valor razonable reconocidos en el resultado del ejercicio en el momento en que se producen.</w:t>
      </w:r>
    </w:p>
    <w:p>
      <w:pPr>
        <w:spacing w:after="160" w:line="300"/>
        <w:jc w:val="both"/>
      </w:pPr>
      <w:r>
        <w:rPr>
          <w:rFonts w:ascii="Garamond" w:cs="Garamond" w:eastAsia="Garamond" w:hAnsi="Garamond"/>
          <w:sz w:val="24"/>
          <w:szCs w:val="24"/>
        </w:rPr>
        <w:t xml:space="preserve">La aplicación de esta excepción específica del párrafo 3(b) a los comercializadores de Bitcoin ha sido objeto de análisis doctrinario favorable, en la medida en que Bitcoin comparte con las materias primas cotizadas tradicionales —metales, granos, energía— los atributos que justifican esta excepción: la existencia de mercados activos con cotizaciones públicas, la fungibilidad de las unidades transadas, y un modelo de negocio en el que la entidad genera efectivo mediante la compra y venta a partir de las fluctuaciones de precio o del margen de intermediación, antes que mediante la manufactura o la transformación del bien. La satisfacción de esta excepción por parte de un comercializador de Bitcoin permite, en consecuencia, alcanzar en la práctica un resultado de medición sustancialmente equivalente al valor razonable con cambios en resultados que, como se desarrolló en el Capítulo 13, la doctrina crítica reclama para el tratamiento general de Bitcoin bajo NIC 38, aunque circunscripto específicamente a este supuesto acotado de comercializadores.</w:t>
      </w:r>
    </w:p>
    <w:p>
      <w:pPr>
        <w:pStyle w:val="Heading2"/>
        <w:spacing w:after="180" w:before="360"/>
      </w:pPr>
      <w:r>
        <w:rPr>
          <w:rFonts w:ascii="Garamond" w:cs="Garamond" w:eastAsia="Garamond" w:hAnsi="Garamond"/>
          <w:b/>
          <w:bCs/>
          <w:color w:val="10233F"/>
          <w:sz w:val="28"/>
          <w:szCs w:val="28"/>
        </w:rPr>
        <w:t xml:space="preserve">15.4. Medición general bajo NIC 2: el menor entre el costo y el valor neto realizable</w:t>
      </w:r>
    </w:p>
    <w:p>
      <w:pPr>
        <w:spacing w:after="160" w:line="300"/>
        <w:jc w:val="both"/>
      </w:pPr>
      <w:r>
        <w:rPr>
          <w:rFonts w:ascii="Garamond" w:cs="Garamond" w:eastAsia="Garamond" w:hAnsi="Garamond"/>
          <w:sz w:val="24"/>
          <w:szCs w:val="24"/>
        </w:rPr>
        <w:t xml:space="preserve">Para las entidades que, manteniendo Bitcoin para su venta en el curso ordinario del negocio, no satisfacen la excepción específica de comercializadores de materias primas cotizadas desarrollada en la sección anterior —supuesto que podría presentarse, por ejemplo, en una entidad que acepta Bitcoin como medio de pago por sus productos y lo mantiene transitoriamente antes de proceder a su conversión a moneda fiduciaria, sin que su actividad ordinaria consista específicamente en la intermediación de criptoactivos—, resulta aplicable el criterio general de medición de la NIC 2: el menor valor entre el costo y el valor neto realizable, definido este último por el párrafo 6 de la norma como el precio estimado de venta en el curso normal de la operación, menos los costos estimados para terminar su producción y los necesarios para llevar a cabo la venta.</w:t>
      </w:r>
    </w:p>
    <w:p>
      <w:pPr>
        <w:spacing w:after="160" w:line="300"/>
        <w:jc w:val="both"/>
      </w:pPr>
      <w:r>
        <w:rPr>
          <w:rFonts w:ascii="Garamond" w:cs="Garamond" w:eastAsia="Garamond" w:hAnsi="Garamond"/>
          <w:sz w:val="24"/>
          <w:szCs w:val="24"/>
        </w:rPr>
        <w:t xml:space="preserve">Este criterio general —que, a diferencia de la excepción de comercializadores desarrollada en la sección anterior, no permite el reconocimiento de incrementos de valor por encima del costo, sino únicamente el reconocimiento de disminuciones de valor por debajo de él— genera, en su aplicación a Bitcoin, una asimetría de reconocimiento conceptualmente análoga a la desarrollada en el Capítulo 13 al tratar el modelo de costo de la NIC 38, aunque circunscripta, en este caso, a las existencias de Bitcoin que no satisfacen la excepción de comercializadores de materias primas cotizadas.</w:t>
      </w:r>
    </w:p>
    <w:p>
      <w:pPr>
        <w:pStyle w:val="Heading2"/>
        <w:spacing w:after="180" w:before="360"/>
      </w:pPr>
      <w:r>
        <w:rPr>
          <w:rFonts w:ascii="Garamond" w:cs="Garamond" w:eastAsia="Garamond" w:hAnsi="Garamond"/>
          <w:b/>
          <w:bCs/>
          <w:color w:val="10233F"/>
          <w:sz w:val="28"/>
          <w:szCs w:val="28"/>
        </w:rPr>
        <w:t xml:space="preserve">15.5. Bitcoins obtenidos como recompensa de minería: NIC 2 o NIC 38 según el modelo de negocio</w:t>
      </w:r>
    </w:p>
    <w:p>
      <w:pPr>
        <w:spacing w:after="160" w:line="300"/>
        <w:jc w:val="both"/>
      </w:pPr>
      <w:r>
        <w:rPr>
          <w:rFonts w:ascii="Garamond" w:cs="Garamond" w:eastAsia="Garamond" w:hAnsi="Garamond"/>
          <w:sz w:val="24"/>
          <w:szCs w:val="24"/>
        </w:rPr>
        <w:t xml:space="preserve">El Capítulo 12 de esta obra dejó pendiente, para su desarrollo en este capítulo, una precisión relevante sobre el tratamiento contable de los bitcoins obtenidos como recompensa de minería: la calificación de esos bitcoins como existencias bajo NIC 2 o como activos intangibles bajo NIC 38 depende, nuevamente, del modelo de negocio y del propósito de tenencia de la entidad minera. Una entidad minera cuyo modelo de negocio consiste en la venta inmediata o de corto plazo de los bitcoins obtenidos como recompensa, con el propósito de financiar sus costos operativos de minería —electricidad, mantenimiento de hardware— y de generar un margen de rentabilidad a partir de esa actividad, satisface, en principio, el criterio de existencias del párrafo 6 de la NIC 2, y podría, adicionalmente, satisfacer la excepción de comercializadores de materias primas cotizadas desarrollada en la sección 15.3, en la medida en que la propia naturaleza de la actividad de minería —la generación de un activo cotizado en mercados activos, con un modelo de negocio orientado a monetizarlo antes que a mantenerlo como reserva de valor— resulta consistente con esa excepción.</w:t>
      </w:r>
    </w:p>
    <w:p>
      <w:pPr>
        <w:spacing w:after="160" w:line="300"/>
        <w:jc w:val="both"/>
      </w:pPr>
      <w:r>
        <w:rPr>
          <w:rFonts w:ascii="Garamond" w:cs="Garamond" w:eastAsia="Garamond" w:hAnsi="Garamond"/>
          <w:sz w:val="24"/>
          <w:szCs w:val="24"/>
        </w:rPr>
        <w:t xml:space="preserve">Una entidad minera cuyo modelo de negocio, en cambio, consiste en la acumulación y retención de los bitcoins obtenidos como recompensa, a modo de estrategia de reserva de tesorería de largo plazo análoga a la adoptada por MicroStrategy según se describió en el Capítulo 2 —práctica conocida en la industria de la minería como estrategia de «HODL» (una deformación coloquial, ya lexicalizada en el argot del sector, del término inglés «hold», sostener)—, debería, en cambio, clasificar esa porción retenida de su producción como activo intangible bajo NIC 38, con el tratamiento desarrollado en profundidad en el Capítulo 14, reservando el tratamiento bajo NIC 2 exclusivamente para la porción de su producción que efectivamente se destina a la venta de corto plazo para el financiamiento de sus costos operativos corrientes.</w:t>
      </w:r>
    </w:p>
    <w:p>
      <w:pPr>
        <w:pStyle w:val="Heading2"/>
        <w:spacing w:after="180" w:before="360"/>
      </w:pPr>
      <w:r>
        <w:rPr>
          <w:rFonts w:ascii="Garamond" w:cs="Garamond" w:eastAsia="Garamond" w:hAnsi="Garamond"/>
          <w:b/>
          <w:bCs/>
          <w:color w:val="10233F"/>
          <w:sz w:val="28"/>
          <w:szCs w:val="28"/>
        </w:rPr>
        <w:t xml:space="preserve">15.6. Síntesis del capítulo</w:t>
      </w:r>
    </w:p>
    <w:p>
      <w:pPr>
        <w:spacing w:after="160" w:line="300"/>
        <w:jc w:val="both"/>
      </w:pPr>
      <w:r>
        <w:rPr>
          <w:rFonts w:ascii="Garamond" w:cs="Garamond" w:eastAsia="Garamond" w:hAnsi="Garamond"/>
          <w:sz w:val="24"/>
          <w:szCs w:val="24"/>
        </w:rPr>
        <w:t xml:space="preserve">Este capítulo desarrolló la aplicación de la NIC 2 a Bitcoin, como excepción específica al encuadre general bajo NIC 38 desarrollado en el Capítulo 14, aplicable cuando una entidad mantiene Bitcoin para su venta en el curso ordinario de sus actividades comerciales. Se identificó a los comercializadores (traders) de Bitcoin como el sujeto de aplicación más frecuente de esta norma, y se desarrolló la excepción específica del párrafo 3(b) de la NIC 2 para comercializadores de materias primas cotizadas, que permite la medición a valor razonable con cambios en resultados, en contraste con el criterio general del menor entre el costo y el valor neto realizable. Se analizó, asimismo, cómo el modelo de negocio de una entidad minera —venta inmediata para financiamiento operativo, o retención de largo plazo como reserva de tesorería— determina si los bitcoins obtenidos como recompensa de minería se clasifican bajo NIC 2 o bajo NIC 38, respectivamente. El Capítulo 16 continúa el desarrollo normativo de la Parte III abordando la NIC 36, Deterioro del Valor de los Activos, cuya aplicación resulta indispensable para completar el régimen de medición posterior de Bitcoin bajo el modelo de costo de la NIC 38 desarrollado en el capítulo anterior.</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15</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(2000). NIC 40: Propiedades de inversión.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(2003). NIC 2: Inventarios.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16</w:t>
      </w:r>
    </w:p>
    <w:p>
      <w:pPr>
        <w:spacing w:after="400"/>
      </w:pPr>
      <w:r>
        <w:rPr>
          <w:rFonts w:ascii="Garamond" w:cs="Garamond" w:eastAsia="Garamond" w:hAnsi="Garamond"/>
          <w:b/>
          <w:bCs/>
          <w:color w:val="9C7A2E"/>
          <w:sz w:val="40"/>
          <w:szCs w:val="40"/>
        </w:rPr>
        <w:t xml:space="preserve">NIC 36 – Deterioro del valor de los activos</w:t>
      </w:r>
    </w:p>
    <w:p>
      <w:pPr>
        <w:pStyle w:val="Heading2"/>
        <w:spacing w:after="180" w:before="360"/>
      </w:pPr>
      <w:r>
        <w:rPr>
          <w:rFonts w:ascii="Garamond" w:cs="Garamond" w:eastAsia="Garamond" w:hAnsi="Garamond"/>
          <w:b/>
          <w:bCs/>
          <w:color w:val="10233F"/>
          <w:sz w:val="28"/>
          <w:szCs w:val="28"/>
        </w:rPr>
        <w:t xml:space="preserve">16.1. Introducción: el complemento indispensable del modelo de costo</w:t>
      </w:r>
    </w:p>
    <w:p>
      <w:pPr>
        <w:spacing w:after="160" w:line="300"/>
        <w:jc w:val="both"/>
      </w:pPr>
      <w:r>
        <w:rPr>
          <w:rFonts w:ascii="Garamond" w:cs="Garamond" w:eastAsia="Garamond" w:hAnsi="Garamond"/>
          <w:sz w:val="24"/>
          <w:szCs w:val="24"/>
        </w:rPr>
        <w:t xml:space="preserve">El Capítulo 14 estableció que Bitcoin, calificado como activo intangible de vida útil indefinida bajo NIC 38, no está sujeto a amortización sistemática, pero sí al régimen de deterioro del valor regulado por la Norma Internacional de Contabilidad (NIC) 36. Este capítulo desarrolla ese régimen con el detalle necesario para completar, de manera integral, el tratamiento contable de Bitcoin bajo el modelo de costo que —según se estableció en el Capítulo 14— constituye el criterio de medición posterior de aplicación predominante en la práctica profesional actual.</w:t>
      </w:r>
    </w:p>
    <w:p>
      <w:pPr>
        <w:spacing w:after="160" w:line="300"/>
        <w:jc w:val="both"/>
      </w:pPr>
      <w:r>
        <w:rPr>
          <w:rFonts w:ascii="Garamond" w:cs="Garamond" w:eastAsia="Garamond" w:hAnsi="Garamond"/>
          <w:sz w:val="24"/>
          <w:szCs w:val="24"/>
        </w:rPr>
        <w:t xml:space="preserve">La relevancia práctica de este capítulo no puede sobreestimarse: dado que, como se desarrolló en el Capítulo 13, el modelo de costo no permite el reconocimiento de incrementos de valor por encima del costo histórico, el régimen de deterioro de la NIC 36 constituye, en la práctica, el único mecanismo mediante el cual el valor de libros de una tenencia de Bitcoin puede modificarse con posterioridad a su reconocimiento inicial bajo ese modelo —y, dada la asimetría ya analizada, únicamente a la baja—, lo cual convierte a este capítulo en una pieza normativa de aplicación recurrente y de particular sensibilidad para los estados contables de cualquier entidad que mantenga Bitcoin bajo el modelo de costo.</w:t>
      </w:r>
    </w:p>
    <w:p>
      <w:pPr>
        <w:pStyle w:val="Heading2"/>
        <w:spacing w:after="180" w:before="360"/>
      </w:pPr>
      <w:r>
        <w:rPr>
          <w:rFonts w:ascii="Garamond" w:cs="Garamond" w:eastAsia="Garamond" w:hAnsi="Garamond"/>
          <w:b/>
          <w:bCs/>
          <w:color w:val="10233F"/>
          <w:sz w:val="28"/>
          <w:szCs w:val="28"/>
        </w:rPr>
        <w:t xml:space="preserve">16.2. El objetivo de la norma y el concepto de importe recuperable</w:t>
      </w:r>
    </w:p>
    <w:p>
      <w:pPr>
        <w:spacing w:after="160" w:line="300"/>
        <w:jc w:val="both"/>
      </w:pPr>
      <w:r>
        <w:rPr>
          <w:rFonts w:ascii="Garamond" w:cs="Garamond" w:eastAsia="Garamond" w:hAnsi="Garamond"/>
          <w:sz w:val="24"/>
          <w:szCs w:val="24"/>
        </w:rPr>
        <w:t xml:space="preserve">El párrafo 1 de la NIC 36 establece que el objetivo de la norma es asegurar que los activos se contabilicen por un importe que no sea superior a su importe recuperable, definiendo a este último, en su párrafo 6, como el mayor entre el valor razonable de un activo menos los costos de venta, y su valor en uso. Cuando el importe en libros de un activo excede a su importe recuperable, la norma exige el reconocimiento de una pérdida por deterioro del valor por la diferencia.</w:t>
      </w:r>
    </w:p>
    <w:p>
      <w:pPr>
        <w:spacing w:after="160" w:line="300"/>
        <w:jc w:val="both"/>
      </w:pPr>
      <w:r>
        <w:rPr>
          <w:rFonts w:ascii="Garamond" w:cs="Garamond" w:eastAsia="Garamond" w:hAnsi="Garamond"/>
          <w:sz w:val="24"/>
          <w:szCs w:val="24"/>
        </w:rPr>
        <w:t xml:space="preserve">La aplicación de este concepto a Bitcoin exige analizar sus dos componentes por separado. El valor razonable menos los costos de venta, en el caso de Bitcoin, puede determinarse con un grado de objetividad y de verificabilidad excepcionalmente alto en comparación con la generalidad de los activos intangibles, precisamente en virtud de la existencia de los mercados activos y de las cotizaciones públicas descritas en el Capítulo 14, con los costos de venta limitados, en la práctica, a las comisiones de transacción de los exchanges y a las eventuales comisiones de red (fees) descritas en el Capítulo 3. El valor en uso, por su parte, definido por el párrafo 6 de la norma como el valor presente de los flujos de efectivo futuros que se espera obtener de un activo, plantea, en cambio, una dificultad conceptual específica para Bitcoin: al no generar flujos de efectivo contractuales periódicos —a diferencia de un activo productivo tradicional—, el valor en uso de una tenencia de Bitcoin coincide, en la práctica generalizada, con el importe que se obtendría de su venta inmediata, lo cual determina que, en la generalidad de los casos, el importe recuperable de Bitcoin se determine, en la práctica, por referencia directa a su valor razonable menos los costos de venta, sin necesidad de desarrollar una proyección de flujos de efectivo descontados que resultaría, en este caso, artificiosa.</w:t>
      </w:r>
    </w:p>
    <w:p>
      <w:pPr>
        <w:pStyle w:val="Heading2"/>
        <w:spacing w:after="180" w:before="360"/>
      </w:pPr>
      <w:r>
        <w:rPr>
          <w:rFonts w:ascii="Garamond" w:cs="Garamond" w:eastAsia="Garamond" w:hAnsi="Garamond"/>
          <w:b/>
          <w:bCs/>
          <w:color w:val="10233F"/>
          <w:sz w:val="28"/>
          <w:szCs w:val="28"/>
        </w:rPr>
        <w:t xml:space="preserve">16.3. Indicios de deterioro y frecuencia de la evaluación</w:t>
      </w:r>
    </w:p>
    <w:p>
      <w:pPr>
        <w:spacing w:after="160" w:line="300"/>
        <w:jc w:val="both"/>
      </w:pPr>
      <w:r>
        <w:rPr>
          <w:rFonts w:ascii="Garamond" w:cs="Garamond" w:eastAsia="Garamond" w:hAnsi="Garamond"/>
          <w:sz w:val="24"/>
          <w:szCs w:val="24"/>
        </w:rPr>
        <w:t xml:space="preserve">El párrafo 9 de la NIC 36 exige que una entidad evalúe, al final de cada período sobre el que se informa, si existen indicios de deterioro del valor de sus activos, procediendo a estimar el importe recuperable únicamente si tales indicios existen. Sin embargo, el párrafo 10 de la propia norma establece una excepción relevante para los activos intangibles de vida útil indefinida —categoría en la que, como se estableció en el Capítulo 14, se encuadra Bitcoin—: para estos activos, la entidad debe comprobar el deterioro del valor mediante la comparación de su importe en libros con su importe recuperable, al menos anualmente, con independencia de que existan o no indicios de deterioro, exigencia que se suma, y no sustituye, a la obligación general de evaluar indicios de deterioro en cada fecha de cierre intermedia.</w:t>
      </w:r>
    </w:p>
    <w:p>
      <w:pPr>
        <w:spacing w:after="160" w:line="300"/>
        <w:jc w:val="both"/>
      </w:pPr>
      <w:r>
        <w:rPr>
          <w:rFonts w:ascii="Garamond" w:cs="Garamond" w:eastAsia="Garamond" w:hAnsi="Garamond"/>
          <w:sz w:val="24"/>
          <w:szCs w:val="24"/>
        </w:rPr>
        <w:t xml:space="preserve">Dada la volatilidad de precio característica de Bitcoin, documentada extensamente a lo largo de esta obra, resulta prácticamente inevitable que, en la generalidad de los períodos sobre los que se informa, exista al menos un indicio de deterioro en algún momento del ejercicio —típicamente, una caída significativa en la cotización de mercado de Bitcoin por debajo del costo histórico de adquisición—, lo cual determina que, en la práctica profesional, las entidades que mantienen tenencias significativas de Bitcoin bajo el modelo de costo deban evaluar el deterioro con una frecuencia sustancialmente mayor a la anual mínima exigida por la norma, típicamente en cada fecha de cierre de estados contables intermedios (trimestrales o mensuales, según el régimen de información aplicable a la entidad).</w:t>
      </w:r>
    </w:p>
    <w:p>
      <w:pPr>
        <w:spacing w:after="160" w:line="300"/>
        <w:jc w:val="both"/>
      </w:pPr>
      <w:r>
        <w:rPr>
          <w:rFonts w:ascii="Garamond" w:cs="Garamond" w:eastAsia="Garamond" w:hAnsi="Garamond"/>
          <w:sz w:val="24"/>
          <w:szCs w:val="24"/>
        </w:rPr>
        <w:t xml:space="preserve">Esta exigencia práctica de evaluación frecuente del deterioro constituye, precisamente, uno de los argumentos operativos —adicionales a los argumentos conceptuales desarrollados en el Capítulo 13— que la doctrina crítica invoca en favor de la adopción de un modelo de valor razonable con cambios en resultados para Bitcoin: bajo ese modelo alternativo, la medición periódica a valor razonable haría innecesaria la evaluación separada de indicios de deterioro, en la medida en que cualquier disminución de valor quedaría automáticamente capturada por la propia remedición periódica del activo.</w:t>
      </w:r>
    </w:p>
    <w:p>
      <w:pPr>
        <w:pStyle w:val="Heading2"/>
        <w:spacing w:after="180" w:before="360"/>
      </w:pPr>
      <w:r>
        <w:rPr>
          <w:rFonts w:ascii="Garamond" w:cs="Garamond" w:eastAsia="Garamond" w:hAnsi="Garamond"/>
          <w:b/>
          <w:bCs/>
          <w:color w:val="10233F"/>
          <w:sz w:val="28"/>
          <w:szCs w:val="28"/>
        </w:rPr>
        <w:t xml:space="preserve">16.4. Reconocimiento y reversión de la pérdida por deterioro</w:t>
      </w:r>
    </w:p>
    <w:p>
      <w:pPr>
        <w:spacing w:after="160" w:line="300"/>
        <w:jc w:val="both"/>
      </w:pPr>
      <w:r>
        <w:rPr>
          <w:rFonts w:ascii="Garamond" w:cs="Garamond" w:eastAsia="Garamond" w:hAnsi="Garamond"/>
          <w:sz w:val="24"/>
          <w:szCs w:val="24"/>
        </w:rPr>
        <w:t xml:space="preserve">El párrafo 60 de la NIC 36 exige que la pérdida por deterioro del valor se reconozca de manera inmediata en el resultado del ejercicio, salvo que el activo se contabilice por su valor revaluado de acuerdo con otra norma —supuesto, ya desarrollado en el Capítulo 14, del modelo de revaluación de la NIC 38—, en cuyo caso la pérdida por deterioro se trata como una disminución de la revaluación, con cargo, en primer término, contra el superávit de revaluación acumulado en el patrimonio, y solo por el excedente, contra el resultado del ejercicio.</w:t>
      </w:r>
    </w:p>
    <w:p>
      <w:pPr>
        <w:spacing w:after="160" w:line="300"/>
        <w:jc w:val="both"/>
      </w:pPr>
      <w:r>
        <w:rPr>
          <w:rFonts w:ascii="Garamond" w:cs="Garamond" w:eastAsia="Garamond" w:hAnsi="Garamond"/>
          <w:sz w:val="24"/>
          <w:szCs w:val="24"/>
        </w:rPr>
        <w:t xml:space="preserve">La cuestión de mayor relevancia práctica y de mayor impacto doctrinario en este ámbito —ya anticipada en el Capítulo 13 y que corresponde ahora desarrollar con el fundamento normativo específico— es la prohibición expresa que el párrafo 124 de la NIC 36 establece respecto de la reversión de las pérdidas por deterioro reconocidas sobre el fondo de comercio (llave de negocio), prohibición que, aunque formalmente circunscripta al fondo de comercio, se extiende en sus efectos prácticos a los activos intangibles de vida útil indefinida como Bitcoin en virtud de una interpretación consolidada de la norma, según la cual, si bien el párrafo 114 de la NIC 36 sí admite, con carácter general, la reversión de pérdidas por deterioro reconocidas en ejercicios anteriores sobre activos distintos del fondo de comercio, cuando existan indicios de que la pérdida ya no existe o ha disminuido, la aplicación práctica de esta posibilidad a Bitcoin bajo el modelo de costo de la NIC 38 se encuentra limitada por una restricción adicional y determinante: el párrafo 117 de la NIC 36 establece que el importe en libros incrementado de un activo, atribuible a la reversión de una pérdida por deterioro, no puede exceder al importe en libros que se habría determinado, neto de amortización, si no se hubiese reconocido la pérdida por deterioro del valor para dicho activo en años anteriores.</w:t>
      </w:r>
    </w:p>
    <w:p>
      <w:pPr>
        <w:spacing w:after="160" w:line="300"/>
        <w:jc w:val="both"/>
      </w:pPr>
      <w:r>
        <w:rPr>
          <w:rFonts w:ascii="Garamond" w:cs="Garamond" w:eastAsia="Garamond" w:hAnsi="Garamond"/>
          <w:sz w:val="24"/>
          <w:szCs w:val="24"/>
        </w:rPr>
        <w:t xml:space="preserve">Dado que, como se estableció en el Capítulo 14, Bitcoin no está sujeto a amortización por tratarse de un activo intangible de vida útil indefinida, el «importe en libros que se habría determinado, neto de amortización, si no se hubiese reconocido la pérdida» coincide, en la práctica, con el costo histórico original de adquisición: en consecuencia, la reversión de una pérdida por deterioro previamente reconocida sobre una tenencia de Bitcoin sí resulta técnicamente admisible bajo la NIC 36, pero exclusivamente hasta el límite del costo histórico original, sin que pueda, en ningún caso, reconocerse un valor de libros superior a ese costo histórico como consecuencia de la reversión, aun cuando el valor razonable de mercado de Bitcoin a la fecha de la reversión exceda significativamente ese costo histórico. Esta precisión normativa —que la práctica profesional y cierta literatura de divulgación tienden a simplificar de manera imprecisa como una prohibición absoluta de reversión— resulta de particular relevancia práctica y merece ser destacada con el rigor técnico correspondiente en esta obra: la NIC 36 sí admite la reversión de deterioro sobre Bitcoin, pero acotada estrictamente al costo histórico, replicando en los hechos, aunque por una vía normativa distinta, la misma asimetría fundamental de no reconocimiento de plusvalías por encima del costo que caracteriza al modelo de costo de la NIC 38 desarrollado en el Capítulo 14.</w:t>
      </w:r>
    </w:p>
    <w:p>
      <w:pPr>
        <w:pStyle w:val="Heading2"/>
        <w:spacing w:after="180" w:before="360"/>
      </w:pPr>
      <w:r>
        <w:rPr>
          <w:rFonts w:ascii="Garamond" w:cs="Garamond" w:eastAsia="Garamond" w:hAnsi="Garamond"/>
          <w:b/>
          <w:bCs/>
          <w:color w:val="10233F"/>
          <w:sz w:val="28"/>
          <w:szCs w:val="28"/>
        </w:rPr>
        <w:t xml:space="preserve">16.5. Unidad generadora de efectivo: la irrelevancia práctica para tenencias directas de Bitcoin</w:t>
      </w:r>
    </w:p>
    <w:p>
      <w:pPr>
        <w:spacing w:after="160" w:line="300"/>
        <w:jc w:val="both"/>
      </w:pPr>
      <w:r>
        <w:rPr>
          <w:rFonts w:ascii="Garamond" w:cs="Garamond" w:eastAsia="Garamond" w:hAnsi="Garamond"/>
          <w:sz w:val="24"/>
          <w:szCs w:val="24"/>
        </w:rPr>
        <w:t xml:space="preserve">La NIC 36 desarrolla, en sus párrafos 65 a 108, un régimen pormenorizado para la determinación del importe recuperable de activos que no generan flujos de efectivo de manera independiente de otros activos, mediante el concepto de unidad generadora de efectivo (el grupo identificable de activos más pequeño que genera entradas de efectivo que son, en buena medida, independientes de las entradas de efectivo derivadas de otros activos o grupos de activos). Este régimen, de complejidad práctica considerable en su aplicación a activos productivos integrados —como una planta industrial o una red de sucursales comerciales—, resulta, en cambio, de aplicación prácticamente irrelevante en el caso de una tenencia directa de Bitcoin, en la medida en que cada unidad de Bitcoin —o, más precisamente, cada UTXO en los términos desarrollados en el Capítulo 8— genera, por sí misma y de manera plenamente independiente de cualquier otro activo de la entidad, un importe recuperable determinable por referencia directa a su cotización de mercado, sin necesidad de agrupamiento alguno con otros activos a los fines de la prueba de deterioro.</w:t>
      </w:r>
    </w:p>
    <w:p>
      <w:pPr>
        <w:spacing w:after="160" w:line="300"/>
        <w:jc w:val="both"/>
      </w:pPr>
      <w:r>
        <w:rPr>
          <w:rFonts w:ascii="Garamond" w:cs="Garamond" w:eastAsia="Garamond" w:hAnsi="Garamond"/>
          <w:sz w:val="24"/>
          <w:szCs w:val="24"/>
        </w:rPr>
        <w:t xml:space="preserve">Esta simplicidad relativa constituye, paradójicamente, una de las escasas ventajas prácticas que el régimen de deterioro de la NIC 36 ofrece en su aplicación a Bitcoin frente a su aplicación a la generalidad de los activos intangibles e inmateriales: mientras que la determinación del importe recuperable de una marca comercial o de una relación con un cliente exige, típicamente, el desarrollo de proyecciones de flujos de efectivo futuros sujetas a un grado considerable de estimación y de juicio profesional, la determinación del importe recuperable de Bitcoin se reduce, en la práctica generalizada, a la simple consulta de su cotización de mercado a la fecha de cierre correspondiente, con la deducción de los costos de venta estimados.</w:t>
      </w:r>
    </w:p>
    <w:p>
      <w:pPr>
        <w:pStyle w:val="Heading2"/>
        <w:spacing w:after="180" w:before="360"/>
      </w:pPr>
      <w:r>
        <w:rPr>
          <w:rFonts w:ascii="Garamond" w:cs="Garamond" w:eastAsia="Garamond" w:hAnsi="Garamond"/>
          <w:b/>
          <w:bCs/>
          <w:color w:val="10233F"/>
          <w:sz w:val="28"/>
          <w:szCs w:val="28"/>
        </w:rPr>
        <w:t xml:space="preserve">16.6. Síntesis del capítulo</w:t>
      </w:r>
    </w:p>
    <w:p>
      <w:pPr>
        <w:spacing w:after="160" w:line="300"/>
        <w:jc w:val="both"/>
      </w:pPr>
      <w:r>
        <w:rPr>
          <w:rFonts w:ascii="Garamond" w:cs="Garamond" w:eastAsia="Garamond" w:hAnsi="Garamond"/>
          <w:sz w:val="24"/>
          <w:szCs w:val="24"/>
        </w:rPr>
        <w:t xml:space="preserve">Este capítulo desarrolló el régimen de deterioro de la NIC 36 en su aplicación específica a Bitcoin bajo el modelo de costo de la NIC 38: la determinación del importe recuperable, que en la práctica coincide con el valor razonable menos los costos de venta, dada la ausencia de flujos de efectivo contractuales que tornen relevante el cálculo del valor en uso; la exigencia de evaluación anual obligatoria propia de los activos intangibles de vida útil indefinida, que en la práctica se traduce en una evaluación mucho más frecuente dada la volatilidad de Bitcoin; y la precisión normativa —de particular relevancia práctica— de que la reversión de pérdidas por deterioro sí resulta admisible bajo la NIC 36, pero limitada estrictamente al costo histórico original, sin posibilidad de reconocer plusvalías por encima de ese costo. Con este capítulo se completa el régimen de medición posterior de Bitcoin bajo el modelo de costo de la NIC 38. El Capítulo 17 continúa el desarrollo normativo de la Parte III abordando la NIIF 13, Medición del Valor Razonable, norma cuya aplicación resulta transversal tanto al reconocimiento inicial desarrollado en el Capítulo 12, cuanto a la determinación del importe recuperable desarrollada en este capítulo, cuanto al modelo de revaluación de la NIC 38 desarrollado en el Capítulo 14.</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16</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(2001). NIC 36: Deterioro del valor de los activos.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17</w:t>
      </w:r>
    </w:p>
    <w:p>
      <w:pPr>
        <w:spacing w:after="400"/>
      </w:pPr>
      <w:r>
        <w:rPr>
          <w:rFonts w:ascii="Garamond" w:cs="Garamond" w:eastAsia="Garamond" w:hAnsi="Garamond"/>
          <w:b/>
          <w:bCs/>
          <w:color w:val="9C7A2E"/>
          <w:sz w:val="40"/>
          <w:szCs w:val="40"/>
        </w:rPr>
        <w:t xml:space="preserve">NIIF 13 – Medición del valor razonable</w:t>
      </w:r>
    </w:p>
    <w:p>
      <w:pPr>
        <w:pStyle w:val="Heading2"/>
        <w:spacing w:after="180" w:before="360"/>
      </w:pPr>
      <w:r>
        <w:rPr>
          <w:rFonts w:ascii="Garamond" w:cs="Garamond" w:eastAsia="Garamond" w:hAnsi="Garamond"/>
          <w:b/>
          <w:bCs/>
          <w:color w:val="10233F"/>
          <w:sz w:val="28"/>
          <w:szCs w:val="28"/>
        </w:rPr>
        <w:t xml:space="preserve">17.1. Introducción: la norma transversal de medición</w:t>
      </w:r>
    </w:p>
    <w:p>
      <w:pPr>
        <w:spacing w:after="160" w:line="300"/>
        <w:jc w:val="both"/>
      </w:pPr>
      <w:r>
        <w:rPr>
          <w:rFonts w:ascii="Garamond" w:cs="Garamond" w:eastAsia="Garamond" w:hAnsi="Garamond"/>
          <w:sz w:val="24"/>
          <w:szCs w:val="24"/>
        </w:rPr>
        <w:t xml:space="preserve">Los capítulos precedentes de esta obra han hecho referencia reiterada al valor razonable como base de medición aplicable a Bitcoin en múltiples supuestos: en el reconocimiento inicial desarrollado en el Capítulo 12, en el modelo de revaluación de la NIC 38 desarrollado en el Capítulo 14, en el componente de valor razonable menos costos de venta del importe recuperable bajo NIC 36 desarrollado en el Capítulo 16, y en la medición de existencias de comercializadores bajo la excepción del párrafo 3(b) de la NIC 2 desarrollada en el Capítulo 15. En todos estos supuestos, la determinación técnica de qué constituye el valor razonable, y cómo debe determinarse y jerarquizarse la información empleada para estimarlo, se rige por una única norma transversal: la Norma Internacional de Información Financiera (NIIF) 13, Medición del Valor Razonable, que este capítulo desarrolla con el detalle específico que su aplicación a Bitcoin exige.</w:t>
      </w:r>
    </w:p>
    <w:p>
      <w:pPr>
        <w:pStyle w:val="Heading2"/>
        <w:spacing w:after="180" w:before="360"/>
      </w:pPr>
      <w:r>
        <w:rPr>
          <w:rFonts w:ascii="Garamond" w:cs="Garamond" w:eastAsia="Garamond" w:hAnsi="Garamond"/>
          <w:b/>
          <w:bCs/>
          <w:color w:val="10233F"/>
          <w:sz w:val="28"/>
          <w:szCs w:val="28"/>
        </w:rPr>
        <w:t xml:space="preserve">17.2. La definición de valor razonable y el principio del mercado principal</w:t>
      </w:r>
    </w:p>
    <w:p>
      <w:pPr>
        <w:spacing w:after="160" w:line="300"/>
        <w:jc w:val="both"/>
      </w:pPr>
      <w:r>
        <w:rPr>
          <w:rFonts w:ascii="Garamond" w:cs="Garamond" w:eastAsia="Garamond" w:hAnsi="Garamond"/>
          <w:sz w:val="24"/>
          <w:szCs w:val="24"/>
        </w:rPr>
        <w:t xml:space="preserve">El párrafo 9 de la NIIF 13 define al valor razonable como el precio que sería recibido por vender un activo o pagado por transferir un pasivo en una transacción ordenada entre participantes del mercado en la fecha de la medición, precisando la propia norma que se trata de una medición basada en el mercado (una salida de efectivo hipotética observada o estimada desde la perspectiva de un participante de mercado que mantiene el activo), y no de una medición específica de la entidad.</w:t>
      </w:r>
    </w:p>
    <w:p>
      <w:pPr>
        <w:spacing w:after="160" w:line="300"/>
        <w:jc w:val="both"/>
      </w:pPr>
      <w:r>
        <w:rPr>
          <w:rFonts w:ascii="Garamond" w:cs="Garamond" w:eastAsia="Garamond" w:hAnsi="Garamond"/>
          <w:sz w:val="24"/>
          <w:szCs w:val="24"/>
        </w:rPr>
        <w:t xml:space="preserve">El párrafo 16 de la norma exige que la medición del valor razonable se realice asumiendo que la transacción de venta del activo tiene lugar en el mercado principal para ese activo o, en ausencia de un mercado principal, en el mercado más ventajoso para ese activo, definiendo al mercado principal como aquel con mayor volumen y nivel de actividad para el activo en cuestión. La aplicación de este principio a Bitcoin plantea una particularidad práctica relevante: dado que Bitcoin se transa simultáneamente en decenas de exchanges distribuidos globalmente, con precios que —aunque estrechamente correlacionados en virtud de mecanismos de arbitraje— pueden presentar diferencias marginales entre plataformas en un momento determinado, la determinación de cuál constituye el «mercado principal» a los fines de la NIIF 13 exige un análisis específico de la entidad, considerando el volumen de transacciones, la accesibilidad de la entidad a ese mercado en particular, y la consistencia en la aplicación de ese criterio a lo largo del tiempo, criterio que, en la práctica profesional predominante, tiende a resolverse mediante la referencia a un índice de precios agregado (price index) que pondera las cotizaciones de múltiples exchanges de referencia, antes que mediante la selección de un único exchange como mercado principal exclusivo.</w:t>
      </w:r>
    </w:p>
    <w:p>
      <w:pPr>
        <w:pStyle w:val="Heading2"/>
        <w:spacing w:after="180" w:before="360"/>
      </w:pPr>
      <w:r>
        <w:rPr>
          <w:rFonts w:ascii="Garamond" w:cs="Garamond" w:eastAsia="Garamond" w:hAnsi="Garamond"/>
          <w:b/>
          <w:bCs/>
          <w:color w:val="10233F"/>
          <w:sz w:val="28"/>
          <w:szCs w:val="28"/>
        </w:rPr>
        <w:t xml:space="preserve">17.3. La jerarquía de valor razonable: los tres niveles</w:t>
      </w:r>
    </w:p>
    <w:p>
      <w:pPr>
        <w:spacing w:after="160" w:line="300"/>
        <w:jc w:val="both"/>
      </w:pPr>
      <w:r>
        <w:rPr>
          <w:rFonts w:ascii="Garamond" w:cs="Garamond" w:eastAsia="Garamond" w:hAnsi="Garamond"/>
          <w:sz w:val="24"/>
          <w:szCs w:val="24"/>
        </w:rPr>
        <w:t xml:space="preserve">El párrafo 72 de la NIIF 13 establece una jerarquía de valor razonable de tres niveles, que clasifica los datos de entrada (inputs) empleados en las técnicas de valoración según su grado de observabilidad en el mercado, otorgando la mayor prioridad a los datos de entrada del Nivel 1 y la menor prioridad a los del Nivel 3.</w:t>
      </w:r>
    </w:p>
    <w:p>
      <w:pPr>
        <w:spacing w:after="160" w:line="300"/>
        <w:jc w:val="both"/>
      </w:pPr>
      <w:r>
        <w:rPr>
          <w:rFonts w:ascii="Garamond" w:cs="Garamond" w:eastAsia="Garamond" w:hAnsi="Garamond"/>
          <w:sz w:val="24"/>
          <w:szCs w:val="24"/>
        </w:rPr>
        <w:t xml:space="preserve">El Nivel 1, definido por el párrafo 76 de la norma, comprende los precios cotizados (sin ajustar) en mercados activos para activos idénticos a los que la entidad puede acceder en la fecha de medición. El párrafo 77 precisa que un precio cotizado en un mercado activo proporciona la evidencia más fiable del valor razonable y debe utilizarse sin ajuste siempre que esté disponible. Bitcoin, en virtud de la existencia de mercados activos, líquidos y con cotizaciones públicas continuas descrita extensamente en esta obra, constituye uno de los escasos ejemplos de activo intangible cuya medición a valor razonable puede clasificarse, de manera consistente y generalizada, dentro del Nivel 1 de esta jerarquía, atributo que, como se anticipó en el Capítulo 13, lo distingue categóricamente de la generalidad de los activos intangibles —marcas, patentes, relaciones contractuales— cuya medición a valor razonable, cuando resulta aplicable, se ubica típicamente en el Nivel 3, el de menor objetividad y mayor grado de estimación.</w:t>
      </w:r>
    </w:p>
    <w:p>
      <w:pPr>
        <w:spacing w:after="160" w:line="300"/>
        <w:jc w:val="both"/>
      </w:pPr>
      <w:r>
        <w:rPr>
          <w:rFonts w:ascii="Garamond" w:cs="Garamond" w:eastAsia="Garamond" w:hAnsi="Garamond"/>
          <w:sz w:val="24"/>
          <w:szCs w:val="24"/>
        </w:rPr>
        <w:t xml:space="preserve">El Nivel 2, definido por el párrafo 81 de la norma, comprende datos de entrada observables, directa o indirectamente, para el activo, distintos de los precios cotizados incluidos en el Nivel 1, tales como los precios cotizados para activos similares en mercados activos, o los precios cotizados para activos idénticos o similares en mercados que no son activos. El Nivel 3, definido por el párrafo 86, comprende datos de entrada no observables, empleados únicamente en la medida en que no se dispone de datos observables relevantes, permitiendo reflejar los supuestos que los participantes del mercado utilizarían para fijar el precio del activo, incluyendo supuestos sobre el riesgo. Este tercer nivel resultaría, en principio, de aplicación excepcional para Bitcoin, y podría presentarse únicamente en circunstancias extraordinarias de disrupción severa y generalizada de los mercados de criptoactivos, o en jurisdicciones específicas donde el acceso a mercados activos se encuentre restringido por razones regulatorias, supuesto que no resulta representativo de la práctica generalizada a la fecha de esta edición.</w:t>
      </w:r>
    </w:p>
    <w:p>
      <w:pPr>
        <w:pStyle w:val="Heading2"/>
        <w:spacing w:after="180" w:before="360"/>
      </w:pPr>
      <w:r>
        <w:rPr>
          <w:rFonts w:ascii="Garamond" w:cs="Garamond" w:eastAsia="Garamond" w:hAnsi="Garamond"/>
          <w:b/>
          <w:bCs/>
          <w:color w:val="10233F"/>
          <w:sz w:val="28"/>
          <w:szCs w:val="28"/>
        </w:rPr>
        <w:t xml:space="preserve">17.4. Consideraciones específicas: el «mercado activo» en un contexto de negociación continua 24/7</w:t>
      </w:r>
    </w:p>
    <w:p>
      <w:pPr>
        <w:spacing w:after="160" w:line="300"/>
        <w:jc w:val="both"/>
      </w:pPr>
      <w:r>
        <w:rPr>
          <w:rFonts w:ascii="Garamond" w:cs="Garamond" w:eastAsia="Garamond" w:hAnsi="Garamond"/>
          <w:sz w:val="24"/>
          <w:szCs w:val="24"/>
        </w:rPr>
        <w:t xml:space="preserve">Un atributo distintivo de los mercados de Bitcoin, sin equivalente directo en los mercados financieros tradicionales que sirvieron de referencia para el desarrollo original de la NIIF 13, es su funcionamiento continuo, sin interrupción por fines de semana, feriados ni horarios de cierre, las veinticuatro horas del día, los siete días de la semana. Esta circunstancia plantea una cuestión práctica específica para la determinación del valor razonable a la fecha de cierre de los estados contables: a diferencia de un activo transado en una bolsa de valores tradicional, con horarios de apertura y cierre determinados, y cuyo precio de cierre de una fecha determinada resulta, en consecuencia, inequívoco, el valor razonable de Bitcoin a una fecha de cierre determinada exige la precisión adicional del huso horario y del instante exacto de referencia (típicamente, la medianoche UTC, u otro momento de corte definido de manera consistente en la política contable de la entidad), dato que, aunque de aparente tecnicismo menor, resulta relevante para garantizar la consistencia y la comparabilidad de la información entre períodos y entre entidades.</w:t>
      </w:r>
    </w:p>
    <w:p>
      <w:pPr>
        <w:spacing w:after="160" w:line="300"/>
        <w:jc w:val="both"/>
      </w:pPr>
      <w:r>
        <w:rPr>
          <w:rFonts w:ascii="Garamond" w:cs="Garamond" w:eastAsia="Garamond" w:hAnsi="Garamond"/>
          <w:sz w:val="24"/>
          <w:szCs w:val="24"/>
        </w:rPr>
        <w:t xml:space="preserve">Adicionalmente, la volatilidad intradía característica de Bitcoin —que, según se ha desarrollado en distintos pasajes de esta obra, puede alcanzar variaciones porcentuales de dos dígitos en el curso de pocas horas en episodios de estrés de mercado— plantea, para el auditor que deba verificar la razonabilidad del valor razonable empleado por la entidad, la necesidad de corroborar no solamente la fuente de la cotización empleada, sino también la consistencia del instante de referencia utilizado, cuestión que se retomará con el detalle procedimental correspondiente en el Capítulo 31.</w:t>
      </w:r>
    </w:p>
    <w:p>
      <w:pPr>
        <w:pStyle w:val="Heading2"/>
        <w:spacing w:after="180" w:before="360"/>
      </w:pPr>
      <w:r>
        <w:rPr>
          <w:rFonts w:ascii="Garamond" w:cs="Garamond" w:eastAsia="Garamond" w:hAnsi="Garamond"/>
          <w:b/>
          <w:bCs/>
          <w:color w:val="10233F"/>
          <w:sz w:val="28"/>
          <w:szCs w:val="28"/>
        </w:rPr>
        <w:t xml:space="preserve">17.5. Información a revelar exigida por la NIIF 13</w:t>
      </w:r>
    </w:p>
    <w:p>
      <w:pPr>
        <w:spacing w:after="160" w:line="300"/>
        <w:jc w:val="both"/>
      </w:pPr>
      <w:r>
        <w:rPr>
          <w:rFonts w:ascii="Garamond" w:cs="Garamond" w:eastAsia="Garamond" w:hAnsi="Garamond"/>
          <w:sz w:val="24"/>
          <w:szCs w:val="24"/>
        </w:rPr>
        <w:t xml:space="preserve">El párrafo 91 de la NIIF 13 establece que una entidad debe revelar información que ayude a los usuarios de sus estados financieros a evaluar tanto las técnicas de valoración y los datos de entrada utilizados para desarrollar las mediciones a valor razonable, como el efecto de las mediciones a valor razonable que utilizan datos de entrada no observables significativos (Nivel 3) sobre el resultado del período. Para Bitcoin, dado su encuadre generalizado en el Nivel 1 de la jerarquía según se desarrolló en la sección 17.3, las exigencias de revelación resultan, en la práctica, sustancialmente menos onerosas que las aplicables a activos medidos en los Niveles 2 o 3, limitándose fundamentalmente a la identificación del nivel jerárquico correspondiente, y a la descripción de la fuente o el índice de precios empleado para la determinación de la cotización de referencia.</w:t>
      </w:r>
    </w:p>
    <w:p>
      <w:pPr>
        <w:pStyle w:val="Heading2"/>
        <w:spacing w:after="180" w:before="360"/>
      </w:pPr>
      <w:r>
        <w:rPr>
          <w:rFonts w:ascii="Garamond" w:cs="Garamond" w:eastAsia="Garamond" w:hAnsi="Garamond"/>
          <w:b/>
          <w:bCs/>
          <w:color w:val="10233F"/>
          <w:sz w:val="28"/>
          <w:szCs w:val="28"/>
        </w:rPr>
        <w:t xml:space="preserve">17.6. Síntesis del capítulo</w:t>
      </w:r>
    </w:p>
    <w:p>
      <w:pPr>
        <w:spacing w:after="160" w:line="300"/>
        <w:jc w:val="both"/>
      </w:pPr>
      <w:r>
        <w:rPr>
          <w:rFonts w:ascii="Garamond" w:cs="Garamond" w:eastAsia="Garamond" w:hAnsi="Garamond"/>
          <w:sz w:val="24"/>
          <w:szCs w:val="24"/>
        </w:rPr>
        <w:t xml:space="preserve">Este capítulo desarrolló la NIIF 13 como norma transversal de medición del valor razonable, aplicable a Bitcoin en los múltiples supuestos identificados a lo largo de esta obra: reconocimiento inicial, modelo de revaluación de NIC 38, determinación del importe recuperable bajo NIC 36, y medición de existencias de comercializadores bajo NIC 2. Se estableció que Bitcoin constituye uno de los escasos activos intangibles cuya medición a valor razonable se clasifica, de manera consistente, dentro del Nivel 1 de la jerarquía de la norma, atributo que simplifica sustancialmente las exigencias de revelación aplicables en comparación con la generalidad de los activos intangibles. Se identificaron, asimismo, las particularidades prácticas que el funcionamiento continuo e ininterrumpido de los mercados de Bitcoin plantea para la determinación precisa del instante de referencia a la fecha de cierre de los estados contables. Con este capítulo se completa el bloque de normas de medición de la Parte III de esta obra. El Capítulo 18 avanza hacia el tratamiento impositivo diferido de Bitcoin bajo la NIC 12, norma que vincula el tratamiento contable desarrollado hasta aquí con el régimen tributario que se desarrollará con mayor extensión en la Parte V de esta obra.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17</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(2011). NIIF 13: Medición del valor razonable. IFRS Foundation.</w:t>
      </w:r>
    </w:p>
    <w:p>
      <w:pPr>
        <w:spacing w:after="160"/>
        <w:ind w:left="480" w:hanging="480"/>
        <w:jc w:val="both"/>
      </w:pPr>
      <w:r>
        <w:rPr>
          <w:rFonts w:ascii="Garamond" w:cs="Garamond" w:eastAsia="Garamond" w:hAnsi="Garamond"/>
          <w:sz w:val="22"/>
          <w:szCs w:val="22"/>
        </w:rPr>
        <w:t xml:space="preserve">Sadowski, W., y Nowak, A. (2023). Fair value measurement of Bitcoin under IFRS 13: A continuous market challenge. Journal of International Accounting Research, 22(2), 45-63.</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18</w:t>
      </w:r>
    </w:p>
    <w:p>
      <w:pPr>
        <w:spacing w:after="400"/>
      </w:pPr>
      <w:r>
        <w:rPr>
          <w:rFonts w:ascii="Garamond" w:cs="Garamond" w:eastAsia="Garamond" w:hAnsi="Garamond"/>
          <w:b/>
          <w:bCs/>
          <w:color w:val="9C7A2E"/>
          <w:sz w:val="40"/>
          <w:szCs w:val="40"/>
        </w:rPr>
        <w:t xml:space="preserve">NIC 12 – Impuesto a las ganancias e impuesto diferido</w:t>
      </w:r>
    </w:p>
    <w:p>
      <w:pPr>
        <w:pStyle w:val="Heading2"/>
        <w:spacing w:after="180" w:before="360"/>
      </w:pPr>
      <w:r>
        <w:rPr>
          <w:rFonts w:ascii="Garamond" w:cs="Garamond" w:eastAsia="Garamond" w:hAnsi="Garamond"/>
          <w:b/>
          <w:bCs/>
          <w:color w:val="10233F"/>
          <w:sz w:val="28"/>
          <w:szCs w:val="28"/>
        </w:rPr>
        <w:t xml:space="preserve">18.1. Introducción: la bisagra entre el tratamiento contable y el tratamiento tributario</w:t>
      </w:r>
    </w:p>
    <w:p>
      <w:pPr>
        <w:spacing w:after="160" w:line="300"/>
        <w:jc w:val="both"/>
      </w:pPr>
      <w:r>
        <w:rPr>
          <w:rFonts w:ascii="Garamond" w:cs="Garamond" w:eastAsia="Garamond" w:hAnsi="Garamond"/>
          <w:sz w:val="24"/>
          <w:szCs w:val="24"/>
        </w:rPr>
        <w:t xml:space="preserve">Los capítulos precedentes de esta Parte III desarrollaron el tratamiento contable de Bitcoin bajo las normas de reconocimiento y medición de las NIIF, sin detenerse, hasta este capítulo, en la consecuencia impositiva que ese tratamiento contable genera cuando —como ocurre de manera frecuente y, según se desarrollará en la Parte V de esta obra, casi sistemática en el caso argentino— la base contable de un activo difiere de su base fiscal. Este capítulo desarrolla la Norma Internacional de Contabilidad (NIC) 12, Impuesto a las Ganancias, en su aplicación específica a Bitcoin, estableciendo el marco conceptual que vincula el tratamiento contable desarrollado en los capítulos precedentes con el régimen tributario argentino que se desarrollará con mayor extensión a partir del Capítulo 26.</w:t>
      </w:r>
    </w:p>
    <w:p>
      <w:pPr>
        <w:pStyle w:val="Heading2"/>
        <w:spacing w:after="180" w:before="360"/>
      </w:pPr>
      <w:r>
        <w:rPr>
          <w:rFonts w:ascii="Garamond" w:cs="Garamond" w:eastAsia="Garamond" w:hAnsi="Garamond"/>
          <w:b/>
          <w:bCs/>
          <w:color w:val="10233F"/>
          <w:sz w:val="28"/>
          <w:szCs w:val="28"/>
        </w:rPr>
        <w:t xml:space="preserve">18.2. El concepto de diferencia temporaria y su origen en el caso de Bitcoin</w:t>
      </w:r>
    </w:p>
    <w:p>
      <w:pPr>
        <w:spacing w:after="160" w:line="300"/>
        <w:jc w:val="both"/>
      </w:pPr>
      <w:r>
        <w:rPr>
          <w:rFonts w:ascii="Garamond" w:cs="Garamond" w:eastAsia="Garamond" w:hAnsi="Garamond"/>
          <w:sz w:val="24"/>
          <w:szCs w:val="24"/>
        </w:rPr>
        <w:t xml:space="preserve">El párrafo 5 de la NIC 12 define a las diferencias temporarias como las divergencias que existen entre el importe en libros de un activo o pasivo, y su base fiscal, distinguiendo entre diferencias temporarias imponibles —que dan lugar a importes imponibles al determinar la ganancia o pérdida fiscal de períodos futuros, cuando el importe en libros del activo sea recuperado— y diferencias temporarias deducibles —que dan lugar a importes deducibles al determinar la ganancia o pérdida fiscal de períodos futuros—.</w:t>
      </w:r>
    </w:p>
    <w:p>
      <w:pPr>
        <w:spacing w:after="160" w:line="300"/>
        <w:jc w:val="both"/>
      </w:pPr>
      <w:r>
        <w:rPr>
          <w:rFonts w:ascii="Garamond" w:cs="Garamond" w:eastAsia="Garamond" w:hAnsi="Garamond"/>
          <w:sz w:val="24"/>
          <w:szCs w:val="24"/>
        </w:rPr>
        <w:t xml:space="preserve">En el caso específico de Bitcoin, la diferencia temporaria de mayor relevancia práctica surge precisamente de la asimetría de reconocimiento desarrollada extensamente en los Capítulos 13 y 16 de esta obra: mientras que, bajo el modelo de costo de la NIC 38, el importe en libros contable de una tenencia de Bitcoin permanece en su costo histórico —ajustado únicamente por eventuales pérdidas por deterioro—, la base fiscal de ese mismo activo, bajo el régimen del Impuesto a las Ganancias argentino que se desarrollará en el Capítulo 26, puede diferir de esa base contable en función de las reglas específicas de valuación fiscal aplicables a los criptoactivos, generando una diferencia temporaria cuyo signo y magnitud dependen de la interacción específica entre ambos regímenes.</w:t>
      </w:r>
    </w:p>
    <w:p>
      <w:pPr>
        <w:spacing w:after="160" w:line="300"/>
        <w:jc w:val="both"/>
      </w:pPr>
      <w:r>
        <w:rPr>
          <w:rFonts w:ascii="Garamond" w:cs="Garamond" w:eastAsia="Garamond" w:hAnsi="Garamond"/>
          <w:sz w:val="24"/>
          <w:szCs w:val="24"/>
        </w:rPr>
        <w:t xml:space="preserve">Una segunda fuente relevante de diferencia temporaria surge del propio reconocimiento de una pérdida por deterioro bajo NIC 36, desarrollado en el Capítulo 16: en la medida en que el régimen tributario argentino no admita, a los fines de la determinación de la ganancia neta imponible, la deducción de pérdidas por deterioro no realizadas —es decir, no materializadas mediante una efectiva transacción de venta—, criterio consistente con el principio general de lo devengado exigible o de la realización que rige extensamente el derecho tributario argentino, esa pérdida por deterioro contable, reconocida en el resultado del ejercicio bajo NIC 36 pero no deducible fiscalmente en el mismo período, genera una diferencia temporaria deducible, que revertirá en el futuro, al momento en que la eventual pérdida se materialice fiscalmente mediante la venta del activo o, en su caso, mediante la reversión contable de esa misma pérdida por deterioro en los términos desarrollados en el Capítulo 16.</w:t>
      </w:r>
    </w:p>
    <w:p>
      <w:pPr>
        <w:pStyle w:val="Heading2"/>
        <w:spacing w:after="180" w:before="360"/>
      </w:pPr>
      <w:r>
        <w:rPr>
          <w:rFonts w:ascii="Garamond" w:cs="Garamond" w:eastAsia="Garamond" w:hAnsi="Garamond"/>
          <w:b/>
          <w:bCs/>
          <w:color w:val="10233F"/>
          <w:sz w:val="28"/>
          <w:szCs w:val="28"/>
        </w:rPr>
        <w:t xml:space="preserve">18.3. Reconocimiento de activos y pasivos por impuesto diferido</w:t>
      </w:r>
    </w:p>
    <w:p>
      <w:pPr>
        <w:spacing w:after="160" w:line="300"/>
        <w:jc w:val="both"/>
      </w:pPr>
      <w:r>
        <w:rPr>
          <w:rFonts w:ascii="Garamond" w:cs="Garamond" w:eastAsia="Garamond" w:hAnsi="Garamond"/>
          <w:sz w:val="24"/>
          <w:szCs w:val="24"/>
        </w:rPr>
        <w:t xml:space="preserve">El párrafo 24 de la NIC 12 exige el reconocimiento de un activo por impuesto diferido por las diferencias temporarias deducibles, en la medida en que resulte probable que la entidad disponga de ganancias fiscales futuras contra las cuales cargar esas diferencias temporarias deducibles, mientras que el párrafo 15 exige, con carácter general y sin la condición de probabilidad exigida para el activo, el reconocimiento de un pasivo por impuesto diferido por la totalidad de las diferencias temporarias imponibles.</w:t>
      </w:r>
    </w:p>
    <w:p>
      <w:pPr>
        <w:spacing w:after="160" w:line="300"/>
        <w:jc w:val="both"/>
      </w:pPr>
      <w:r>
        <w:rPr>
          <w:rFonts w:ascii="Garamond" w:cs="Garamond" w:eastAsia="Garamond" w:hAnsi="Garamond"/>
          <w:sz w:val="24"/>
          <w:szCs w:val="24"/>
        </w:rPr>
        <w:t xml:space="preserve">La asimetría en el estándar de reconocimiento entre activos y pasivos por impuesto diferido —el reconocimiento del pasivo es obligatorio en prácticamente todos los casos, mientras que el del activo está condicionado a la existencia probable de ganancias fiscales futuras suficientes— adquiere una relevancia práctica específica en el caso de Bitcoin: una entidad que hubiera reconocido pérdidas por deterioro significativas sobre su tenencia de Bitcoin, generando una diferencia temporaria deducible sustancial en los términos desarrollados en la sección 18.2, debe evaluar cuidadosamente, conforme al juicio profesional exigido por el párrafo 29 de la norma, si dispone de evidencia convincente de que generará ganancias fiscales futuras suficientes para absorber esa diferencia, análisis que exige, entre otras consideraciones, evaluar si la propia entidad prevé mantener su tenencia de Bitcoin hasta una eventual recuperación de su valor de mercado, o si, por el contrario, la realización de la pérdida mediante una venta efectiva resulta razonablemente previsible.</w:t>
      </w:r>
    </w:p>
    <w:p>
      <w:pPr>
        <w:pStyle w:val="Heading2"/>
        <w:spacing w:after="180" w:before="360"/>
      </w:pPr>
      <w:r>
        <w:rPr>
          <w:rFonts w:ascii="Garamond" w:cs="Garamond" w:eastAsia="Garamond" w:hAnsi="Garamond"/>
          <w:b/>
          <w:bCs/>
          <w:color w:val="10233F"/>
          <w:sz w:val="28"/>
          <w:szCs w:val="28"/>
        </w:rPr>
        <w:t xml:space="preserve">18.4. Medición del impuesto diferido: la tasa aplicable y su determinación</w:t>
      </w:r>
    </w:p>
    <w:p>
      <w:pPr>
        <w:spacing w:after="160" w:line="300"/>
        <w:jc w:val="both"/>
      </w:pPr>
      <w:r>
        <w:rPr>
          <w:rFonts w:ascii="Garamond" w:cs="Garamond" w:eastAsia="Garamond" w:hAnsi="Garamond"/>
          <w:sz w:val="24"/>
          <w:szCs w:val="24"/>
        </w:rPr>
        <w:t xml:space="preserve">El párrafo 47 de la NIC 12 exige que los activos y pasivos por impuesto diferido se midan empleando las tasas fiscales que se espera sean de aplicación en el período en el que el activo se realice o el pasivo se cancele, basadas en las tasas y leyes fiscales que, al final del período sobre el que se informa, hayan sido aprobadas, o prácticamente terminado el proceso de aprobación. La aplicación de este criterio en el contexto argentino exige un seguimiento particularmente atento de la evolución normativa del Impuesto a las Ganancias, que se desarrollará con el detalle específico correspondiente en el Capítulo 26, en la medida en que las alícuotas aplicables a las rentas derivadas de la enajenación de criptoactivos por parte de personas humanas han sido objeto de modificaciones normativas relevantes en los últimos ejercicios fiscales, circunstancia que exige al profesional contable actualizar permanentemente la tasa empleada para la medición del impuesto diferido, en línea con el compromiso de actualización normativa continua que esta obra asume desde su prefacio.</w:t>
      </w:r>
    </w:p>
    <w:p>
      <w:pPr>
        <w:pStyle w:val="Heading2"/>
        <w:spacing w:after="180" w:before="360"/>
      </w:pPr>
      <w:r>
        <w:rPr>
          <w:rFonts w:ascii="Garamond" w:cs="Garamond" w:eastAsia="Garamond" w:hAnsi="Garamond"/>
          <w:b/>
          <w:bCs/>
          <w:color w:val="10233F"/>
          <w:sz w:val="28"/>
          <w:szCs w:val="28"/>
        </w:rPr>
        <w:t xml:space="preserve">18.5. Exposición: activo o pasivo por impuesto diferido, neteo y clasificación</w:t>
      </w:r>
    </w:p>
    <w:p>
      <w:pPr>
        <w:spacing w:after="160" w:line="300"/>
        <w:jc w:val="both"/>
      </w:pPr>
      <w:r>
        <w:rPr>
          <w:rFonts w:ascii="Garamond" w:cs="Garamond" w:eastAsia="Garamond" w:hAnsi="Garamond"/>
          <w:sz w:val="24"/>
          <w:szCs w:val="24"/>
        </w:rPr>
        <w:t xml:space="preserve">El párrafo 74 de la NIC 12 permite, bajo condiciones específicas, la compensación de activos y pasivos por impuesto diferido, exigiendo, entre otras condiciones, que la entidad tenga reconocido legalmente el derecho de compensar los activos por impuestos corrientes con los pasivos por impuestos corrientes, y que los activos y pasivos por impuestos diferidos se deriven del impuesto a las ganancias correspondiente a la misma autoridad fiscal. Para una entidad cuya única fuente de diferencias temporarias relevantes derive de su tenencia de Bitcoin, esta compensación resultará, en la generalidad de los casos, de aplicación directa, en la medida en que tanto el eventual activo cuanto el eventual pasivo por impuesto diferido corresponderán a la misma autoridad fiscal (la Administración de Ingresos Públicos, ARCA, ex AFIP, en el caso argentino).</w:t>
      </w:r>
    </w:p>
    <w:p>
      <w:pPr>
        <w:spacing w:after="160" w:line="300"/>
        <w:jc w:val="both"/>
      </w:pPr>
      <w:r>
        <w:rPr>
          <w:rFonts w:ascii="Garamond" w:cs="Garamond" w:eastAsia="Garamond" w:hAnsi="Garamond"/>
          <w:sz w:val="24"/>
          <w:szCs w:val="24"/>
        </w:rPr>
        <w:t xml:space="preserve">La Norma Internacional de Contabilidad (NIC) 1, Presentación de Estados Financieros, exige, por su parte, que los activos y pasivos por impuesto diferido se clasifiquen como no corrientes en el estado de situación financiera, con independencia de la fecha esperada de reversión de la diferencia temporaria subyacente, criterio que se aplica sin excepción a los activos y pasivos por impuesto diferido que puedan surgir de una tenencia de Bitcoin, con independencia de que la propia tenencia de Bitcoin que origina esa diferencia temporaria se clasifique, a su vez, como activo corriente o no corriente, clasificación que se desarrollará con el detalle correspondiente al tratar la exposición en el estado de situación patrimonial en el Capítulo 25.</w:t>
      </w:r>
    </w:p>
    <w:p>
      <w:pPr>
        <w:pStyle w:val="Heading2"/>
        <w:spacing w:after="180" w:before="360"/>
      </w:pPr>
      <w:r>
        <w:rPr>
          <w:rFonts w:ascii="Garamond" w:cs="Garamond" w:eastAsia="Garamond" w:hAnsi="Garamond"/>
          <w:b/>
          <w:bCs/>
          <w:color w:val="10233F"/>
          <w:sz w:val="28"/>
          <w:szCs w:val="28"/>
        </w:rPr>
        <w:t xml:space="preserve">18.6. Un caso particular: el impuesto diferido en la recompensa de minería</w:t>
      </w:r>
    </w:p>
    <w:p>
      <w:pPr>
        <w:spacing w:after="160" w:line="300"/>
        <w:jc w:val="both"/>
      </w:pPr>
      <w:r>
        <w:rPr>
          <w:rFonts w:ascii="Garamond" w:cs="Garamond" w:eastAsia="Garamond" w:hAnsi="Garamond"/>
          <w:sz w:val="24"/>
          <w:szCs w:val="24"/>
        </w:rPr>
        <w:t xml:space="preserve">Corresponde retomar, en este capítulo, el supuesto de los bitcoins obtenidos como recompensa de minería, desarrollado desde la perspectiva del reconocimiento contable en los Capítulos 12 y 15 de esta obra. En la medida en que el reconocimiento contable inicial de esos bitcoins se realiza a valor razonable a la fecha de su obtención, con contrapartida en el resultado del ejercicio como ingreso de actividades ordinarias u otro ingreso —según se desarrolló en el Capítulo 12—, mientras que el hecho imponible del Impuesto a las Ganancias argentino podría, según el criterio de valuación fiscal específico que se desarrollará en el Capítulo 26, reconocerse en un momento o por un importe distinto, puede generarse una diferencia temporaria adicional específica de la actividad de minería, que se suma a la diferencia temporaria general por tenencia desarrollada en la sección 18.2 de este capítulo, y que exige, en la práctica profesional, un seguimiento contable diferenciado entre la porción de la tenencia de Bitcoin de una entidad minera que proviene de recompensas de minería, y la porción que eventualmente hubiera sido adquirida por compra directa, en la medida en que las bases fiscales respectivas de ambas porciones puedan diferir.</w:t>
      </w:r>
    </w:p>
    <w:p>
      <w:pPr>
        <w:pStyle w:val="Heading2"/>
        <w:spacing w:after="180" w:before="360"/>
      </w:pPr>
      <w:r>
        <w:rPr>
          <w:rFonts w:ascii="Garamond" w:cs="Garamond" w:eastAsia="Garamond" w:hAnsi="Garamond"/>
          <w:b/>
          <w:bCs/>
          <w:color w:val="10233F"/>
          <w:sz w:val="28"/>
          <w:szCs w:val="28"/>
        </w:rPr>
        <w:t xml:space="preserve">18.7. Síntesis del capítulo</w:t>
      </w:r>
    </w:p>
    <w:p>
      <w:pPr>
        <w:spacing w:after="160" w:line="300"/>
        <w:jc w:val="both"/>
      </w:pPr>
      <w:r>
        <w:rPr>
          <w:rFonts w:ascii="Garamond" w:cs="Garamond" w:eastAsia="Garamond" w:hAnsi="Garamond"/>
          <w:sz w:val="24"/>
          <w:szCs w:val="24"/>
        </w:rPr>
        <w:t xml:space="preserve">Este capítulo desarrolló la aplicación de la NIC 12 a Bitcoin, identificando el origen de las diferencias temporarias más relevantes en la práctica —derivadas fundamentalmente de la asimetría entre el modelo de costo contable de la NIC 38 y las reglas de valuación fiscal del Impuesto a las Ganancias, y de las pérdidas por deterioro no realizadas reconocidas bajo NIC 36—, los criterios diferenciados de reconocimiento de activos y pasivos por impuesto diferido, y las particularidades de medición, exposición y compensación aplicables en el contexto argentino. Con este capítulo se completa el bloque de normas de medición y reconocimiento general de la Parte III de esta obra. El Capítulo 19 continúa ese desarrollo abordando la NIC 21, Efectos de las Variaciones en las Tasas de Cambio de la Moneda Extranjera, norma cuya aplicación resulta indispensable para la conversión a moneda funcional de las transacciones en Bitcoin, particularmente relevante en el contexto de una economía con las características cambiarias e inflacionarias de la República Argentina.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18</w:t>
      </w:r>
    </w:p>
    <w:p>
      <w:pPr>
        <w:spacing w:after="160"/>
        <w:ind w:left="480" w:hanging="480"/>
        <w:jc w:val="both"/>
      </w:pPr>
      <w:r>
        <w:rPr>
          <w:rFonts w:ascii="Garamond" w:cs="Garamond" w:eastAsia="Garamond" w:hAnsi="Garamond"/>
          <w:sz w:val="22"/>
          <w:szCs w:val="22"/>
        </w:rPr>
        <w:t xml:space="preserve">International Accounting Standards Board. (1996). NIC 12: Impuesto a las ganancias. IFRS Foundation.</w:t>
      </w:r>
    </w:p>
    <w:p>
      <w:pPr>
        <w:spacing w:after="160"/>
        <w:ind w:left="480" w:hanging="480"/>
        <w:jc w:val="both"/>
      </w:pPr>
      <w:r>
        <w:rPr>
          <w:rFonts w:ascii="Garamond" w:cs="Garamond" w:eastAsia="Garamond" w:hAnsi="Garamond"/>
          <w:sz w:val="22"/>
          <w:szCs w:val="22"/>
        </w:rPr>
        <w:t xml:space="preserve">International Accounting Standards Board. (1997). NIC 1: Presentación de estados financieros. IFRS Foundation.</w:t>
      </w:r>
    </w:p>
    <w:p>
      <w:pPr>
        <w:spacing w:after="160"/>
        <w:ind w:left="480" w:hanging="480"/>
        <w:jc w:val="both"/>
      </w:pPr>
      <w:r>
        <w:rPr>
          <w:rFonts w:ascii="Garamond" w:cs="Garamond" w:eastAsia="Garamond" w:hAnsi="Garamond"/>
          <w:sz w:val="22"/>
          <w:szCs w:val="22"/>
        </w:rPr>
        <w:t xml:space="preserve">International Accounting Standards Board. (2001). NIC 36: Deterioro del valor de los activos.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19</w:t>
      </w:r>
    </w:p>
    <w:p>
      <w:pPr>
        <w:spacing w:after="400"/>
      </w:pPr>
      <w:r>
        <w:rPr>
          <w:rFonts w:ascii="Garamond" w:cs="Garamond" w:eastAsia="Garamond" w:hAnsi="Garamond"/>
          <w:b/>
          <w:bCs/>
          <w:color w:val="9C7A2E"/>
          <w:sz w:val="40"/>
          <w:szCs w:val="40"/>
        </w:rPr>
        <w:t xml:space="preserve">NIC 21 – Efectos de las variaciones en las tasas de cambio</w:t>
      </w:r>
    </w:p>
    <w:p>
      <w:pPr>
        <w:pStyle w:val="Heading2"/>
        <w:spacing w:after="180" w:before="360"/>
      </w:pPr>
      <w:r>
        <w:rPr>
          <w:rFonts w:ascii="Garamond" w:cs="Garamond" w:eastAsia="Garamond" w:hAnsi="Garamond"/>
          <w:b/>
          <w:bCs/>
          <w:color w:val="10233F"/>
          <w:sz w:val="28"/>
          <w:szCs w:val="28"/>
        </w:rPr>
        <w:t xml:space="preserve">19.1. Introducción: la conversión a moneda funcional en un contexto cambiario complejo</w:t>
      </w:r>
    </w:p>
    <w:p>
      <w:pPr>
        <w:spacing w:after="160" w:line="300"/>
        <w:jc w:val="both"/>
      </w:pPr>
      <w:r>
        <w:rPr>
          <w:rFonts w:ascii="Garamond" w:cs="Garamond" w:eastAsia="Garamond" w:hAnsi="Garamond"/>
          <w:sz w:val="24"/>
          <w:szCs w:val="24"/>
        </w:rPr>
        <w:t xml:space="preserve">Los capítulos precedentes de esta obra desarrollaron el tratamiento contable de Bitcoin asumiendo, de manera implícita, que las transacciones correspondientes se expresan directamente en la moneda funcional de la entidad. Este capítulo desarrolla la Norma Internacional de Contabilidad (NIC) 21, Efectos de las Variaciones en las Tasas de Cambio de la Moneda Extranjera, con el propósito específico de precisar cómo deben convertirse a moneda funcional las transacciones en Bitcoin cuando estas se pactan, cotizan o liquidan por referencia a una moneda extranjera —típicamente el dólar estadounidense—, cuestión de particular y singular relevancia práctica para las entidades argentinas, dado el contexto cambiario históricamente complejo de la economía nacional, caracterizado por la coexistencia de múltiples tipos de cambio, restricciones de acceso al mercado de cambios, y elevados niveles de inflación acumulada.</w:t>
      </w:r>
    </w:p>
    <w:p>
      <w:pPr>
        <w:pStyle w:val="Heading2"/>
        <w:spacing w:after="180" w:before="360"/>
      </w:pPr>
      <w:r>
        <w:rPr>
          <w:rFonts w:ascii="Garamond" w:cs="Garamond" w:eastAsia="Garamond" w:hAnsi="Garamond"/>
          <w:b/>
          <w:bCs/>
          <w:color w:val="10233F"/>
          <w:sz w:val="28"/>
          <w:szCs w:val="28"/>
        </w:rPr>
        <w:t xml:space="preserve">19.2. Bitcoin como partida no monetaria: la conclusión central de este capítulo</w:t>
      </w:r>
    </w:p>
    <w:p>
      <w:pPr>
        <w:spacing w:after="160" w:line="300"/>
        <w:jc w:val="both"/>
      </w:pPr>
      <w:r>
        <w:rPr>
          <w:rFonts w:ascii="Garamond" w:cs="Garamond" w:eastAsia="Garamond" w:hAnsi="Garamond"/>
          <w:sz w:val="24"/>
          <w:szCs w:val="24"/>
        </w:rPr>
        <w:t xml:space="preserve">El párrafo 16 de la NIC 21 define a las partidas monetarias como unidades monetarias en poder de una entidad, y activos y pasivos que se han de recibir o pagar mediante una cantidad fija o determinable de unidades monetarias, en contraposición con las partidas no monetarias, que carecen de ese derecho a recibir, o de esa obligación de entregar, una cantidad fija o determinable de unidades monetarias.</w:t>
      </w:r>
    </w:p>
    <w:p>
      <w:pPr>
        <w:spacing w:after="160" w:line="300"/>
        <w:jc w:val="both"/>
      </w:pPr>
      <w:r>
        <w:rPr>
          <w:rFonts w:ascii="Garamond" w:cs="Garamond" w:eastAsia="Garamond" w:hAnsi="Garamond"/>
          <w:sz w:val="24"/>
          <w:szCs w:val="24"/>
        </w:rPr>
        <w:t xml:space="preserve">La calificación de Bitcoin como partida no monetaria a los fines de la NIC 21 se deriva de manera directa e inmediata de la propia calificación de Bitcoin como activo intangible bajo NIC 38, desarrollada extensamente en el Capítulo 14 de esta obra: precisamente porque Bitcoin no representa un derecho contractual a recibir una cantidad fija o determinable de unidades monetarias —a diferencia de una cuenta a cobrar en moneda extranjera, o de un depósito bancario en moneda extranjera—, sino la titularidad directa de un activo cuyo valor fluctúa en función de las condiciones de mercado, Bitcoin se califica, de manera consistente y sin excepción, como partida no monetaria bajo el párrafo 16 de la NIC 21.</w:t>
      </w:r>
    </w:p>
    <w:p>
      <w:pPr>
        <w:spacing w:after="160" w:line="300"/>
        <w:jc w:val="both"/>
      </w:pPr>
      <w:r>
        <w:rPr>
          <w:rFonts w:ascii="Garamond" w:cs="Garamond" w:eastAsia="Garamond" w:hAnsi="Garamond"/>
          <w:sz w:val="24"/>
          <w:szCs w:val="24"/>
        </w:rPr>
        <w:t xml:space="preserve">Esta calificación tiene una consecuencia normativa de primer orden, que constituye el eje central de este capítulo: el párrafo 23(b) de la NIC 21 establece que las partidas no monetarias que se midan en términos de costo histórico en una moneda extranjera se convertirán utilizando el tipo de cambio en la fecha de la transacción, sin que corresponda su reconversión posterior a la fecha de cierre de los estados contables al tipo de cambio de cierre, a diferencia del tratamiento que sí resulta aplicable a las partidas monetarias en moneda extranjera bajo el párrafo 23(a) de la propia norma. En consecuencia, una tenencia de Bitcoin adquirida mediante una transacción pactada o cotizada en dólares estadounidenses, y medida bajo el modelo de costo de la NIC 38 desarrollado en el Capítulo 14, se convierte a la moneda funcional de la entidad al tipo de cambio vigente en la fecha de la transacción de adquisición, y ese importe convertido permanece fijo —sujeto únicamente a las eventuales pérdidas por deterioro desarrolladas en el Capítulo 16— con independencia de las fluctuaciones posteriores del tipo de cambio entre el dólar estadounidense y la moneda funcional de la entidad.</w:t>
      </w:r>
    </w:p>
    <w:p>
      <w:pPr>
        <w:pStyle w:val="Heading2"/>
        <w:spacing w:after="180" w:before="360"/>
      </w:pPr>
      <w:r>
        <w:rPr>
          <w:rFonts w:ascii="Garamond" w:cs="Garamond" w:eastAsia="Garamond" w:hAnsi="Garamond"/>
          <w:b/>
          <w:bCs/>
          <w:color w:val="10233F"/>
          <w:sz w:val="28"/>
          <w:szCs w:val="28"/>
        </w:rPr>
        <w:t xml:space="preserve">19.3. La irrelevancia de las diferencias de cambio para una tenencia directa de Bitcoin</w:t>
      </w:r>
    </w:p>
    <w:p>
      <w:pPr>
        <w:spacing w:after="160" w:line="300"/>
        <w:jc w:val="both"/>
      </w:pPr>
      <w:r>
        <w:rPr>
          <w:rFonts w:ascii="Garamond" w:cs="Garamond" w:eastAsia="Garamond" w:hAnsi="Garamond"/>
          <w:sz w:val="24"/>
          <w:szCs w:val="24"/>
        </w:rPr>
        <w:t xml:space="preserve">Esta calificación como partida no monetaria produce una consecuencia práctica de gran relevancia, y con frecuencia contraintuitiva para el profesional formado en la lógica de conversión de partidas monetarias en moneda extranjera: una tenencia de Bitcoin no genera, por la sola tenencia, diferencias de cambio en los términos de la NIC 21, con independencia de cuán significativa sea la variación del tipo de cambio entre la moneda de referencia de cotización de Bitcoin (típicamente el dólar estadounidense) y la moneda funcional de la entidad tenedora durante el período de tenencia.</w:t>
      </w:r>
    </w:p>
    <w:p>
      <w:pPr>
        <w:spacing w:after="160" w:line="300"/>
        <w:jc w:val="both"/>
      </w:pPr>
      <w:r>
        <w:rPr>
          <w:rFonts w:ascii="Garamond" w:cs="Garamond" w:eastAsia="Garamond" w:hAnsi="Garamond"/>
          <w:sz w:val="24"/>
          <w:szCs w:val="24"/>
        </w:rPr>
        <w:t xml:space="preserve">Esta conclusión exige una precisión metodológica importante para la práctica profesional argentina, en la que resulta habitual —aunque, según se desarrolla en esta sección, técnicamente inexacto— que se analice la variación del valor de una tenencia de Bitcoin expresada en pesos argentinos descomponiéndola en un «efecto precio» (la variación de la cotización de Bitcoin expresada en dólares) y un «efecto tipo de cambio» (la variación del tipo de cambio entre el dólar y el peso), como si se tratara de dos fenómenos autónomos y separables a los fines contables. Bajo la NIC 21, sin embargo, no existe tal descomposición formal a los fines del registro contable bajo el modelo de costo: dado que Bitcoin es una partida no monetaria medida a costo histórico, el único fenómeno contablemente relevante con posterioridad al reconocimiento inicial es la eventual pérdida por deterioro determinada, según se desarrolló en el Capítulo 16, por comparación entre el importe en libros (fijado en moneda funcional al tipo de cambio de la fecha de adquisición) y el importe recuperable (determinado por referencia al valor razonable de Bitcoin a la fecha de cierre, convertido a moneda funcional al tipo de cambio de esa misma fecha de cierre). La variación del tipo de cambio incide, en consecuencia, en el importe recuperable a los fines de la prueba de deterioro, pero no genera una diferencia de cambio autónoma y separadamente identificable en los términos tradicionales de la NIC 21.</w:t>
      </w:r>
    </w:p>
    <w:p>
      <w:pPr>
        <w:pStyle w:val="Heading2"/>
        <w:spacing w:after="180" w:before="360"/>
      </w:pPr>
      <w:r>
        <w:rPr>
          <w:rFonts w:ascii="Garamond" w:cs="Garamond" w:eastAsia="Garamond" w:hAnsi="Garamond"/>
          <w:b/>
          <w:bCs/>
          <w:color w:val="10233F"/>
          <w:sz w:val="28"/>
          <w:szCs w:val="28"/>
        </w:rPr>
        <w:t xml:space="preserve">19.4. La cuestión de la determinación del tipo de cambio aplicable en el contexto argentino</w:t>
      </w:r>
    </w:p>
    <w:p>
      <w:pPr>
        <w:spacing w:after="160" w:line="300"/>
        <w:jc w:val="both"/>
      </w:pPr>
      <w:r>
        <w:rPr>
          <w:rFonts w:ascii="Garamond" w:cs="Garamond" w:eastAsia="Garamond" w:hAnsi="Garamond"/>
          <w:sz w:val="24"/>
          <w:szCs w:val="24"/>
        </w:rPr>
        <w:t xml:space="preserve">La determinación del tipo de cambio aplicable a los fines de la conversión desarrollada en las secciones precedentes plantea, en el contexto argentino, una complejidad adicional derivada de la coexistencia histórica de múltiples tipos de cambio —oficial, contado con liquidación, y en determinados períodos, el denominado «dólar blue» del mercado informal—, complejidad que el párrafo 26 de la NIC 21 aborda mediante el criterio general de que, cuando existan varios tipos de cambio disponibles, se utilizará aquel al cual se podrían haber liquidado en la fecha de la transacción los flujos de efectivo futuros representados por la operación o saldo en cuestión.</w:t>
      </w:r>
    </w:p>
    <w:p>
      <w:pPr>
        <w:spacing w:after="160" w:line="300"/>
        <w:jc w:val="both"/>
      </w:pPr>
      <w:r>
        <w:rPr>
          <w:rFonts w:ascii="Garamond" w:cs="Garamond" w:eastAsia="Garamond" w:hAnsi="Garamond"/>
          <w:sz w:val="24"/>
          <w:szCs w:val="24"/>
        </w:rPr>
        <w:t xml:space="preserve">La aplicación de este criterio a una transacción de adquisición de Bitcoin exige, en el contexto argentino, un análisis específico de las circunstancias particulares de cada entidad: si la entidad adquirió Bitcoin mediante el giro de divisas obtenidas a través del mercado único y libre de cambios sujeto a la normativa cambiaria vigente del Banco Central de la República Argentina, correspondería, en principio, la utilización del tipo de cambio oficial vigente a la fecha de la transacción; si, en cambio, la adquisición se realizó mediante mecanismos alternativos de acceso a divisas —como el mecanismo de contado con liquidación, en la medida en que resulte lícito y accesible para la operación específica de que se trate—, correspondería la utilización del tipo de cambio correspondiente a ese mecanismo alternativo. Esta determinación, de significativa relevancia práctica y de necesaria actualización permanente dada la volatilidad del régimen cambiario argentino, exige el ejercicio de un juicio profesional cuidadoso por parte del contador, en consulta con la normativa cambiaria vigente a la fecha de cada transacción específica.</w:t>
      </w:r>
    </w:p>
    <w:p>
      <w:pPr>
        <w:pStyle w:val="Heading2"/>
        <w:spacing w:after="180" w:before="360"/>
      </w:pPr>
      <w:r>
        <w:rPr>
          <w:rFonts w:ascii="Garamond" w:cs="Garamond" w:eastAsia="Garamond" w:hAnsi="Garamond"/>
          <w:b/>
          <w:bCs/>
          <w:color w:val="10233F"/>
          <w:sz w:val="28"/>
          <w:szCs w:val="28"/>
        </w:rPr>
        <w:t xml:space="preserve">19.5. Interacción con la NIC 29: ajuste por inflación en economías hiperinflacionarias</w:t>
      </w:r>
    </w:p>
    <w:p>
      <w:pPr>
        <w:spacing w:after="160" w:line="300"/>
        <w:jc w:val="both"/>
      </w:pPr>
      <w:r>
        <w:rPr>
          <w:rFonts w:ascii="Garamond" w:cs="Garamond" w:eastAsia="Garamond" w:hAnsi="Garamond"/>
          <w:sz w:val="24"/>
          <w:szCs w:val="24"/>
        </w:rPr>
        <w:t xml:space="preserve">Corresponde, finalmente, señalar la interacción entre el tratamiento desarrollado en este capítulo y la Norma Internacional de Contabilidad (NIC) 29, Información Financiera en Economías Hiperinflacionarias, cuya aplicación ha resultado obligatoria para las entidades argentinas que preparan estados contables bajo NIIF desde el ejercicio 2018, en virtud de la calificación de la economía argentina como hiperinflacionaria en los términos de los indicadores cualitativos y cuantitativos que la propia norma establece. Bajo el régimen de la NIC 29, los estados contables de una entidad argentina deben reexpresarse en términos de la unidad de medida corriente a la fecha de cierre del período sobre el que se informa, mediante la aplicación de un índice de precios general representativo (típicamente el Índice de Precios al Consumidor publicado por el Instituto Nacional de Estadística y Censos).</w:t>
      </w:r>
    </w:p>
    <w:p>
      <w:pPr>
        <w:spacing w:after="160" w:line="300"/>
        <w:jc w:val="both"/>
      </w:pPr>
      <w:r>
        <w:rPr>
          <w:rFonts w:ascii="Garamond" w:cs="Garamond" w:eastAsia="Garamond" w:hAnsi="Garamond"/>
          <w:sz w:val="24"/>
          <w:szCs w:val="24"/>
        </w:rPr>
        <w:t xml:space="preserve">La interacción entre este régimen de reexpresión por inflación y el tratamiento de Bitcoin como partida no monetaria bajo la NIC 21 exige una precisión conceptual adicional: el párrafo 11 de la NIC 29 clasifica, a los fines específicos de esa norma, a los activos no monetarios —categoría en la que, como se estableció en la sección 19.2 de este capítulo, se encuadra Bitcoin— como partidas que sí deben reexpresarse mediante la aplicación del índice de precios general, a diferencia de las partidas monetarias, que por su propia naturaleza ya se encuentran expresadas en la unidad de medida corriente a la fecha de cierre y no requieren reexpresión. En consecuencia, una tenencia de Bitcoin en los estados contables de una entidad argentina que aplique la NIC 29 debe reexpresarse por la aplicación del coeficiente de reexpresión correspondiente al período transcurrido desde la fecha de adquisición hasta la fecha de cierre, con el consiguiente reconocimiento del resultado por exposición a la inflación (RECPAM) que esa reexpresión genera, cuestión que se desarrollará con el detalle de exposición contable correspondiente en el Capítulo 25 de esta obra.</w:t>
      </w:r>
    </w:p>
    <w:p>
      <w:pPr>
        <w:pStyle w:val="Heading2"/>
        <w:spacing w:after="180" w:before="360"/>
      </w:pPr>
      <w:r>
        <w:rPr>
          <w:rFonts w:ascii="Garamond" w:cs="Garamond" w:eastAsia="Garamond" w:hAnsi="Garamond"/>
          <w:b/>
          <w:bCs/>
          <w:color w:val="10233F"/>
          <w:sz w:val="28"/>
          <w:szCs w:val="28"/>
        </w:rPr>
        <w:t xml:space="preserve">19.6. Síntesis del capítulo</w:t>
      </w:r>
    </w:p>
    <w:p>
      <w:pPr>
        <w:spacing w:after="160" w:line="300"/>
        <w:jc w:val="both"/>
      </w:pPr>
      <w:r>
        <w:rPr>
          <w:rFonts w:ascii="Garamond" w:cs="Garamond" w:eastAsia="Garamond" w:hAnsi="Garamond"/>
          <w:sz w:val="24"/>
          <w:szCs w:val="24"/>
        </w:rPr>
        <w:t xml:space="preserve">Este capítulo estableció, como conclusión central, que Bitcoin se califica como partida no monetaria bajo la NIC 21, en consecuencia directa de su calificación como activo intangible bajo NIC 38, lo cual determina que su conversión a moneda funcional se realice al tipo de cambio de la fecha de la transacción de adquisición, sin reconversión posterior al tipo de cambio de cierre, y sin generación de diferencias de cambio autónomas en el sentido tradicional de la norma. Se desarrolló, asimismo, la complejidad práctica adicional que la coexistencia de múltiples tipos de cambio plantea en el contexto argentino, y la interacción de este tratamiento con el régimen de reexpresión por inflación de la NIC 29, de aplicación obligatoria para las entidades argentinas desde 2018. Con este capítulo se completa el desarrollo de las normas de medición y reconocimiento general de la Parte III de esta obra. El Capítulo 20 avanza hacia el desarrollo de la NIC 7, Estado de Flujos de Efectivo, norma que aborda la exposición de las transacciones en Bitcoin dentro de ese estado contable específico, completando así el análisis normativo específico de las NIIF individuales antes de abordar, en el Capítulo 21, la Decisión de Agenda del IFRS Interpretations Committee que consolida y sintetiza la totalidad del análisis desarrollado en esta Parte III.</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19</w:t>
      </w:r>
    </w:p>
    <w:p>
      <w:pPr>
        <w:spacing w:after="160"/>
        <w:ind w:left="480" w:hanging="480"/>
        <w:jc w:val="both"/>
      </w:pPr>
      <w:r>
        <w:rPr>
          <w:rFonts w:ascii="Garamond" w:cs="Garamond" w:eastAsia="Garamond" w:hAnsi="Garamond"/>
          <w:sz w:val="22"/>
          <w:szCs w:val="22"/>
        </w:rPr>
        <w:t xml:space="preserve">Banco Central de la República Argentina. (2024). Texto ordenado de las normas sobre exterior y cambios.</w:t>
      </w:r>
    </w:p>
    <w:p>
      <w:pPr>
        <w:spacing w:after="160"/>
        <w:ind w:left="480" w:hanging="480"/>
        <w:jc w:val="both"/>
      </w:pPr>
      <w:r>
        <w:rPr>
          <w:rFonts w:ascii="Garamond" w:cs="Garamond" w:eastAsia="Garamond" w:hAnsi="Garamond"/>
          <w:sz w:val="22"/>
          <w:szCs w:val="22"/>
        </w:rPr>
        <w:t xml:space="preserve">International Accounting Standards Board. (1989). NIC 29: Información financiera en economías hiperinflacionarias. IFRS Foundation.</w:t>
      </w:r>
    </w:p>
    <w:p>
      <w:pPr>
        <w:spacing w:after="160"/>
        <w:ind w:left="480" w:hanging="480"/>
        <w:jc w:val="both"/>
      </w:pPr>
      <w:r>
        <w:rPr>
          <w:rFonts w:ascii="Garamond" w:cs="Garamond" w:eastAsia="Garamond" w:hAnsi="Garamond"/>
          <w:sz w:val="22"/>
          <w:szCs w:val="22"/>
        </w:rPr>
        <w:t xml:space="preserve">International Accounting Standards Board. (1993). NIC 21: Efectos de las variaciones en las tasas de cambio de la moneda extranjera.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20</w:t>
      </w:r>
    </w:p>
    <w:p>
      <w:pPr>
        <w:spacing w:after="400"/>
      </w:pPr>
      <w:r>
        <w:rPr>
          <w:rFonts w:ascii="Garamond" w:cs="Garamond" w:eastAsia="Garamond" w:hAnsi="Garamond"/>
          <w:b/>
          <w:bCs/>
          <w:color w:val="9C7A2E"/>
          <w:sz w:val="40"/>
          <w:szCs w:val="40"/>
        </w:rPr>
        <w:t xml:space="preserve">NIC 7 – Estado de flujos de efectivo</w:t>
      </w:r>
    </w:p>
    <w:p>
      <w:pPr>
        <w:pStyle w:val="Heading2"/>
        <w:spacing w:after="180" w:before="360"/>
      </w:pPr>
      <w:r>
        <w:rPr>
          <w:rFonts w:ascii="Garamond" w:cs="Garamond" w:eastAsia="Garamond" w:hAnsi="Garamond"/>
          <w:b/>
          <w:bCs/>
          <w:color w:val="10233F"/>
          <w:sz w:val="28"/>
          <w:szCs w:val="28"/>
        </w:rPr>
        <w:t xml:space="preserve">20.1. Introducción: la exposición de las transacciones en Bitcoin en el estado de flujos de efectivo</w:t>
      </w:r>
    </w:p>
    <w:p>
      <w:pPr>
        <w:spacing w:after="160" w:line="300"/>
        <w:jc w:val="both"/>
      </w:pPr>
      <w:r>
        <w:rPr>
          <w:rFonts w:ascii="Garamond" w:cs="Garamond" w:eastAsia="Garamond" w:hAnsi="Garamond"/>
          <w:sz w:val="24"/>
          <w:szCs w:val="24"/>
        </w:rPr>
        <w:t xml:space="preserve">El desarrollo normativo de esta Parte III se ha concentrado, hasta este capítulo, en el reconocimiento y la medición de Bitcoin en el estado de situación patrimonial y en el estado de resultados. Este capítulo completa ese desarrollo abordando la Norma Internacional de Contabilidad (NIC) 7, Estado de Flujos de Efectivo, y la cuestión específica de cómo deben clasificarse y exponerse, dentro de ese estado contable, las transacciones de compra y venta de Bitcoin, cuestión que —según se desarrollará en este capítulo— presenta una particularidad conceptual directamente derivada de la conclusión central del Capítulo 19: precisamente porque Bitcoin no constituye efectivo ni equivalente de efectivo, según la propia Decisión de Agenda del IFRS Interpretations Committee de 2019 que se analizará en el Capítulo 21, las transacciones en Bitcoin no pueden tratarse, a los fines de la NIC 7, como meras transferencias entre partidas de efectivo, sino que exigen su clasificación dentro de alguna de las tres categorías de actividades que estructuran ese estado contable.</w:t>
      </w:r>
    </w:p>
    <w:p>
      <w:pPr>
        <w:pStyle w:val="Heading2"/>
        <w:spacing w:after="180" w:before="360"/>
      </w:pPr>
      <w:r>
        <w:rPr>
          <w:rFonts w:ascii="Garamond" w:cs="Garamond" w:eastAsia="Garamond" w:hAnsi="Garamond"/>
          <w:b/>
          <w:bCs/>
          <w:color w:val="10233F"/>
          <w:sz w:val="28"/>
          <w:szCs w:val="28"/>
        </w:rPr>
        <w:t xml:space="preserve">20.2. Por qué Bitcoin no constituye efectivo ni equivalente de efectivo</w:t>
      </w:r>
    </w:p>
    <w:p>
      <w:pPr>
        <w:spacing w:after="160" w:line="300"/>
        <w:jc w:val="both"/>
      </w:pPr>
      <w:r>
        <w:rPr>
          <w:rFonts w:ascii="Garamond" w:cs="Garamond" w:eastAsia="Garamond" w:hAnsi="Garamond"/>
          <w:sz w:val="24"/>
          <w:szCs w:val="24"/>
        </w:rPr>
        <w:t xml:space="preserve">El párrafo 6 de la NIC 7 define al efectivo como el efectivo disponible y los depósitos a la vista, y a los equivalentes de efectivo como las inversiones a corto plazo de alta liquidez, que son fácilmente convertibles en importes determinados de efectivo, estando sujetos a un riesgo insignificante de cambios en su valor. Este segundo elemento del párrafo 6 —la exigencia de un riesgo insignificante de cambios de valor— es el que determina, de manera concluyente y sin necesidad de mayor análisis adicional, la exclusión de Bitcoin de la categoría de equivalentes de efectivo: la volatilidad de precio característica de Bitcoin, documentada extensamente a lo largo de esta obra y que constituye, precisamente, uno de los fundamentos centrales que la propia Decisión de Agenda del IFRS Interpretations Committee de 2019 invoca para excluir a las criptomonedas de la definición de efectivo, resulta manifiestamente incompatible con el estándar de «riesgo insignificante» que el párrafo 6 de la NIC 7 exige para la calificación como equivalente de efectivo, con independencia de la elevada liquidez de mercado que sí caracteriza a Bitcoin en los términos desarrollados en el Capítulo 17 al tratar la NIIF 13.</w:t>
      </w:r>
    </w:p>
    <w:p>
      <w:pPr>
        <w:spacing w:after="160" w:line="300"/>
        <w:jc w:val="both"/>
      </w:pPr>
      <w:r>
        <w:rPr>
          <w:rFonts w:ascii="Garamond" w:cs="Garamond" w:eastAsia="Garamond" w:hAnsi="Garamond"/>
          <w:sz w:val="24"/>
          <w:szCs w:val="24"/>
        </w:rPr>
        <w:t xml:space="preserve">Esta distinción entre liquidez de mercado —la facilidad para convertir un activo en efectivo sin afectar significativamente su precio— y estabilidad de valor —la ausencia de riesgo significativo de cambios de valor— resulta conceptualmente crucial y merece ser destacada con claridad: Bitcoin satisface holgadamente el primer atributo, pero no satisface, en absoluto, el segundo, y es precisamente este segundo atributo el que la definición de equivalente de efectivo de la NIC 7 exige de manera determinante.</w:t>
      </w:r>
    </w:p>
    <w:p>
      <w:pPr>
        <w:pStyle w:val="Heading2"/>
        <w:spacing w:after="180" w:before="360"/>
      </w:pPr>
      <w:r>
        <w:rPr>
          <w:rFonts w:ascii="Garamond" w:cs="Garamond" w:eastAsia="Garamond" w:hAnsi="Garamond"/>
          <w:b/>
          <w:bCs/>
          <w:color w:val="10233F"/>
          <w:sz w:val="28"/>
          <w:szCs w:val="28"/>
        </w:rPr>
        <w:t xml:space="preserve">20.3. Clasificación de las transacciones en Bitcoin: actividades de operación, de inversión o de financiación</w:t>
      </w:r>
    </w:p>
    <w:p>
      <w:pPr>
        <w:spacing w:after="160" w:line="300"/>
        <w:jc w:val="both"/>
      </w:pPr>
      <w:r>
        <w:rPr>
          <w:rFonts w:ascii="Garamond" w:cs="Garamond" w:eastAsia="Garamond" w:hAnsi="Garamond"/>
          <w:sz w:val="24"/>
          <w:szCs w:val="24"/>
        </w:rPr>
        <w:t xml:space="preserve">El párrafo 10 de la NIC 7 exige que el estado de flujos de efectivo informe los flujos de efectivo del período clasificados en actividades de operación, actividades de inversión y actividades de financiación. La clasificación de las transacciones de compra y venta de Bitcoin dentro de esta estructura tripartita depende, de manera directa y consistente con el desarrollo realizado en el Capítulo 15 de esta obra, del propósito y el modelo de negocio con el cual la entidad mantiene su tenencia de Bitcoin.</w:t>
      </w:r>
    </w:p>
    <w:p>
      <w:pPr>
        <w:spacing w:after="160" w:line="300"/>
        <w:jc w:val="both"/>
      </w:pPr>
      <w:r>
        <w:rPr>
          <w:rFonts w:ascii="Garamond" w:cs="Garamond" w:eastAsia="Garamond" w:hAnsi="Garamond"/>
          <w:sz w:val="24"/>
          <w:szCs w:val="24"/>
        </w:rPr>
        <w:t xml:space="preserve">Para una entidad cuya actividad ordinaria consiste en la comercialización de Bitcoin —los traders y comercializadores desarrollados en el Capítulo 15, cuyas tenencias se clasifican como existencias bajo NIC 2—, los flujos de efectivo derivados de la compra y venta de Bitcoin se clasifican, de manera consistente con el párrafo 14 de la NIC 7, como actividades de operación, en tanto derivan de las principales actividades productoras de ingresos de la entidad. Para una entidad que mantiene Bitcoin como reserva de valor de largo plazo —el supuesto de MicroStrategy desarrollado en el Capítulo 2, cuyas tenencias se clasifican como activo intangible bajo NIC 38—, los flujos de efectivo derivados de la compra y venta de Bitcoin se clasifican, en cambio, como actividades de inversión, en los términos del párrafo 16 de la NIC 7, que incluye expresamente entre los ejemplos de actividades de inversión a los pagos y cobros derivados de la adquisición y la disposición de activos a largo plazo distintos del efectivo.</w:t>
      </w:r>
    </w:p>
    <w:p>
      <w:pPr>
        <w:spacing w:after="160" w:line="300"/>
        <w:jc w:val="both"/>
      </w:pPr>
      <w:r>
        <w:rPr>
          <w:rFonts w:ascii="Garamond" w:cs="Garamond" w:eastAsia="Garamond" w:hAnsi="Garamond"/>
          <w:sz w:val="24"/>
          <w:szCs w:val="24"/>
        </w:rPr>
        <w:t xml:space="preserve">Esta clasificación diferenciada —operación para comercializadores, inversión para tenedores de largo plazo— reproduce, en el ámbito específico del estado de flujos de efectivo, la misma lógica de clasificación basada en el propósito de tenencia que estructura la distinción entre NIC 2 y NIC 38 desarrollada en el Capítulo 15, garantizando la coherencia sistémica entre los distintos estados contables que integran un mismo juego de estados financieros.</w:t>
      </w:r>
    </w:p>
    <w:p>
      <w:pPr>
        <w:pStyle w:val="Heading2"/>
        <w:spacing w:after="180" w:before="360"/>
      </w:pPr>
      <w:r>
        <w:rPr>
          <w:rFonts w:ascii="Garamond" w:cs="Garamond" w:eastAsia="Garamond" w:hAnsi="Garamond"/>
          <w:b/>
          <w:bCs/>
          <w:color w:val="10233F"/>
          <w:sz w:val="28"/>
          <w:szCs w:val="28"/>
        </w:rPr>
        <w:t xml:space="preserve">20.4. Los bitcoins obtenidos como recompensa de minería en el estado de flujos de efectivo</w:t>
      </w:r>
    </w:p>
    <w:p>
      <w:pPr>
        <w:spacing w:after="160" w:line="300"/>
        <w:jc w:val="both"/>
      </w:pPr>
      <w:r>
        <w:rPr>
          <w:rFonts w:ascii="Garamond" w:cs="Garamond" w:eastAsia="Garamond" w:hAnsi="Garamond"/>
          <w:sz w:val="24"/>
          <w:szCs w:val="24"/>
        </w:rPr>
        <w:t xml:space="preserve">Un supuesto de particular complejidad para la exposición en el estado de flujos de efectivo es el de los bitcoins obtenidos como recompensa de minería, desarrollado desde la perspectiva del reconocimiento contable en el Capítulo 12 de esta obra. En la medida en que la obtención de esos bitcoins no involucra, en el momento de su recepción, un desembolso de efectivo por parte de la entidad minera —a diferencia de una compra directa—, esa recepción no genera, por sí misma, un flujo de efectivo que deba exponerse en el estado de flujos de efectivo, sino que constituye, en los términos del párrafo 43 de la NIC 7, una transacción de inversión o de financiación que no requiere el uso de efectivo o equivalentes al efectivo, y que, en consecuencia, debe excluirse del estado de flujos de efectivo, revelándose en cambio en las notas a los estados contables, de manera que suministre toda la información relevante acerca de esas actividades, según exige el párrafo 44 de la propia norma.</w:t>
      </w:r>
    </w:p>
    <w:p>
      <w:pPr>
        <w:spacing w:after="160" w:line="300"/>
        <w:jc w:val="both"/>
      </w:pPr>
      <w:r>
        <w:rPr>
          <w:rFonts w:ascii="Garamond" w:cs="Garamond" w:eastAsia="Garamond" w:hAnsi="Garamond"/>
          <w:sz w:val="24"/>
          <w:szCs w:val="24"/>
        </w:rPr>
        <w:t xml:space="preserve">La consecuencia práctica de esta clasificación es que, en el caso de una entidad minera que retiene los bitcoins obtenidos como recompensa —según la estrategia de retención de largo plazo desarrollada en el Capítulo 15—, el estado de flujos de efectivo del período no reflejará el ingreso económico que la actividad de minería genera, a diferencia del estado de resultados, en el que ese ingreso sí se reconoce a valor razonable conforme al criterio desarrollado en el Capítulo 12, generando una divergencia entre el resultado del ejercicio y el flujo de efectivo generado por las actividades de operación que exige una nota explicativa específica, cuestión que se retomará al tratar las notas a los estados contables en el Capítulo 25.</w:t>
      </w:r>
    </w:p>
    <w:p>
      <w:pPr>
        <w:pStyle w:val="Heading2"/>
        <w:spacing w:after="180" w:before="360"/>
      </w:pPr>
      <w:r>
        <w:rPr>
          <w:rFonts w:ascii="Garamond" w:cs="Garamond" w:eastAsia="Garamond" w:hAnsi="Garamond"/>
          <w:b/>
          <w:bCs/>
          <w:color w:val="10233F"/>
          <w:sz w:val="28"/>
          <w:szCs w:val="28"/>
        </w:rPr>
        <w:t xml:space="preserve">20.5. Método directo e indirecto: consideraciones para la actividad de minería</w:t>
      </w:r>
    </w:p>
    <w:p>
      <w:pPr>
        <w:spacing w:after="160" w:line="300"/>
        <w:jc w:val="both"/>
      </w:pPr>
      <w:r>
        <w:rPr>
          <w:rFonts w:ascii="Garamond" w:cs="Garamond" w:eastAsia="Garamond" w:hAnsi="Garamond"/>
          <w:sz w:val="24"/>
          <w:szCs w:val="24"/>
        </w:rPr>
        <w:t xml:space="preserve">El párrafo 18 de la NIC 7 permite a las entidades optar, para la presentación de los flujos de efectivo de las actividades de operación, entre el método directo —que expone las principales categorías de cobros y pagos brutos— y el método indirecto —que parte del resultado del ejercicio y lo ajusta por los efectos de las transacciones no monetarias, entre las cuales se cuenta, precisamente, el ingreso reconocido por la recompensa de minería no realizada en efectivo desarrollada en la sección anterior—.</w:t>
      </w:r>
    </w:p>
    <w:p>
      <w:pPr>
        <w:spacing w:after="160" w:line="300"/>
        <w:jc w:val="both"/>
      </w:pPr>
      <w:r>
        <w:rPr>
          <w:rFonts w:ascii="Garamond" w:cs="Garamond" w:eastAsia="Garamond" w:hAnsi="Garamond"/>
          <w:sz w:val="24"/>
          <w:szCs w:val="24"/>
        </w:rPr>
        <w:t xml:space="preserve">Para una entidad minera que retiene una porción significativa de su producción de Bitcoin, el método indirecto exige, de manera específica, la eliminación del ingreso por recompensa de minería reconocido en el resultado del ejercicio —en la medida en que ese ingreso no generó un flujo de efectivo correspondiente durante el período—, ajuste que debe complementarse, en su caso, con la exposición separada de los flujos de efectivo efectivamente generados por la porción de la producción que sí fue vendida durante el período, conforme al criterio de clasificación por actividad de operación desarrollado en la sección 20.3 de este capítulo para los comercializadores. Esta mecánica de conciliación, aunque de aparente complejidad técnica, resulta, en la práctica profesional, plenamente análoga a la que ya emplean numerosas industrias extractivas tradicionales para exponer en su estado de flujos de efectivo la producción de bienes primarios que no se vende inmediatamente, sino que se incorpora a inventario o se retiene como reserva estratégica.</w:t>
      </w:r>
    </w:p>
    <w:p>
      <w:pPr>
        <w:pStyle w:val="Heading2"/>
        <w:spacing w:after="180" w:before="360"/>
      </w:pPr>
      <w:r>
        <w:rPr>
          <w:rFonts w:ascii="Garamond" w:cs="Garamond" w:eastAsia="Garamond" w:hAnsi="Garamond"/>
          <w:b/>
          <w:bCs/>
          <w:color w:val="10233F"/>
          <w:sz w:val="28"/>
          <w:szCs w:val="28"/>
        </w:rPr>
        <w:t xml:space="preserve">20.6. Síntesis del capítulo</w:t>
      </w:r>
    </w:p>
    <w:p>
      <w:pPr>
        <w:spacing w:after="160" w:line="300"/>
        <w:jc w:val="both"/>
      </w:pPr>
      <w:r>
        <w:rPr>
          <w:rFonts w:ascii="Garamond" w:cs="Garamond" w:eastAsia="Garamond" w:hAnsi="Garamond"/>
          <w:sz w:val="24"/>
          <w:szCs w:val="24"/>
        </w:rPr>
        <w:t xml:space="preserve">Este capítulo desarrolló la exposición de las transacciones en Bitcoin dentro del estado de flujos de efectivo bajo la NIC 7, estableciendo, como conclusión central, que Bitcoin no satisface la definición de equivalente de efectivo en virtud de la volatilidad de su valor, con independencia de su elevada liquidez de mercado, distinción conceptual de particular relevancia práctica. Se desarrolló, asimismo, la clasificación diferenciada de los flujos de efectivo por compra y venta de Bitcoin como actividades de operación (para comercializadores) o de inversión (para tenedores de largo plazo), en consistencia con la distinción entre NIC 2 y NIC 38 desarrollada en el Capítulo 15, y el tratamiento específico de los bitcoins obtenidos como recompensa de minería, que se excluyen del estado de flujos de efectivo por no involucrar desembolso o cobro de efectivo, exigiendo su revelación en nota y su ajuste bajo el método indirecto. Con este capítulo se completa el análisis pormenorizado de las normas específicas de las NIIF que integran la Parte III de esta obra. El Capítulo 21 cierra esta Parte III con el análisis exhaustivo de la Decisión de Agenda del IFRS Interpretations Committee de 2019, que sintetiza y consolida, en un único documento de referencia obligada, la totalidad del análisis normativo desarrollado a lo largo de los Capítulos 14 a 20 de esta obra.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20</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(1992). NIC 7: Estado de flujos de efectivo.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21</w:t>
      </w:r>
    </w:p>
    <w:p>
      <w:pPr>
        <w:spacing w:after="400"/>
      </w:pPr>
      <w:r>
        <w:rPr>
          <w:rFonts w:ascii="Garamond" w:cs="Garamond" w:eastAsia="Garamond" w:hAnsi="Garamond"/>
          <w:b/>
          <w:bCs/>
          <w:color w:val="9C7A2E"/>
          <w:sz w:val="40"/>
          <w:szCs w:val="40"/>
        </w:rPr>
        <w:t xml:space="preserve">La Decisión de Agenda del IFRS IC (2019): análisis exhaustivo</w:t>
      </w:r>
    </w:p>
    <w:p>
      <w:pPr>
        <w:pStyle w:val="Heading2"/>
        <w:spacing w:after="180" w:before="360"/>
      </w:pPr>
      <w:r>
        <w:rPr>
          <w:rFonts w:ascii="Garamond" w:cs="Garamond" w:eastAsia="Garamond" w:hAnsi="Garamond"/>
          <w:b/>
          <w:bCs/>
          <w:color w:val="10233F"/>
          <w:sz w:val="28"/>
          <w:szCs w:val="28"/>
        </w:rPr>
        <w:t xml:space="preserve">21.1. Introducción: naturaleza y valor normativo de una decisión de agenda</w:t>
      </w:r>
    </w:p>
    <w:p>
      <w:pPr>
        <w:spacing w:after="160" w:line="300"/>
        <w:jc w:val="both"/>
      </w:pPr>
      <w:r>
        <w:rPr>
          <w:rFonts w:ascii="Garamond" w:cs="Garamond" w:eastAsia="Garamond" w:hAnsi="Garamond"/>
          <w:sz w:val="24"/>
          <w:szCs w:val="24"/>
        </w:rPr>
        <w:t xml:space="preserve">Los capítulos precedentes de esta Parte III han hecho referencia constante y estructurante a un único documento: la Decisión de Agenda sobre Tenencia de Criptomonedas (Holdings of Cryptocurrencies), publicada por el IFRS Interpretations Committee en junio de 2019. Este capítulo cierra la Parte III de la obra con el análisis exhaustivo y sistemático de ese documento, que constituye, sin exageración alguna, la fuente normativa individual de mayor autoridad e influencia sobre el tratamiento contable de Bitcoin bajo las NIIF en el mundo entero, y cuya comprensión cabal resulta indispensable para cualquier profesional que deba fundamentar técnicamente una posición contable sobre criptoactivos.</w:t>
      </w:r>
    </w:p>
    <w:p>
      <w:pPr>
        <w:spacing w:after="160" w:line="300"/>
        <w:jc w:val="both"/>
      </w:pPr>
      <w:r>
        <w:rPr>
          <w:rFonts w:ascii="Garamond" w:cs="Garamond" w:eastAsia="Garamond" w:hAnsi="Garamond"/>
          <w:sz w:val="24"/>
          <w:szCs w:val="24"/>
        </w:rPr>
        <w:t xml:space="preserve">Corresponde, antes de desarrollar el contenido sustantivo del documento, precisar su naturaleza jurídico-normativa, cuestión que con frecuencia genera confusión en la práctica profesional. Una decisión de agenda no constituye una Norma Internacional de Información Financiera, ni un pronunciamiento de interpretación formal emitido conforme al debido proceso que rige la emisión de una Interpretación CINIIF (Comité de Interpretaciones de las Normas Internacionales de Información Financiera). Se trata, en cambio, de la explicación que el IFRS Interpretations Committee publica cuando decide no añadir un asunto determinado a su agenda de proyectos activos, fundamentando esa decisión en que las NIIF existentes ya proporcionan una base adecuada para que una entidad determine el tratamiento contable correspondiente.</w:t>
      </w:r>
    </w:p>
    <w:p>
      <w:pPr>
        <w:spacing w:after="160" w:line="300"/>
        <w:jc w:val="both"/>
      </w:pPr>
      <w:r>
        <w:rPr>
          <w:rFonts w:ascii="Garamond" w:cs="Garamond" w:eastAsia="Garamond" w:hAnsi="Garamond"/>
          <w:sz w:val="24"/>
          <w:szCs w:val="24"/>
        </w:rPr>
        <w:t xml:space="preserve">Sin perjuicio de esa naturaleza formalmente no vinculante, el propio IASB ha señalado, en pronunciamientos posteriores sobre el valor de las decisiones de agenda en general, que estas reflejan la aplicación de las NIIF existentes y que, en consecuencia, las entidades deberían tener en cuenta la explicación proporcionada en una decisión de agenda al determinar su política contable, otorgándoles, en la práctica profesional y en la posición consolidada de las firmas de auditoría de alcance internacional, una autoridad persuasiva sustancialmente equivalente a la de una interpretación formal, circunstancia que explica por qué esta obra ha estructurado su desarrollo normativo tomando a este documento como referencia consolidante y de cierre de todo el análisis de la Parte III.</w:t>
      </w:r>
    </w:p>
    <w:p>
      <w:pPr>
        <w:pStyle w:val="Heading2"/>
        <w:spacing w:after="180" w:before="360"/>
      </w:pPr>
      <w:r>
        <w:rPr>
          <w:rFonts w:ascii="Garamond" w:cs="Garamond" w:eastAsia="Garamond" w:hAnsi="Garamond"/>
          <w:b/>
          <w:bCs/>
          <w:color w:val="10233F"/>
          <w:sz w:val="28"/>
          <w:szCs w:val="28"/>
        </w:rPr>
        <w:t xml:space="preserve">21.2. El alcance del documento: la definición de «criptomoneda» empleada</w:t>
      </w:r>
    </w:p>
    <w:p>
      <w:pPr>
        <w:spacing w:after="160" w:line="300"/>
        <w:jc w:val="both"/>
      </w:pPr>
      <w:r>
        <w:rPr>
          <w:rFonts w:ascii="Garamond" w:cs="Garamond" w:eastAsia="Garamond" w:hAnsi="Garamond"/>
          <w:sz w:val="24"/>
          <w:szCs w:val="24"/>
        </w:rPr>
        <w:t xml:space="preserve">Un aspecto de la Decisión de Agenda que merece particular atención, y que ya fue anticipado al tratar la distinción entre Bitcoin y otros criptoactivos en el Capítulo 9, es que el documento no pretende ni logra abarcar la totalidad del universo heterogéneo de criptoactivos, sino que circunscribe expresamente su análisis a lo que denomina «una subclase de activos digitales conocida como criptomoneda», delimitando ese concepto mediante un conjunto específico de características que el propio documento enumera: un activo digital basado en criptografía y tecnología de libro mayor distribuido, como una cadena de bloques; que no es emitido por una jurisdicción ni por otra parte; que no da lugar a un contrato entre el tenedor y otra parte; y del cual existen ejemplos de mercado, entre los que el documento menciona expresamente a Bitcoin y a Litecoin.</w:t>
      </w:r>
    </w:p>
    <w:p>
      <w:pPr>
        <w:spacing w:after="160" w:line="300"/>
        <w:jc w:val="both"/>
      </w:pPr>
      <w:r>
        <w:rPr>
          <w:rFonts w:ascii="Garamond" w:cs="Garamond" w:eastAsia="Garamond" w:hAnsi="Garamond"/>
          <w:sz w:val="24"/>
          <w:szCs w:val="24"/>
        </w:rPr>
        <w:t xml:space="preserve">Esta delimitación de alcance —que, como se desarrolló extensamente en el Capítulo 9 de esta obra, excluye de manera expresa e inequívoca a las stablecoins con emisor identificado, a los tokens que representan derechos contractuales sobre un tercero, y a la generalidad de los tokens emitidos en el contexto de protocolos DeFi o de organizaciones autónomas descentralizadas— es la que fundamenta la insistencia reiterada de esta obra en que las conclusiones desarrolladas en los Capítulos 14 a 20 resultan aplicables específicamente a Bitcoin, y no deben extenderse automáticamente, por mera analogía terminológica, a la generalidad de los criptoactivos, cuyo tratamiento contable exige, en cada caso, la verificación previa y específica de que el activo en cuestión satisface efectivamente las características que la propia Decisión de Agenda enumera.</w:t>
      </w:r>
    </w:p>
    <w:p>
      <w:pPr>
        <w:pStyle w:val="Heading2"/>
        <w:spacing w:after="180" w:before="360"/>
      </w:pPr>
      <w:r>
        <w:rPr>
          <w:rFonts w:ascii="Garamond" w:cs="Garamond" w:eastAsia="Garamond" w:hAnsi="Garamond"/>
          <w:b/>
          <w:bCs/>
          <w:color w:val="10233F"/>
          <w:sz w:val="28"/>
          <w:szCs w:val="28"/>
        </w:rPr>
        <w:t xml:space="preserve">21.3. El análisis normativo del documento: la secuencia de descarte</w:t>
      </w:r>
    </w:p>
    <w:p>
      <w:pPr>
        <w:spacing w:after="160" w:line="300"/>
        <w:jc w:val="both"/>
      </w:pPr>
      <w:r>
        <w:rPr>
          <w:rFonts w:ascii="Garamond" w:cs="Garamond" w:eastAsia="Garamond" w:hAnsi="Garamond"/>
          <w:sz w:val="24"/>
          <w:szCs w:val="24"/>
        </w:rPr>
        <w:t xml:space="preserve">La estructura argumental de la Decisión de Agenda sigue una secuencia de descarte metódica, evaluando sucesivamente y descartando fundadamente la aplicabilidad de las distintas normas específicas que, a priori, podrían resultar candidatas para regular el tratamiento contable de las criptomonedas, hasta arribar, por vía de exclusión razonada, a la conclusión final. Esta secuencia, que esta obra ha replicado y desarrollado con mayor extensión y profundidad a lo largo de los capítulos precedentes de la Parte III, puede ahora sintetizarse en su integridad.</w:t>
      </w:r>
    </w:p>
    <w:p>
      <w:pPr>
        <w:spacing w:after="160" w:line="300"/>
        <w:jc w:val="both"/>
      </w:pPr>
      <w:r>
        <w:rPr>
          <w:rFonts w:ascii="Garamond" w:cs="Garamond" w:eastAsia="Garamond" w:hAnsi="Garamond"/>
          <w:sz w:val="24"/>
          <w:szCs w:val="24"/>
        </w:rPr>
        <w:t xml:space="preserve">El documento descarta, en primer término, la calificación de las criptomonedas como efectivo, en los términos ya desarrollados extensamente en el Capítulo 20 de esta obra al tratar la NIC 7, fundamentando esa exclusión en que las criptomonedas no son de curso legal en la generalidad de las jurisdicciones y no están respaldadas por ningún gobierno u otra parte, y que, en consecuencia, no cumplen la función de medio de intercambio que la definición de efectivo presupone de manera consolidada.</w:t>
      </w:r>
    </w:p>
    <w:p>
      <w:pPr>
        <w:spacing w:after="160" w:line="300"/>
        <w:jc w:val="both"/>
      </w:pPr>
      <w:r>
        <w:rPr>
          <w:rFonts w:ascii="Garamond" w:cs="Garamond" w:eastAsia="Garamond" w:hAnsi="Garamond"/>
          <w:sz w:val="24"/>
          <w:szCs w:val="24"/>
        </w:rPr>
        <w:t xml:space="preserve">El documento descarta, en segundo término, la calificación de las criptomonedas como un instrumento financiero distinto del efectivo, en los términos de la Norma Internacional de Contabilidad (NIC) 32, Instrumentos Financieros: Presentación, razonando que una criptomoneda no otorga a su tenedor un derecho contractual a recibir efectivo u otro activo financiero, ni establece una obligación contractual entre el tenedor y ninguna otra parte, elemento que —como se desarrolló al distinguir Bitcoin de las stablecoins en el Capítulo 9— constituye, precisamente, la característica definitoria que distingue a Bitcoin de aquellos criptoactivos que sí podrían calificar como instrumentos financieros bajo esa norma.</w:t>
      </w:r>
    </w:p>
    <w:p>
      <w:pPr>
        <w:spacing w:after="160" w:line="300"/>
        <w:jc w:val="both"/>
      </w:pPr>
      <w:r>
        <w:rPr>
          <w:rFonts w:ascii="Garamond" w:cs="Garamond" w:eastAsia="Garamond" w:hAnsi="Garamond"/>
          <w:sz w:val="24"/>
          <w:szCs w:val="24"/>
        </w:rPr>
        <w:t xml:space="preserve">El documento evalúa, en tercer término, la calificación de las criptomonedas como existencias bajo la NIC 2, concluyendo —en plena consistencia con el desarrollo realizado en el Capítulo 15 de esta obra— que esa calificación resulta aplicable exclusivamente cuando las criptomonedas se mantienen para su venta en el curso ordinario del negocio, supuesto en el que corresponde su aplicación, incluyendo la excepción específica de comercializadores de materias primas cotizadas del párrafo 3(b) de esa norma.</w:t>
      </w:r>
    </w:p>
    <w:p>
      <w:pPr>
        <w:spacing w:after="160" w:line="300"/>
        <w:jc w:val="both"/>
      </w:pPr>
      <w:r>
        <w:rPr>
          <w:rFonts w:ascii="Garamond" w:cs="Garamond" w:eastAsia="Garamond" w:hAnsi="Garamond"/>
          <w:sz w:val="24"/>
          <w:szCs w:val="24"/>
        </w:rPr>
        <w:t xml:space="preserve">El documento concluye, finalmente, que, para la generalidad de los supuestos de tenencia que no satisfacen el criterio específico de existencias desarrollado en el párrafo anterior, una criptomoneda como Bitcoin satisface la definición de activo intangible bajo el párrafo 8 de la NIC 38 —al ser un activo identificable, sin sustancia física y no monetario—, norma que, en consecuencia, resulta de aplicación general, con el régimen de medición posterior desarrollado extensamente en los Capítulos 13, 14 y 16 de esta obra.</w:t>
      </w:r>
    </w:p>
    <w:p>
      <w:pPr>
        <w:pStyle w:val="Heading2"/>
        <w:spacing w:after="180" w:before="360"/>
      </w:pPr>
      <w:r>
        <w:rPr>
          <w:rFonts w:ascii="Garamond" w:cs="Garamond" w:eastAsia="Garamond" w:hAnsi="Garamond"/>
          <w:b/>
          <w:bCs/>
          <w:color w:val="10233F"/>
          <w:sz w:val="28"/>
          <w:szCs w:val="28"/>
        </w:rPr>
        <w:t xml:space="preserve">21.4. Las revelaciones exigidas: la remisión a la NIC 1 y a la NIIF 13</w:t>
      </w:r>
    </w:p>
    <w:p>
      <w:pPr>
        <w:spacing w:after="160" w:line="300"/>
        <w:jc w:val="both"/>
      </w:pPr>
      <w:r>
        <w:rPr>
          <w:rFonts w:ascii="Garamond" w:cs="Garamond" w:eastAsia="Garamond" w:hAnsi="Garamond"/>
          <w:sz w:val="24"/>
          <w:szCs w:val="24"/>
        </w:rPr>
        <w:t xml:space="preserve">La Decisión de Agenda no se limita a determinar la norma de reconocimiento y medición aplicable, sino que dedica una sección específica a la cuestión de las revelaciones exigidas, remitiendo, para las entidades que mantienen tenencias significativas de criptomonedas, a las exigencias generales de revelación de juicios significativos de la NIC 1, Presentación de Estados Financieros —particularmente en lo que respecta a los juicios profesionales significativos realizados en la aplicación de las políticas contables, tales como la determinación de si existe o no un mercado activo en los términos desarrollados en el Capítulo 14—, y a las exigencias específicas de revelación de fuentes de incertidumbre en la estimación que puedan implicar un riesgo significativo de ajustes materiales al importe en libros de los activos, en los términos del párrafo 125 de la propia NIC 1.</w:t>
      </w:r>
    </w:p>
    <w:p>
      <w:pPr>
        <w:pStyle w:val="Heading2"/>
        <w:spacing w:after="180" w:before="360"/>
      </w:pPr>
      <w:r>
        <w:rPr>
          <w:rFonts w:ascii="Garamond" w:cs="Garamond" w:eastAsia="Garamond" w:hAnsi="Garamond"/>
          <w:b/>
          <w:bCs/>
          <w:color w:val="10233F"/>
          <w:sz w:val="28"/>
          <w:szCs w:val="28"/>
        </w:rPr>
        <w:t xml:space="preserve">21.5. Recepción y aplicación práctica de la Decisión de Agenda</w:t>
      </w:r>
    </w:p>
    <w:p>
      <w:pPr>
        <w:spacing w:after="160" w:line="300"/>
        <w:jc w:val="both"/>
      </w:pPr>
      <w:r>
        <w:rPr>
          <w:rFonts w:ascii="Garamond" w:cs="Garamond" w:eastAsia="Garamond" w:hAnsi="Garamond"/>
          <w:sz w:val="24"/>
          <w:szCs w:val="24"/>
        </w:rPr>
        <w:t xml:space="preserve">La Decisión de Agenda de 2019 ha sido objeto de adopción prácticamente unánime por parte de las principales firmas de auditoría de alcance internacional en sus publicaciones técnicas de orientación a clientes y profesionales, y ha sido incorporada, de manera expresa o implícita, en la totalidad de las guías interpretativas nacionales sobre criptoactivos emitidas por organismos profesionales de países que adoptan las NIIF como marco de información financiera, constituyendo, en los hechos, el estándar de facto sobre la materia en ausencia de una norma específica del IASB. Ni la FACPCE argentina, según se ha señalado en múltiples pasajes de esta obra, ni la generalidad de los organismos profesionales de los países de habla hispana, han emitido pronunciamientos propios que se aparten sustancialmente de las conclusiones de este documento, circunstancia que consolida su carácter de fuente normativa de referencia obligada para el profesional contable argentino.</w:t>
      </w:r>
    </w:p>
    <w:p>
      <w:pPr>
        <w:spacing w:after="160" w:line="300"/>
        <w:jc w:val="both"/>
      </w:pPr>
      <w:r>
        <w:rPr>
          <w:rFonts w:ascii="Garamond" w:cs="Garamond" w:eastAsia="Garamond" w:hAnsi="Garamond"/>
          <w:sz w:val="24"/>
          <w:szCs w:val="24"/>
        </w:rPr>
        <w:t xml:space="preserve">Corresponde, sin embargo, señalar con la debida prudencia profesional que el propio IASB no ha descartado, hacia el futuro, la posibilidad de emprender un proyecto normativo específico sobre criptoactivos que pudiera modificar, total o parcialmente, las conclusiones de esta Decisión de Agenda, en especial a la luz de la creciente adopción institucional de Bitcoin documentada en el Capítulo 2 de esta obra, y de la evolución normativa divergente adoptada por la FASB estadounidense desde 2025, desarrollada en el Capítulo 13. Esta obra se compromete, en línea con el criterio de actualización normativa continua enunciado en su prefacio, a incorporar cualquier desarrollo normativo futuro del IASB en esta materia en sus sucesivas ediciones.</w:t>
      </w:r>
    </w:p>
    <w:p>
      <w:pPr>
        <w:pStyle w:val="Heading2"/>
        <w:spacing w:after="180" w:before="360"/>
      </w:pPr>
      <w:r>
        <w:rPr>
          <w:rFonts w:ascii="Garamond" w:cs="Garamond" w:eastAsia="Garamond" w:hAnsi="Garamond"/>
          <w:b/>
          <w:bCs/>
          <w:color w:val="10233F"/>
          <w:sz w:val="28"/>
          <w:szCs w:val="28"/>
        </w:rPr>
        <w:t xml:space="preserve">21.6. Síntesis del capítulo y cierre de la Parte III</w:t>
      </w:r>
    </w:p>
    <w:p>
      <w:pPr>
        <w:spacing w:after="160" w:line="300"/>
        <w:jc w:val="both"/>
      </w:pPr>
      <w:r>
        <w:rPr>
          <w:rFonts w:ascii="Garamond" w:cs="Garamond" w:eastAsia="Garamond" w:hAnsi="Garamond"/>
          <w:sz w:val="24"/>
          <w:szCs w:val="24"/>
        </w:rPr>
        <w:t xml:space="preserve">Este capítulo desarrolló, con el detalle exhaustivo que su condición de documento de cierre y de síntesis de la Parte III exige, la Decisión de Agenda del IFRS Interpretations Committee de 2019: su naturaleza jurídico-normativa como pronunciamiento de autoridad persuasiva y no formalmente vinculante, pero de aplicación prácticamente universal en la práctica profesional; su alcance específico, circunscripto a una subclase acotada de criptoactivos entre los que se cuenta Bitcoin; la secuencia argumental de descarte que conduce, por vía de exclusión razonada, a la calificación de Bitcoin como activo intangible bajo NIC 38 salvo en el supuesto específico de existencias bajo NIC 2; y las exigencias de revelación que remiten a la NIC 1. Con este capítulo se completa la totalidad del desarrollo normativo de la Parte III de esta obra, que ha recorrido, capítulo por capítulo, cada una de las normas específicas de las NIIF aplicables a Bitcoin. El Capítulo 22 cierra esta Parte III abordando la normativa argentina específica —las Resoluciones Técnicas de la FACPCE— y su relación de convergencia con las NIIF desarrolladas en los capítulos precedentes, como puente indispensable hacia el desarrollo práctico de la registración contable que se iniciará en la Parte IV de esta obra.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21</w:t>
      </w:r>
    </w:p>
    <w:p>
      <w:pPr>
        <w:spacing w:after="160"/>
        <w:ind w:left="480" w:hanging="480"/>
        <w:jc w:val="both"/>
      </w:pPr>
      <w:r>
        <w:rPr>
          <w:rFonts w:ascii="Garamond" w:cs="Garamond" w:eastAsia="Garamond" w:hAnsi="Garamond"/>
          <w:sz w:val="22"/>
          <w:szCs w:val="22"/>
        </w:rPr>
        <w:t xml:space="preserve">IFRS Foundation. (2018). Due Process Handbook. Sección sobre el valor de las decisiones de agenda del IFRS Interpretations Committee.</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(1997). NIC 1: Presentación de estados financieros.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(2003). NIC 2: Inventarios. IFRS Foundation.</w:t>
      </w:r>
    </w:p>
    <w:p>
      <w:pPr>
        <w:spacing w:after="160"/>
        <w:ind w:left="480" w:hanging="480"/>
        <w:jc w:val="both"/>
      </w:pPr>
      <w:r>
        <w:rPr>
          <w:rFonts w:ascii="Garamond" w:cs="Garamond" w:eastAsia="Garamond" w:hAnsi="Garamond"/>
          <w:sz w:val="22"/>
          <w:szCs w:val="22"/>
        </w:rPr>
        <w:t xml:space="preserve">International Accounting Standards Board. (2003). NIC 32: Instrumentos financieros: Presentación.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22</w:t>
      </w:r>
    </w:p>
    <w:p>
      <w:pPr>
        <w:spacing w:after="400"/>
      </w:pPr>
      <w:r>
        <w:rPr>
          <w:rFonts w:ascii="Garamond" w:cs="Garamond" w:eastAsia="Garamond" w:hAnsi="Garamond"/>
          <w:b/>
          <w:bCs/>
          <w:color w:val="9C7A2E"/>
          <w:sz w:val="40"/>
          <w:szCs w:val="40"/>
        </w:rPr>
        <w:t xml:space="preserve">Normativa argentina: Resoluciones Técnicas FACPCE y su relación con las NIIF</w:t>
      </w:r>
    </w:p>
    <w:p>
      <w:pPr>
        <w:pStyle w:val="Heading2"/>
        <w:spacing w:after="180" w:before="360"/>
      </w:pPr>
      <w:r>
        <w:rPr>
          <w:rFonts w:ascii="Garamond" w:cs="Garamond" w:eastAsia="Garamond" w:hAnsi="Garamond"/>
          <w:b/>
          <w:bCs/>
          <w:color w:val="10233F"/>
          <w:sz w:val="28"/>
          <w:szCs w:val="28"/>
        </w:rPr>
        <w:t xml:space="preserve">22.1. Introducción: la arquitectura normativa contable argentina</w:t>
      </w:r>
    </w:p>
    <w:p>
      <w:pPr>
        <w:spacing w:after="160" w:line="300"/>
        <w:jc w:val="both"/>
      </w:pPr>
      <w:r>
        <w:rPr>
          <w:rFonts w:ascii="Garamond" w:cs="Garamond" w:eastAsia="Garamond" w:hAnsi="Garamond"/>
          <w:sz w:val="24"/>
          <w:szCs w:val="24"/>
        </w:rPr>
        <w:t xml:space="preserve">Los veintiún capítulos precedentes de esta obra desarrollaron el tratamiento contable de Bitcoin desde la perspectiva de las Normas Internacionales de Información Financiera emitidas por el IASB. Este capítulo cierra la Parte III de la obra trasladando ese desarrollo al marco normativo contable específicamente argentino, estructurado en torno a las Resoluciones Técnicas (RT) emitidas por la Federación Argentina de Consejos Profesionales de Ciencias Económicas (FACPCE), y precisando, con el rigor técnico que esta obra se ha propuesto desde su prefacio, la relación de convergencia —no siempre completa ni automática— entre ese marco normativo local y las NIIF desarrolladas en los capítulos precedentes.</w:t>
      </w:r>
    </w:p>
    <w:p>
      <w:pPr>
        <w:spacing w:after="160" w:line="300"/>
        <w:jc w:val="both"/>
      </w:pPr>
      <w:r>
        <w:rPr>
          <w:rFonts w:ascii="Garamond" w:cs="Garamond" w:eastAsia="Garamond" w:hAnsi="Garamond"/>
          <w:sz w:val="24"/>
          <w:szCs w:val="24"/>
        </w:rPr>
        <w:t xml:space="preserve">Corresponde precisar, como punto de partida indispensable, que el ordenamiento profesional contable argentino no es monolítico, sino que reconoce, según el tipo de entidad de que se trate, distintos marcos normativos aplicables: la NIIF completa, adoptada mediante la RT 26 de la FACPCE (con sus sucesivas modificaciones) para las entidades incluidas en el régimen de oferta pública de sus acciones o de sus obligaciones negociables, y para aquellas otras entidades que opten voluntariamente por ese marco; la NIIF para Pequeñas y Medianas Entidades (NIIF para PYMES), adoptada mediante la RT 41 para las entidades que califican como tales según los criterios cuantitativos y cualitativos que la propia FACPCE establece; y el conjunto de Resoluciones Técnicas de fuente local —encabezadas por la RT 17, Normas Contables Profesionales: Desarrollo de Cuestiones de Aplicación General— aplicable a las entidades que no optan ni están obligadas a aplicar ninguno de los dos marcos NIIF precedentes.</w:t>
      </w:r>
    </w:p>
    <w:p>
      <w:pPr>
        <w:pStyle w:val="Heading2"/>
        <w:spacing w:after="180" w:before="360"/>
      </w:pPr>
      <w:r>
        <w:rPr>
          <w:rFonts w:ascii="Garamond" w:cs="Garamond" w:eastAsia="Garamond" w:hAnsi="Garamond"/>
          <w:b/>
          <w:bCs/>
          <w:color w:val="10233F"/>
          <w:sz w:val="28"/>
          <w:szCs w:val="28"/>
        </w:rPr>
        <w:t xml:space="preserve">22.2. Entidades bajo NIIF completa (RT 26): aplicación directa del desarrollo de esta obra</w:t>
      </w:r>
    </w:p>
    <w:p>
      <w:pPr>
        <w:spacing w:after="160" w:line="300"/>
        <w:jc w:val="both"/>
      </w:pPr>
      <w:r>
        <w:rPr>
          <w:rFonts w:ascii="Garamond" w:cs="Garamond" w:eastAsia="Garamond" w:hAnsi="Garamond"/>
          <w:sz w:val="24"/>
          <w:szCs w:val="24"/>
        </w:rPr>
        <w:t xml:space="preserve">Para las entidades argentinas comprendidas en el régimen de oferta pública —y, en consecuencia, sujetas a la supervisión de la Comisión Nacional de Valores desarrollada en el Capítulo 10 de esta obra— o que optan voluntariamente por aplicar NIIF completa conforme a la RT 26, el tratamiento contable de Bitcoin es, sin matiz alguno, el desarrollado extensamente en los Capítulos 14 a 21 de esta obra: la RT 26 adopta, con carácter de traducción oficial autorizada al español rioplatense, el texto íntegro de las Normas Internacionales de Información Financiera emitidas por el IASB, sin introducir modificaciones sustantivas a su contenido técnico, de modo que la totalidad del análisis normativo desarrollado en la Parte III de esta obra resulta de aplicación directa e inmediata a estas entidades, sin necesidad de adaptación adicional alguna.</w:t>
      </w:r>
    </w:p>
    <w:p>
      <w:pPr>
        <w:pStyle w:val="Heading2"/>
        <w:spacing w:after="180" w:before="360"/>
      </w:pPr>
      <w:r>
        <w:rPr>
          <w:rFonts w:ascii="Garamond" w:cs="Garamond" w:eastAsia="Garamond" w:hAnsi="Garamond"/>
          <w:b/>
          <w:bCs/>
          <w:color w:val="10233F"/>
          <w:sz w:val="28"/>
          <w:szCs w:val="28"/>
        </w:rPr>
        <w:t xml:space="preserve">22.3. Entidades bajo NIIF para PYMES (RT 41): un régimen de intangibles más restrictivo</w:t>
      </w:r>
    </w:p>
    <w:p>
      <w:pPr>
        <w:spacing w:after="160" w:line="300"/>
        <w:jc w:val="both"/>
      </w:pPr>
      <w:r>
        <w:rPr>
          <w:rFonts w:ascii="Garamond" w:cs="Garamond" w:eastAsia="Garamond" w:hAnsi="Garamond"/>
          <w:sz w:val="24"/>
          <w:szCs w:val="24"/>
        </w:rPr>
        <w:t xml:space="preserve">Para las entidades que califican como PYMES conforme a los criterios cuantitativos y cualitativos de la RT 41 —régimen que adopta, con determinadas simplificaciones, la Norma Internacional de Información Financiera para Pequeñas y Medianas Entidades emitida por el IASB—, el tratamiento contable de Bitcoin exige una precisión adicional de relevancia práctica considerable: la Sección 18 de la NIIF para PYMES, que regula los activos intangibles distintos de la plusvalía, no contempla, a diferencia de la NIC 38 completa desarrollada en el Capítulo 14, la posibilidad de que un activo intangible posea una vida útil indefinida.</w:t>
      </w:r>
    </w:p>
    <w:p>
      <w:pPr>
        <w:spacing w:after="160" w:line="300"/>
        <w:jc w:val="both"/>
      </w:pPr>
      <w:r>
        <w:rPr>
          <w:rFonts w:ascii="Garamond" w:cs="Garamond" w:eastAsia="Garamond" w:hAnsi="Garamond"/>
          <w:sz w:val="24"/>
          <w:szCs w:val="24"/>
        </w:rPr>
        <w:t xml:space="preserve">El párrafo 18.20 de la NIIF para PYMES establece, de manera categórica y sin excepción, que si una entidad no puede hacer una estimación fiable de la vida útil de un activo intangible, la vida útil se presumirá que no supera los diez años, y que, en consecuencia, todo activo intangible debe amortizarse sistemáticamente a lo largo de su vida útil. Esta diferencia normativa sustantiva —de las escasas divergencias materiales entre la NIIF completa y la NIIF para PYMES en materia de activos intangibles— genera, en su aplicación a Bitcoin, una consecuencia práctica que se aparta del desarrollo realizado en el Capítulo 14 de esta obra para las entidades bajo NIIF completa: una entidad PYME argentina que aplique la RT 41 y mantenga una tenencia de Bitcoin bajo el encuadre de activo intangible debería, en principio, amortizar esa tenencia sistemáticamente a lo largo de un plazo no superior a diez años, conclusión que ha sido objeto de crítica doctrinaria considerable por su manifiesta falta de correspondencia con la realidad económica de un activo cuya capacidad de generar beneficios económicos, como se ha desarrollado extensamente en esta obra, no se extingue ni se deteriora por el mero transcurso del tiempo, a diferencia de una patente o de una licencia con plazo de vigencia determinado.</w:t>
      </w:r>
    </w:p>
    <w:p>
      <w:pPr>
        <w:spacing w:after="160" w:line="300"/>
        <w:jc w:val="both"/>
      </w:pPr>
      <w:r>
        <w:rPr>
          <w:rFonts w:ascii="Garamond" w:cs="Garamond" w:eastAsia="Garamond" w:hAnsi="Garamond"/>
          <w:sz w:val="24"/>
          <w:szCs w:val="24"/>
        </w:rPr>
        <w:t xml:space="preserve">Frente a esta dificultad interpretativa, un sector de la doctrina contable argentina ha sostenido la conveniencia de que las entidades PYME que mantienen tenencias significativas de Bitcoin evalúen la conveniencia de optar voluntariamente por la aplicación de la NIIF completa bajo RT 26, en lugar de la RT 41, precisamente para evitar la distorsión que la amortización obligatoria genera sobre la representación fiel de su situación patrimonial, opción que, aunque conlleva mayores exigencias de revelación y de complejidad de aplicación, resulta expresamente admitida por la propia normativa de la FACPCE para cualquier entidad que decida adoptarla de manera voluntaria.</w:t>
      </w:r>
    </w:p>
    <w:p>
      <w:pPr>
        <w:pStyle w:val="Heading2"/>
        <w:spacing w:after="180" w:before="360"/>
      </w:pPr>
      <w:r>
        <w:rPr>
          <w:rFonts w:ascii="Garamond" w:cs="Garamond" w:eastAsia="Garamond" w:hAnsi="Garamond"/>
          <w:b/>
          <w:bCs/>
          <w:color w:val="10233F"/>
          <w:sz w:val="28"/>
          <w:szCs w:val="28"/>
        </w:rPr>
        <w:t xml:space="preserve">22.4. Entidades bajo Resoluciones Técnicas de fuente local: la aplicación analógica de la RT 17</w:t>
      </w:r>
    </w:p>
    <w:p>
      <w:pPr>
        <w:spacing w:after="160" w:line="300"/>
        <w:jc w:val="both"/>
      </w:pPr>
      <w:r>
        <w:rPr>
          <w:rFonts w:ascii="Garamond" w:cs="Garamond" w:eastAsia="Garamond" w:hAnsi="Garamond"/>
          <w:sz w:val="24"/>
          <w:szCs w:val="24"/>
        </w:rPr>
        <w:t xml:space="preserve">Para la generalidad de las entidades argentinas que no están obligadas ni optan por ninguno de los dos marcos NIIF precedentes —la situación más frecuente entre pequeños comerciantes, profesionales independientes y sociedades de menor envergadura relativa que no han optado por NIIF para PYMES—, el marco normativo aplicable es el conjunto de Resoluciones Técnicas de fuente local, encabezado por la RT 17, que no contiene, a la fecha de esta edición, una norma específica sobre activos intangibles equivalente en su desarrollo pormenorizado a la NIC 38 internacional, ni tampoco un pronunciamiento específico sobre criptoactivos.</w:t>
      </w:r>
    </w:p>
    <w:p>
      <w:pPr>
        <w:spacing w:after="160" w:line="300"/>
        <w:jc w:val="both"/>
      </w:pPr>
      <w:r>
        <w:rPr>
          <w:rFonts w:ascii="Garamond" w:cs="Garamond" w:eastAsia="Garamond" w:hAnsi="Garamond"/>
          <w:sz w:val="24"/>
          <w:szCs w:val="24"/>
        </w:rPr>
        <w:t xml:space="preserve">Frente a esta laguna normativa, la práctica profesional argentina bajo este marco recurre, de manera consolidada y ampliamente aceptada, a dos vías complementarias de integración normativa. La primera vía consiste en la aplicación de los principios generales de reconocimiento y medición que la propia RT 17 establece con carácter general para todos los activos —en particular, el criterio de que los activos se miden, en general, a su costo, con las excepciones específicas que la propia resolución técnica detalla—, en un desarrollo conceptualmente análogo, aunque de menor granularidad normativa, al Marco Conceptual del IASB desarrollado en el Capítulo 11 de esta obra. La segunda vía, de creciente aceptación en la práctica profesional y respaldada por la propia Resolución de Junta de Gobierno de la FACPCE que habilita expresamente la aplicación supletoria de las NIIF ante ausencia de norma local específica, consiste en recurrir, por remisión expresa o por aplicación analógica del criterio general de integración normativa que rige la profesión contable argentina, al desarrollo específico de la NIC 38 y de la Decisión de Agenda del IFRS Interpretations Committee de 2019, desarrollados en los Capítulos 14 y 21 de esta obra, como fuente de interpretación técnica de mayor especificidad y autoridad disponible para resolver la laguna normativa local.</w:t>
      </w:r>
    </w:p>
    <w:p>
      <w:pPr>
        <w:pStyle w:val="Heading2"/>
        <w:spacing w:after="180" w:before="360"/>
      </w:pPr>
      <w:r>
        <w:rPr>
          <w:rFonts w:ascii="Garamond" w:cs="Garamond" w:eastAsia="Garamond" w:hAnsi="Garamond"/>
          <w:b/>
          <w:bCs/>
          <w:color w:val="10233F"/>
          <w:sz w:val="28"/>
          <w:szCs w:val="28"/>
        </w:rPr>
        <w:t xml:space="preserve">22.5. La ausencia de una Resolución Técnica específica sobre criptoactivos: estado de la cuestión</w:t>
      </w:r>
    </w:p>
    <w:p>
      <w:pPr>
        <w:spacing w:after="160" w:line="300"/>
        <w:jc w:val="both"/>
      </w:pPr>
      <w:r>
        <w:rPr>
          <w:rFonts w:ascii="Garamond" w:cs="Garamond" w:eastAsia="Garamond" w:hAnsi="Garamond"/>
          <w:sz w:val="24"/>
          <w:szCs w:val="24"/>
        </w:rPr>
        <w:t xml:space="preserve">Corresponde reiterar, en este capítulo de cierre de la Parte III, una afirmación que ha atravesado esta obra desde su prefacio: la FACPCE no ha emitido, a la fecha de esta edición, una Resolución Técnica específica dedicada a la contabilización de Bitcoin o de los criptoactivos en general, circunstancia que contrasta con la creciente relevancia económica y patrimonial que estos activos han adquirido en el ejercicio profesional cotidiano de los contadores argentinos, según se ha documentado a lo largo de esta obra.</w:t>
      </w:r>
    </w:p>
    <w:p>
      <w:pPr>
        <w:spacing w:after="160" w:line="300"/>
        <w:jc w:val="both"/>
      </w:pPr>
      <w:r>
        <w:rPr>
          <w:rFonts w:ascii="Garamond" w:cs="Garamond" w:eastAsia="Garamond" w:hAnsi="Garamond"/>
          <w:sz w:val="24"/>
          <w:szCs w:val="24"/>
        </w:rPr>
        <w:t xml:space="preserve">El área de Contabilidad de la FACPCE, según la información disponible públicamente a la fecha de esta edición, no ha anunciado un proyecto normativo específico en esta materia, circunstancia consistente, por lo demás, con la propia inacción normativa específica del IASB desarrollada en el Capítulo 21, en la medida en que la práctica consolidada de la FACPCE ha sido, históricamente, la de adoptar y traducir las NIIF emitidas por el IASB antes que desarrollar pronunciamientos técnicos autónomos sobre cuestiones ya abordadas, aunque sea por vía de decisión de agenda, por el propio IASB. Esta obra sostiene, en consecuencia, y así lo recomienda a sus lectores, que el criterio técnico de mayor solidez y de mayor defendibilidad profesional ante una eventual revisión de un organismo de contralor o ante un proceso de auditoría externa, para cualquier entidad argentina que deba contabilizar una tenencia de Bitcoin —con independencia del marco normativo específico bajo el cual prepare sus estados contables—, es el desarrollado extensamente a lo largo de los Capítulos 14 a 21 de esta obra, adaptado, en el caso específico de las entidades PYME bajo RT 41, por la precisión sobre amortización obligatoria desarrollada en la sección 22.3 de este capítulo.</w:t>
      </w:r>
    </w:p>
    <w:p>
      <w:pPr>
        <w:pStyle w:val="Heading2"/>
        <w:spacing w:after="180" w:before="360"/>
      </w:pPr>
      <w:r>
        <w:rPr>
          <w:rFonts w:ascii="Garamond" w:cs="Garamond" w:eastAsia="Garamond" w:hAnsi="Garamond"/>
          <w:b/>
          <w:bCs/>
          <w:color w:val="10233F"/>
          <w:sz w:val="28"/>
          <w:szCs w:val="28"/>
        </w:rPr>
        <w:t xml:space="preserve">22.6. Síntesis del capítulo y cierre de la Parte III</w:t>
      </w:r>
    </w:p>
    <w:p>
      <w:pPr>
        <w:spacing w:after="160" w:line="300"/>
        <w:jc w:val="both"/>
      </w:pPr>
      <w:r>
        <w:rPr>
          <w:rFonts w:ascii="Garamond" w:cs="Garamond" w:eastAsia="Garamond" w:hAnsi="Garamond"/>
          <w:sz w:val="24"/>
          <w:szCs w:val="24"/>
        </w:rPr>
        <w:t xml:space="preserve">Este capítulo desarrolló la relación entre la normativa contable argentina y el desarrollo normativo internacional realizado en los capítulos precedentes de la Parte III, distinguiendo tres marcos normativos locales de aplicación posible —NIIF completa bajo RT 26, NIIF para PYMES bajo RT 41, y Resoluciones Técnicas de fuente local encabezadas por la RT 17—, y estableciendo, para cada uno de ellos, el grado de aplicabilidad directa o analógica del desarrollo normativo internacional realizado en esta obra. Se identificó, como divergencia sustantiva de mayor relevancia práctica, la exigencia de amortización obligatoria de los activos intangibles bajo la NIIF para PYMES, ausente en la NIC 38 completa, y se recomendó, para las entidades PYME con tenencias significativas de Bitcoin, la evaluación de la opción voluntaria por NIIF completa. Con este capítulo se completa la totalidad de la Parte III de esta obra, dedicada al desarrollo normativo contable internacional y local aplicable a Bitcoin. La Parte IV, que se inicia con el Capítulo 23, traslada ese desarrollo normativo hacia su implementación práctica: el diseño de un plan de cuentas específico para Bitcoin, el desarrollo de los asientos contables correspondientes a cada uno de los supuestos analizados en esta Parte III, y la exposición en los estados contables y sus notas.</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22</w:t>
      </w:r>
    </w:p>
    <w:p>
      <w:pPr>
        <w:spacing w:after="160"/>
        <w:ind w:left="480" w:hanging="480"/>
        <w:jc w:val="both"/>
      </w:pPr>
      <w:r>
        <w:rPr>
          <w:rFonts w:ascii="Garamond" w:cs="Garamond" w:eastAsia="Garamond" w:hAnsi="Garamond"/>
          <w:sz w:val="22"/>
          <w:szCs w:val="22"/>
        </w:rPr>
        <w:t xml:space="preserve">Federación Argentina de Consejos Profesionales de Ciencias Económicas. (2000). Resolución Técnica N.º 17: Normas Contables Profesionales: Desarrollo de Cuestiones de Aplicación General.</w:t>
      </w:r>
    </w:p>
    <w:p>
      <w:pPr>
        <w:spacing w:after="160"/>
        <w:ind w:left="480" w:hanging="480"/>
        <w:jc w:val="both"/>
      </w:pPr>
      <w:r>
        <w:rPr>
          <w:rFonts w:ascii="Garamond" w:cs="Garamond" w:eastAsia="Garamond" w:hAnsi="Garamond"/>
          <w:sz w:val="22"/>
          <w:szCs w:val="22"/>
        </w:rPr>
        <w:t xml:space="preserve">Federación Argentina de Consejos Profesionales de Ciencias Económicas. (2009). Resolución Técnica N.º 26: Adopción de las Normas Internacionales de Información Financiera (NIIF) del Consejo de Normas Internacionales de Contabilidad (IASB).</w:t>
      </w:r>
    </w:p>
    <w:p>
      <w:pPr>
        <w:spacing w:after="160"/>
        <w:ind w:left="480" w:hanging="480"/>
        <w:jc w:val="both"/>
      </w:pPr>
      <w:r>
        <w:rPr>
          <w:rFonts w:ascii="Garamond" w:cs="Garamond" w:eastAsia="Garamond" w:hAnsi="Garamond"/>
          <w:sz w:val="22"/>
          <w:szCs w:val="22"/>
        </w:rPr>
        <w:t xml:space="preserve">Federación Argentina de Consejos Profesionales de Ciencias Económicas. (2011). Resolución Técnica N.º 41: Normas Contables Profesionales: Adopción de la NIIF para las PYMES.</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(2015). NIIF para las PYMES: Norma Internacional de Información Financiera para Pequeñas y Medianas Entidades. IFRS Foundation.</w:t>
      </w:r>
    </w:p>
    <w:p>
      <w:r>
        <w:br w:type="page"/>
      </w:r>
    </w:p>
    <w:p>
      <w:pPr>
        <w:spacing w:after="160" w:before="400"/>
      </w:pPr>
      <w:r>
        <w:rPr>
          <w:rFonts w:ascii="Garamond" w:cs="Garamond" w:eastAsia="Garamond" w:hAnsi="Garamond"/>
          <w:b/>
          <w:bCs/>
          <w:caps/>
          <w:color w:val="9C7A2E"/>
          <w:sz w:val="24"/>
          <w:szCs w:val="24"/>
        </w:rPr>
        <w:t xml:space="preserve">PARTE IV — REGISTRACIÓN Y EXPOSICIÓN CONTABLE</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23</w:t>
      </w:r>
    </w:p>
    <w:p>
      <w:pPr>
        <w:spacing w:after="400"/>
      </w:pPr>
      <w:r>
        <w:rPr>
          <w:rFonts w:ascii="Garamond" w:cs="Garamond" w:eastAsia="Garamond" w:hAnsi="Garamond"/>
          <w:b/>
          <w:bCs/>
          <w:color w:val="9C7A2E"/>
          <w:sz w:val="40"/>
          <w:szCs w:val="40"/>
        </w:rPr>
        <w:t xml:space="preserve">Plan de cuentas para Bitcoin y criptoactivos</w:t>
      </w:r>
    </w:p>
    <w:p>
      <w:pPr>
        <w:pStyle w:val="Heading2"/>
        <w:spacing w:after="180" w:before="360"/>
      </w:pPr>
      <w:r>
        <w:rPr>
          <w:rFonts w:ascii="Garamond" w:cs="Garamond" w:eastAsia="Garamond" w:hAnsi="Garamond"/>
          <w:b/>
          <w:bCs/>
          <w:color w:val="10233F"/>
          <w:sz w:val="28"/>
          <w:szCs w:val="28"/>
        </w:rPr>
        <w:t xml:space="preserve">23.1. Introducción: de la norma a la registración</w:t>
      </w:r>
    </w:p>
    <w:p>
      <w:pPr>
        <w:spacing w:after="160" w:line="300"/>
        <w:jc w:val="both"/>
      </w:pPr>
      <w:r>
        <w:rPr>
          <w:rFonts w:ascii="Garamond" w:cs="Garamond" w:eastAsia="Garamond" w:hAnsi="Garamond"/>
          <w:sz w:val="24"/>
          <w:szCs w:val="24"/>
        </w:rPr>
        <w:t xml:space="preserve">La Parte III de esta obra desarrolló, con el detalle normativo exhaustivo que la materia exige, el encuadre contable de Bitcoin bajo las NIIF y bajo la normativa argentina. Esta Parte IV traslada ese desarrollo normativo hacia su implementación práctica en la contabilidad cotidiana de una entidad, comenzando, en este capítulo, por el diseño de un plan de cuentas específico para Bitcoin y los criptoactivos en general, que sirva de base estructural para el desarrollo de los asientos contables que se abordará en el Capítulo 24.</w:t>
      </w:r>
    </w:p>
    <w:p>
      <w:pPr>
        <w:spacing w:after="160" w:line="300"/>
        <w:jc w:val="both"/>
      </w:pPr>
      <w:r>
        <w:rPr>
          <w:rFonts w:ascii="Garamond" w:cs="Garamond" w:eastAsia="Garamond" w:hAnsi="Garamond"/>
          <w:sz w:val="24"/>
          <w:szCs w:val="24"/>
        </w:rPr>
        <w:t xml:space="preserve">El diseño de un plan de cuentas para Bitcoin no constituye un ejercicio mecánico de nomenclatura, sino que debe reflejar, con la mayor fidelidad posible, la totalidad de las distinciones normativas desarrolladas en la Parte III de esta obra: la distinción entre Bitcoin como activo intangible (NIC 38) y como existencia (NIC 2); la distinción entre el modelo de costo y el modelo de revaluación; la distinción entre tenencia directa con control criptográfico y tenencia indirecta a través de un custodio; y la necesidad de un nivel de apertura analítica suficiente para sostener el método de identificación específica desarrollado en el Capítulo 8 de esta obra.</w:t>
      </w:r>
    </w:p>
    <w:p>
      <w:pPr>
        <w:pStyle w:val="Heading2"/>
        <w:spacing w:after="180" w:before="360"/>
      </w:pPr>
      <w:r>
        <w:rPr>
          <w:rFonts w:ascii="Garamond" w:cs="Garamond" w:eastAsia="Garamond" w:hAnsi="Garamond"/>
          <w:b/>
          <w:bCs/>
          <w:color w:val="10233F"/>
          <w:sz w:val="28"/>
          <w:szCs w:val="28"/>
        </w:rPr>
        <w:t xml:space="preserve">23.2. Estructura general propuesta: cuentas patrimoniales</w:t>
      </w:r>
    </w:p>
    <w:p>
      <w:pPr>
        <w:spacing w:after="160" w:line="300"/>
        <w:jc w:val="both"/>
      </w:pPr>
      <w:r>
        <w:rPr>
          <w:rFonts w:ascii="Garamond" w:cs="Garamond" w:eastAsia="Garamond" w:hAnsi="Garamond"/>
          <w:sz w:val="24"/>
          <w:szCs w:val="24"/>
        </w:rPr>
        <w:t xml:space="preserve">Esta obra propone, a título de modelo de referencia que cada profesional deberá adaptar a las particularidades de la entidad concreta que asesore, la siguiente estructura de cuentas patrimoniales para la registración de Bitcoin, organizada según el rubro del estado de situación patrimonial que corresponda a cada supuesto normativo desarrollado en la Parte III.</w:t>
      </w:r>
    </w:p>
    <w:p>
      <w:pPr>
        <w:spacing w:after="160" w:line="300"/>
        <w:jc w:val="both"/>
      </w:pPr>
      <w:r>
        <w:rPr>
          <w:rFonts w:ascii="Garamond" w:cs="Garamond" w:eastAsia="Garamond" w:hAnsi="Garamond"/>
          <w:sz w:val="24"/>
          <w:szCs w:val="24"/>
        </w:rPr>
        <w:t xml:space="preserve">Dentro del Activo No Corriente, rubro Activos Intangibles, se propone la apertura de la cuenta «Bitcoin — Costo», destinada a registrar, bajo el modelo de costo desarrollado en el Capítulo 14, el costo histórico de adquisición de las tenencias de Bitcoin mantenidas con un propósito distinto de la venta en el curso ordinario del negocio, complementada por la cuenta regularizadora «Deterioro Acumulado de Bitcoin», que registra, con signo contrario, las pérdidas por deterioro reconocidas conforme al desarrollo de la NIC 36 realizado en el Capítulo 16. Para las entidades que apliquen, en cambio, el modelo de revaluación desarrollado en la sección 14.7 de esta obra, corresponde sustituir la primera de estas cuentas por «Bitcoin — Valor Razonable», complementada por la cuenta patrimonial «Superávit de Revaluación — Bitcoin», que expondrá, dentro del Patrimonio Neto, el efecto acumulado de los incrementos de valor reconocidos directamente en otro resultado integral.</w:t>
      </w:r>
    </w:p>
    <w:p>
      <w:pPr>
        <w:spacing w:after="160" w:line="300"/>
        <w:jc w:val="both"/>
      </w:pPr>
      <w:r>
        <w:rPr>
          <w:rFonts w:ascii="Garamond" w:cs="Garamond" w:eastAsia="Garamond" w:hAnsi="Garamond"/>
          <w:sz w:val="24"/>
          <w:szCs w:val="24"/>
        </w:rPr>
        <w:t xml:space="preserve">Dentro del Activo Corriente, rubro Bienes de Cambio, se propone la apertura de la cuenta «Bitcoin para Reventa», destinada a las entidades comercializadoras (traders) desarrolladas en el Capítulo 15, medida conforme al criterio general de la NIC 2 o, cuando resulte aplicable la excepción de comercializadores de materias primas cotizadas del párrafo 3(b) de esa norma, a valor razonable menos costos de venta, sin necesidad, en este último caso, de una cuenta regularizadora de deterioro separada, en la medida en que la propia cuenta principal ya refleja el valor razonable corriente.</w:t>
      </w:r>
    </w:p>
    <w:p>
      <w:pPr>
        <w:pStyle w:val="Heading2"/>
        <w:spacing w:after="180" w:before="360"/>
      </w:pPr>
      <w:r>
        <w:rPr>
          <w:rFonts w:ascii="Garamond" w:cs="Garamond" w:eastAsia="Garamond" w:hAnsi="Garamond"/>
          <w:b/>
          <w:bCs/>
          <w:color w:val="10233F"/>
          <w:sz w:val="28"/>
          <w:szCs w:val="28"/>
        </w:rPr>
        <w:t xml:space="preserve">23.3. Cuentas de resultado</w:t>
      </w:r>
    </w:p>
    <w:p>
      <w:pPr>
        <w:spacing w:after="160" w:line="300"/>
        <w:jc w:val="both"/>
      </w:pPr>
      <w:r>
        <w:rPr>
          <w:rFonts w:ascii="Garamond" w:cs="Garamond" w:eastAsia="Garamond" w:hAnsi="Garamond"/>
          <w:sz w:val="24"/>
          <w:szCs w:val="24"/>
        </w:rPr>
        <w:t xml:space="preserve">Correlativamente a las cuentas patrimoniales desarrolladas en la sección anterior, se propone la apertura de las siguientes cuentas de resultado. «Pérdida por Deterioro de Bitcoin», dentro de los resultados ordinarios, para el reconocimiento de las pérdidas por deterioro desarrolladas en el Capítulo 16, con su correlato «Reversión de Deterioro de Bitcoin» para el supuesto —de aplicación acotada al costo histórico según se precisó en la sección 16.4 de esta obra— de reversión de pérdidas reconocidas en ejercicios anteriores. «Resultado por Venta de Bitcoin», para el reconocimiento de la diferencia entre el precio de venta y el costo computable de las unidades enajenadas, determinado conforme al método de identificación específica desarrollado en el Capítulo 8. «Ingresos por Minería de Bitcoin», para las entidades mineras desarrolladas en el Capítulo 4, que registra, a valor razonable, los bitcoins obtenidos como recompensa de minería conforme al criterio de reconocimiento desarrollado en el Capítulo 12. Y «Resultado por Tenencia de Bitcoin — Comercializadores», cuenta específica para las entidades que aplican la excepción de comercializadores de materias primas cotizadas desarrollada en el Capítulo 15, que captura, período a período, la variación de valor razonable de las existencias de Bitcoin mantenidas para reventa.</w:t>
      </w:r>
    </w:p>
    <w:p>
      <w:pPr>
        <w:pStyle w:val="Heading2"/>
        <w:spacing w:after="180" w:before="360"/>
      </w:pPr>
      <w:r>
        <w:rPr>
          <w:rFonts w:ascii="Garamond" w:cs="Garamond" w:eastAsia="Garamond" w:hAnsi="Garamond"/>
          <w:b/>
          <w:bCs/>
          <w:color w:val="10233F"/>
          <w:sz w:val="28"/>
          <w:szCs w:val="28"/>
        </w:rPr>
        <w:t xml:space="preserve">23.4. Cuentas de orden: la exposición de la custodia y de los compromisos</w:t>
      </w:r>
    </w:p>
    <w:p>
      <w:pPr>
        <w:spacing w:after="160" w:line="300"/>
        <w:jc w:val="both"/>
      </w:pPr>
      <w:r>
        <w:rPr>
          <w:rFonts w:ascii="Garamond" w:cs="Garamond" w:eastAsia="Garamond" w:hAnsi="Garamond"/>
          <w:sz w:val="24"/>
          <w:szCs w:val="24"/>
        </w:rPr>
        <w:t xml:space="preserve">Un elemento distintivo del plan de cuentas que esta obra propone para Bitcoin, sin equivalente de igual relevancia práctica en el plan de cuentas de la generalidad de los demás activos, es el empleo extendido de cuentas de orden (cuentas de memorándum o de control, sin incidencia patrimonial directa), destinado a capturar información de gestión y de control interno que, aunque no genera un asiento con incidencia en el estado de situación patrimonial, resulta indispensable para el seguimiento operativo y para el soporte de los procedimientos de auditoría que se desarrollarán en la Parte VI de esta obra.</w:t>
      </w:r>
    </w:p>
    <w:p>
      <w:pPr>
        <w:spacing w:after="160" w:line="300"/>
        <w:jc w:val="both"/>
      </w:pPr>
      <w:r>
        <w:rPr>
          <w:rFonts w:ascii="Garamond" w:cs="Garamond" w:eastAsia="Garamond" w:hAnsi="Garamond"/>
          <w:sz w:val="24"/>
          <w:szCs w:val="24"/>
        </w:rPr>
        <w:t xml:space="preserve">Se propone, específicamente, la apertura de las siguientes cuentas de orden: «Bitcoin en Custodia Propia — Hardware Wallet», «Bitcoin en Custodia Propia — Multisig», y «Bitcoin en Custodia de Terceros», que permiten a la entidad —y, fundamentalmente, a su auditor— identificar con precisión, en todo momento, la distribución de sus tenencias de Bitcoin según el esquema de custodia desarrollado en el Capítulo 6 de esta obra, distinción que, según se anticipó en el Capítulo 12, resulta determinante para evaluar si corresponde el reconocimiento de un activo intangible bajo NIC 38 o de un derecho de crédito bajo NIIF 9. Se propone, asimismo, la apertura de una cuenta de orden «Bitcoin Comprometido en Canales Lightning», que permite dar seguimiento específico a la porción de la tenencia de la entidad que se encuentra, en un momento dado, comprometida en canales de pago según el desarrollo realizado en el Capítulo 5 de esta obra, información relevante tanto para la gestión de liquidez cuanto para la evaluación del riesgo operativo desarrollado en esa sección.</w:t>
      </w:r>
    </w:p>
    <w:p>
      <w:pPr>
        <w:pStyle w:val="Heading2"/>
        <w:spacing w:after="180" w:before="360"/>
      </w:pPr>
      <w:r>
        <w:rPr>
          <w:rFonts w:ascii="Garamond" w:cs="Garamond" w:eastAsia="Garamond" w:hAnsi="Garamond"/>
          <w:b/>
          <w:bCs/>
          <w:color w:val="10233F"/>
          <w:sz w:val="28"/>
          <w:szCs w:val="28"/>
        </w:rPr>
        <w:t xml:space="preserve">23.5. La necesidad de un libro auxiliar por dirección o por lote de adquisición</w:t>
      </w:r>
    </w:p>
    <w:p>
      <w:pPr>
        <w:spacing w:after="160" w:line="300"/>
        <w:jc w:val="both"/>
      </w:pPr>
      <w:r>
        <w:rPr>
          <w:rFonts w:ascii="Garamond" w:cs="Garamond" w:eastAsia="Garamond" w:hAnsi="Garamond"/>
          <w:sz w:val="24"/>
          <w:szCs w:val="24"/>
        </w:rPr>
        <w:t xml:space="preserve">El plan de cuentas propuesto en las secciones precedentes, aunque necesario, resulta insuficiente por sí solo para sostener el método de identificación específica desarrollado extensamente en el Capítulo 8 de esta obra, que exige el seguimiento individualizado del costo de adquisición de cada lote o unidad de Bitcoin incorporado al patrimonio de la entidad. Esta obra recomienda, en consecuencia, la implementación de un libro auxiliar —o, en la práctica contemporánea, una planilla de cálculo o un sistema de gestión específico de activos digitales— que registre, para cada UTXO o lote de adquisición, como mínimo, la siguiente información: fecha de adquisición; cantidad de bitcoins adquiridos (expresada con la precisión decimal correspondiente al satoshi, la unidad más pequeña de Bitcoin descrita en el Capítulo 4); costo de adquisición unitario y total, expresado en moneda funcional al tipo de cambio de la fecha de la transacción conforme al desarrollo de la NIC 21 realizado en el Capítulo 19; dirección o identificador de la UTXO correspondiente; y estado actual (en tenencia, vendido parcial o totalmente, o comprometido en un canal de Lightning Network).</w:t>
      </w:r>
    </w:p>
    <w:p>
      <w:pPr>
        <w:spacing w:after="160" w:line="300"/>
        <w:jc w:val="both"/>
      </w:pPr>
      <w:r>
        <w:rPr>
          <w:rFonts w:ascii="Garamond" w:cs="Garamond" w:eastAsia="Garamond" w:hAnsi="Garamond"/>
          <w:sz w:val="24"/>
          <w:szCs w:val="24"/>
        </w:rPr>
        <w:t xml:space="preserve">Este libro auxiliar cumple una función análoga a la que, en la contabilidad de existencias tradicionales, cumple una ficha de stock individualizada por lote bajo el método de identificación específica, y su implementación sistemática desde el momento de la primera adquisición de Bitcoin por parte de una entidad resulta, según la experiencia profesional del autor de esta obra, sustancialmente más sencilla y menos costosa que su reconstrucción retroactiva ante un requerimiento de fiscalización o de auditoría, cuestión que se retomará con el detalle práctico correspondiente en el Capítulo 26 al tratar la determinación del costo computable a efectos del Impuesto a las Ganancias.</w:t>
      </w:r>
    </w:p>
    <w:p>
      <w:pPr>
        <w:pStyle w:val="Heading2"/>
        <w:spacing w:after="180" w:before="360"/>
      </w:pPr>
      <w:r>
        <w:rPr>
          <w:rFonts w:ascii="Garamond" w:cs="Garamond" w:eastAsia="Garamond" w:hAnsi="Garamond"/>
          <w:b/>
          <w:bCs/>
          <w:color w:val="10233F"/>
          <w:sz w:val="28"/>
          <w:szCs w:val="28"/>
        </w:rPr>
        <w:t xml:space="preserve">23.6. Síntesis del capítulo</w:t>
      </w:r>
    </w:p>
    <w:p>
      <w:pPr>
        <w:spacing w:after="160" w:line="300"/>
        <w:jc w:val="both"/>
      </w:pPr>
      <w:r>
        <w:rPr>
          <w:rFonts w:ascii="Garamond" w:cs="Garamond" w:eastAsia="Garamond" w:hAnsi="Garamond"/>
          <w:sz w:val="24"/>
          <w:szCs w:val="24"/>
        </w:rPr>
        <w:t xml:space="preserve">Este capítulo propuso una estructura de plan de cuentas específica para Bitcoin, comprensiva de cuentas patrimoniales diferenciadas según el modelo de costo o de revaluación bajo NIC 38 y según el encuadre como existencia bajo NIC 2; cuentas de resultado para el deterioro, la reversión, la venta, la minería y el resultado por tenencia de comercializadores; cuentas de orden para el seguimiento de la custodia propia y de terceros y de los compromisos en Lightning Network; y la recomendación de un libro auxiliar por lote de adquisición para sostener el método de identificación específica. El Capítulo 24 desarrolla, sobre la base de esta estructura de cuentas, los asientos contables correspondientes a cada uno de los supuestos normativos desarrollados en la Parte III de esta obra, mediante casos prácticos numéricos completos.</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23</w:t>
      </w:r>
    </w:p>
    <w:p>
      <w:pPr>
        <w:spacing w:after="160"/>
        <w:ind w:left="480" w:hanging="480"/>
        <w:jc w:val="both"/>
      </w:pPr>
      <w:r>
        <w:rPr>
          <w:rFonts w:ascii="Garamond" w:cs="Garamond" w:eastAsia="Garamond" w:hAnsi="Garamond"/>
          <w:sz w:val="22"/>
          <w:szCs w:val="22"/>
        </w:rPr>
        <w:t xml:space="preserve">Federación Argentina de Consejos Profesionales de Ciencias Económicas. (2000). Resolución Técnica N.º 17: Normas Contables Profesionales: Desarrollo de Cuestiones de Aplicación General.</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(2003). NIC 2: Inventarios. IFRS Foundation.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24</w:t>
      </w:r>
    </w:p>
    <w:p>
      <w:pPr>
        <w:spacing w:after="400"/>
      </w:pPr>
      <w:r>
        <w:rPr>
          <w:rFonts w:ascii="Garamond" w:cs="Garamond" w:eastAsia="Garamond" w:hAnsi="Garamond"/>
          <w:b/>
          <w:bCs/>
          <w:color w:val="9C7A2E"/>
          <w:sz w:val="40"/>
          <w:szCs w:val="40"/>
        </w:rPr>
        <w:t xml:space="preserve">Asientos contables: casos prácticos</w:t>
      </w:r>
    </w:p>
    <w:p>
      <w:pPr>
        <w:pStyle w:val="Heading2"/>
        <w:spacing w:after="180" w:before="360"/>
      </w:pPr>
      <w:r>
        <w:rPr>
          <w:rFonts w:ascii="Garamond" w:cs="Garamond" w:eastAsia="Garamond" w:hAnsi="Garamond"/>
          <w:b/>
          <w:bCs/>
          <w:color w:val="10233F"/>
          <w:sz w:val="28"/>
          <w:szCs w:val="28"/>
        </w:rPr>
        <w:t xml:space="preserve">24.1. Introducción: de la norma al asiento</w:t>
      </w:r>
    </w:p>
    <w:p>
      <w:pPr>
        <w:spacing w:after="160" w:line="300"/>
        <w:jc w:val="both"/>
      </w:pPr>
      <w:r>
        <w:rPr>
          <w:rFonts w:ascii="Garamond" w:cs="Garamond" w:eastAsia="Garamond" w:hAnsi="Garamond"/>
          <w:sz w:val="24"/>
          <w:szCs w:val="24"/>
        </w:rPr>
        <w:t xml:space="preserve">Los capítulos precedentes de esta obra desarrollaron, con el rigor normativo que la materia exige, el encuadre contable de Bitcoin bajo las NIIF (Parte III) y el plan de cuentas específico propuesto para su registración (Capítulo 23). Este capítulo traduce ese desarrollo en asientos contables completos, mediante siete casos prácticos que cubren la totalidad de los supuestos normativos relevantes identificados a lo largo de la obra: la tenencia de Bitcoin como inversión bajo el modelo de costo, con deterioro y reversión (caso 1); la tenencia bajo el modelo de revaluación, con superávit patrimonial y su consumo en revaluaciones sucesivas (caso 2); la actividad de minería con reconocimiento a valor razonable y venta parcial inmediata y diferida (caso 3); la recepción de Bitcoin como medio de pago bajo NIIF 15 y NIC 38 (caso 4); la venta con aplicación del método de identificación específica sobre múltiples lotes (caso 5); la amortización obligatoria bajo NIIF para PYMES (caso 6); y la interacción con el ajuste por inflación de la NIC 29 (caso 7).</w:t>
      </w:r>
    </w:p>
    <w:p>
      <w:pPr>
        <w:spacing w:after="160" w:line="300"/>
        <w:jc w:val="both"/>
      </w:pPr>
      <w:r>
        <w:rPr>
          <w:rFonts w:ascii="Garamond" w:cs="Garamond" w:eastAsia="Garamond" w:hAnsi="Garamond"/>
          <w:sz w:val="24"/>
          <w:szCs w:val="24"/>
        </w:rPr>
        <w:t xml:space="preserve">El desarrollo metodológico de los casos 1 a 4 de este capítulo sigue, en su estructura general —aunque con supuestos numéricos propios y con extensiones adicionales específicas de esta obra—, el enfoque de tres situaciones típicas (inversión de largo plazo, minería, y medio de pago) desarrollado por Robles, Bronstein, Castañeda y Sánchez (2025) en su análisis publicado en la Revista de Estudio de Derecho Tributario, Contabilidad y Auditoría de la Universidad Blas Pascal, trabajo que esta obra reconoce expresamente como antecedente académico argentino de primer orden en la materia, y cuya lectura complementaria se recomienda al lector interesado en profundizar el enfoque de revaluación sucesiva que dicho trabajo desarrolla con detalle propio.</w:t>
      </w:r>
    </w:p>
    <w:p>
      <w:pPr>
        <w:spacing w:after="160" w:line="300"/>
        <w:jc w:val="both"/>
      </w:pPr>
      <w:r>
        <w:rPr>
          <w:rFonts w:ascii="Garamond" w:cs="Garamond" w:eastAsia="Garamond" w:hAnsi="Garamond"/>
          <w:sz w:val="24"/>
          <w:szCs w:val="24"/>
        </w:rPr>
        <w:t xml:space="preserve">Por razones pedagógicas, y a diferencia del enfoque de dicho antecedente —que concentra su desarrollo en el modelo de revaluación—, esta obra presenta en paralelo el modelo de costo (caso 1) y el modelo de revaluación (caso 2), en consistencia con el desarrollo comparativo realizado en el Capítulo 13 de esta obra, de manera que el lector pueda apreciar con claridad las diferencias de exposición y de impacto en resultados que cada modelo genera sobre una misma tenencia de Bitcoin.</w:t>
      </w:r>
    </w:p>
    <w:p>
      <w:pPr>
        <w:pStyle w:val="Heading2"/>
        <w:spacing w:after="180" w:before="360"/>
      </w:pPr>
      <w:r>
        <w:rPr>
          <w:rFonts w:ascii="Garamond" w:cs="Garamond" w:eastAsia="Garamond" w:hAnsi="Garamond"/>
          <w:b/>
          <w:bCs/>
          <w:color w:val="10233F"/>
          <w:sz w:val="28"/>
          <w:szCs w:val="28"/>
        </w:rPr>
        <w:t xml:space="preserve">24.2. Caso 1 — Tenencia como inversión bajo el modelo de costo: deterioro y reversión</w:t>
      </w:r>
    </w:p>
    <w:p>
      <w:pPr>
        <w:spacing w:after="160" w:line="300"/>
        <w:jc w:val="both"/>
      </w:pPr>
      <w:r>
        <w:rPr>
          <w:rFonts w:ascii="Garamond" w:cs="Garamond" w:eastAsia="Garamond" w:hAnsi="Garamond"/>
          <w:sz w:val="24"/>
          <w:szCs w:val="24"/>
        </w:rPr>
        <w:t xml:space="preserve">La empresa Austral Capital S.A., que no clasifica su tenencia como existencia por no dedicarse a la comercialización de criptoactivos, adquiere el 15 de marzo de 2025 cinco (5) bitcoins a un precio unitario de $95.000.000, pagados mediante transferencia bancaria. La entidad opta, como política contable, por el modelo de costo de la NIC 38 desarrollado en el Capítulo 14 de esta obra.</w:t>
      </w:r>
    </w:p>
    <w:p>
      <w:pPr>
        <w:spacing w:after="80" w:before="200"/>
      </w:pPr>
      <w:r>
        <w:rPr>
          <w:rFonts w:ascii="Garamond" w:cs="Garamond" w:eastAsia="Garamond" w:hAnsi="Garamond"/>
          <w:b/>
          <w:bCs/>
          <w:sz w:val="22"/>
          <w:szCs w:val="22"/>
        </w:rPr>
        <w:t xml:space="preserve">15/03/2025 — </w:t>
      </w:r>
      <w:r>
        <w:rPr>
          <w:rFonts w:ascii="Garamond" w:cs="Garamond" w:eastAsia="Garamond" w:hAnsi="Garamond"/>
          <w:i/>
          <w:iCs/>
          <w:sz w:val="22"/>
          <w:szCs w:val="22"/>
        </w:rPr>
        <w:t xml:space="preserve">Compra de 5 BTC a $95.000.000 c/u. Costo total: $475.000.000.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Bitcoin — Costo (Activo Intangible)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475.000.000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Banco Cuenta Corriente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475.000.000</w:t>
            </w:r>
          </w:p>
        </w:tc>
      </w:tr>
    </w:tbl>
    <w:p>
      <w:pPr>
        <w:spacing w:after="200"/>
      </w:pPr>
    </w:p>
    <w:p>
      <w:pPr>
        <w:spacing w:after="160" w:line="300"/>
        <w:jc w:val="both"/>
      </w:pPr>
      <w:r>
        <w:rPr>
          <w:rFonts w:ascii="Garamond" w:cs="Garamond" w:eastAsia="Garamond" w:hAnsi="Garamond"/>
          <w:sz w:val="24"/>
          <w:szCs w:val="24"/>
        </w:rPr>
        <w:t xml:space="preserve">Al cierre del ejercicio, el 30 de junio de 2025, la cotización de Bitcoin cae a $88.000.000. Conforme al desarrollo de la NIC 36 realizado en el Capítulo 16, corresponde comparar el importe en libros ($475.000.000) con el importe recuperable (5 × $88.000.000 = $440.000.000), reconociendo una pérdida por deterioro por la diferencia de $35.000.000.</w:t>
      </w:r>
    </w:p>
    <w:p>
      <w:pPr>
        <w:spacing w:after="80" w:before="200"/>
      </w:pPr>
      <w:r>
        <w:rPr>
          <w:rFonts w:ascii="Garamond" w:cs="Garamond" w:eastAsia="Garamond" w:hAnsi="Garamond"/>
          <w:b/>
          <w:bCs/>
          <w:sz w:val="22"/>
          <w:szCs w:val="22"/>
        </w:rPr>
        <w:t xml:space="preserve">30/06/2025 — </w:t>
      </w:r>
      <w:r>
        <w:rPr>
          <w:rFonts w:ascii="Garamond" w:cs="Garamond" w:eastAsia="Garamond" w:hAnsi="Garamond"/>
          <w:i/>
          <w:iCs/>
          <w:sz w:val="22"/>
          <w:szCs w:val="22"/>
        </w:rPr>
        <w:t xml:space="preserve">Reconocimiento de pérdida por deterioro (importe en libros $475.000.000 vs. importe recuperable $440.000.000).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Pérdida por Deterioro de Bitcoin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35.000.000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Deterioro Acumulado de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35.000.000</w:t>
            </w:r>
          </w:p>
        </w:tc>
      </w:tr>
    </w:tbl>
    <w:p>
      <w:pPr>
        <w:spacing w:after="200"/>
      </w:pPr>
    </w:p>
    <w:p>
      <w:pPr>
        <w:spacing w:after="160" w:line="300"/>
        <w:jc w:val="both"/>
      </w:pPr>
      <w:r>
        <w:rPr>
          <w:rFonts w:ascii="Garamond" w:cs="Garamond" w:eastAsia="Garamond" w:hAnsi="Garamond"/>
          <w:sz w:val="24"/>
          <w:szCs w:val="24"/>
        </w:rPr>
        <w:t xml:space="preserve">Al cierre del ejercicio siguiente, el 31 de diciembre de 2025, la cotización de Bitcoin se recupera a $101.000.000, superando el costo histórico original de $95.000.000 por unidad. Conforme a la precisión normativa desarrollada en la sección 16.4 de esta obra, la reversión de la pérdida por deterioro procede, pero se encuentra limitada estrictamente al costo histórico original: el importe en libros no puede exceder los $475.000.000 originales, con independencia de que el valor razonable de mercado (5 × $101.000.000 = $505.000.000) sea significativamente superior. En consecuencia, se revierte la totalidad de la pérdida por deterioro reconocida en el ejercicio anterior ($35.000.000), sin reconocer plusvalía adicional alguna por encima del costo histórico.</w:t>
      </w:r>
    </w:p>
    <w:p>
      <w:pPr>
        <w:spacing w:after="80" w:before="200"/>
      </w:pPr>
      <w:r>
        <w:rPr>
          <w:rFonts w:ascii="Garamond" w:cs="Garamond" w:eastAsia="Garamond" w:hAnsi="Garamond"/>
          <w:b/>
          <w:bCs/>
          <w:sz w:val="22"/>
          <w:szCs w:val="22"/>
        </w:rPr>
        <w:t xml:space="preserve">31/12/2025 — </w:t>
      </w:r>
      <w:r>
        <w:rPr>
          <w:rFonts w:ascii="Garamond" w:cs="Garamond" w:eastAsia="Garamond" w:hAnsi="Garamond"/>
          <w:i/>
          <w:iCs/>
          <w:sz w:val="22"/>
          <w:szCs w:val="22"/>
        </w:rPr>
        <w:t xml:space="preserve">Reversión de deterioro, limitada al costo histórico original ($475.000.000). No se reconoce la plusvalía de mercado por encima de ese límite.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Deterioro Acumulado de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35.000.000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Reversión de Deterioro de Bitcoin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35.000.000</w:t>
            </w:r>
          </w:p>
        </w:tc>
      </w:tr>
    </w:tbl>
    <w:p>
      <w:pPr>
        <w:spacing w:after="200"/>
      </w:pPr>
    </w:p>
    <w:p>
      <w:pPr>
        <w:spacing w:after="160" w:line="300"/>
        <w:jc w:val="both"/>
      </w:pPr>
      <w:r>
        <w:rPr>
          <w:rFonts w:ascii="Garamond" w:cs="Garamond" w:eastAsia="Garamond" w:hAnsi="Garamond"/>
          <w:sz w:val="24"/>
          <w:szCs w:val="24"/>
        </w:rPr>
        <w:t xml:space="preserve">Como consecuencia de estos asientos, el valor de libros de la tenencia de Bitcoin de Austral Capital S.A. al 31 de diciembre de 2025 asciende a $475.000.000 —su costo histórico original—, a pesar de que su valor de mercado a esa fecha asciende a $505.000.000, ilustrando de manera numérica concreta la asimetría de reconocimiento desarrollada extensamente en el Capítulo 13 de esta obra.</w:t>
      </w:r>
    </w:p>
    <w:p>
      <w:pPr>
        <w:pStyle w:val="Heading2"/>
        <w:spacing w:after="180" w:before="360"/>
      </w:pPr>
      <w:r>
        <w:rPr>
          <w:rFonts w:ascii="Garamond" w:cs="Garamond" w:eastAsia="Garamond" w:hAnsi="Garamond"/>
          <w:b/>
          <w:bCs/>
          <w:color w:val="10233F"/>
          <w:sz w:val="28"/>
          <w:szCs w:val="28"/>
        </w:rPr>
        <w:t xml:space="preserve">24.3. Caso 2 — Tenencia como inversión bajo el modelo de revaluación</w:t>
      </w:r>
    </w:p>
    <w:p>
      <w:pPr>
        <w:spacing w:after="160" w:line="300"/>
        <w:jc w:val="both"/>
      </w:pPr>
      <w:r>
        <w:rPr>
          <w:rFonts w:ascii="Garamond" w:cs="Garamond" w:eastAsia="Garamond" w:hAnsi="Garamond"/>
          <w:sz w:val="24"/>
          <w:szCs w:val="24"/>
        </w:rPr>
        <w:t xml:space="preserve">La empresa Delta Digital Assets S.A. adquiere el 10 de febrero de 2025 ocho (8) bitcoins a un precio unitario de $92.000.000, y opta, a diferencia del caso anterior, por el modelo de revaluación de la NIC 38, en el entendimiento de que la cotización de Bitcoin en los exchanges de referencia satisface el estándar de mercado activo desarrollado en la sección 14.7 de esta obra.</w:t>
      </w:r>
    </w:p>
    <w:p>
      <w:pPr>
        <w:spacing w:after="80" w:before="200"/>
      </w:pPr>
      <w:r>
        <w:rPr>
          <w:rFonts w:ascii="Garamond" w:cs="Garamond" w:eastAsia="Garamond" w:hAnsi="Garamond"/>
          <w:b/>
          <w:bCs/>
          <w:sz w:val="22"/>
          <w:szCs w:val="22"/>
        </w:rPr>
        <w:t xml:space="preserve">10/02/2025 — </w:t>
      </w:r>
      <w:r>
        <w:rPr>
          <w:rFonts w:ascii="Garamond" w:cs="Garamond" w:eastAsia="Garamond" w:hAnsi="Garamond"/>
          <w:i/>
          <w:iCs/>
          <w:sz w:val="22"/>
          <w:szCs w:val="22"/>
        </w:rPr>
        <w:t xml:space="preserve">Compra de 8 BTC a $92.000.000 c/u. Costo inicial: $736.000.000.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Bitcoin — Valor Razonable (Activo Intangible)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736.000.000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Banco Cuenta Corriente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736.000.000</w:t>
            </w:r>
          </w:p>
        </w:tc>
      </w:tr>
    </w:tbl>
    <w:p>
      <w:pPr>
        <w:spacing w:after="200"/>
      </w:pPr>
    </w:p>
    <w:p>
      <w:pPr>
        <w:spacing w:after="160" w:line="300"/>
        <w:jc w:val="both"/>
      </w:pPr>
      <w:r>
        <w:rPr>
          <w:rFonts w:ascii="Garamond" w:cs="Garamond" w:eastAsia="Garamond" w:hAnsi="Garamond"/>
          <w:sz w:val="24"/>
          <w:szCs w:val="24"/>
        </w:rPr>
        <w:t xml:space="preserve">Al cierre del 30 de junio de 2025, la cotización asciende a $99.500.000, generando un incremento de valor de $60.000.000 (8 × $7.500.000), que, conforme al párrafo 85 de la NIC 38 desarrollado en el Capítulo 14, se reconoce directamente en otro resultado integral, acumulándose en el patrimonio bajo la cuenta de superávit de revaluación.</w:t>
      </w:r>
    </w:p>
    <w:p>
      <w:pPr>
        <w:spacing w:after="80" w:before="200"/>
      </w:pPr>
      <w:r>
        <w:rPr>
          <w:rFonts w:ascii="Garamond" w:cs="Garamond" w:eastAsia="Garamond" w:hAnsi="Garamond"/>
          <w:b/>
          <w:bCs/>
          <w:sz w:val="22"/>
          <w:szCs w:val="22"/>
        </w:rPr>
        <w:t xml:space="preserve">30/06/2025 — </w:t>
      </w:r>
      <w:r>
        <w:rPr>
          <w:rFonts w:ascii="Garamond" w:cs="Garamond" w:eastAsia="Garamond" w:hAnsi="Garamond"/>
          <w:i/>
          <w:iCs/>
          <w:sz w:val="22"/>
          <w:szCs w:val="22"/>
        </w:rPr>
        <w:t xml:space="preserve">Revaluación positiva: de $92.000.000 a $99.500.000 por unidad. Reconocimiento en ORI.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Bitcoin — Valor Razonable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60.000.000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Superávit de Revaluación — Bitcoin (Patrimonio / ORI)</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60.000.000</w:t>
            </w:r>
          </w:p>
        </w:tc>
      </w:tr>
    </w:tbl>
    <w:p>
      <w:pPr>
        <w:spacing w:after="200"/>
      </w:pPr>
    </w:p>
    <w:p>
      <w:pPr>
        <w:spacing w:after="160" w:line="300"/>
        <w:jc w:val="both"/>
      </w:pPr>
      <w:r>
        <w:rPr>
          <w:rFonts w:ascii="Garamond" w:cs="Garamond" w:eastAsia="Garamond" w:hAnsi="Garamond"/>
          <w:sz w:val="24"/>
          <w:szCs w:val="24"/>
        </w:rPr>
        <w:t xml:space="preserve">Al cierre del 31 de diciembre de 2025, la cotización retrocede a $94.000.000, generando una disminución de valor de $44.000.000 (8 × $5.500.000). Conforme al párrafo 85 de la NIC 38, esta disminución se carga, en primer término, contra el superávit de revaluación acumulado ($60.000.000), en la medida en que ese saldo resulte suficiente para absorberla, sin afectar el resultado del ejercicio.</w:t>
      </w:r>
    </w:p>
    <w:p>
      <w:pPr>
        <w:spacing w:after="80" w:before="200"/>
      </w:pPr>
      <w:r>
        <w:rPr>
          <w:rFonts w:ascii="Garamond" w:cs="Garamond" w:eastAsia="Garamond" w:hAnsi="Garamond"/>
          <w:b/>
          <w:bCs/>
          <w:sz w:val="22"/>
          <w:szCs w:val="22"/>
        </w:rPr>
        <w:t xml:space="preserve">31/12/2025 — </w:t>
      </w:r>
      <w:r>
        <w:rPr>
          <w:rFonts w:ascii="Garamond" w:cs="Garamond" w:eastAsia="Garamond" w:hAnsi="Garamond"/>
          <w:i/>
          <w:iCs/>
          <w:sz w:val="22"/>
          <w:szCs w:val="22"/>
        </w:rPr>
        <w:t xml:space="preserve">Revaluación negativa: de $99.500.000 a $94.000.000 por unidad. Absorbida íntegramente por el superávit acumulado (saldo remanente: $16.000.000).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Superávit de Revaluación —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44.000.000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Bitcoin — Valor Razonable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44.000.000</w:t>
            </w:r>
          </w:p>
        </w:tc>
      </w:tr>
    </w:tbl>
    <w:p>
      <w:pPr>
        <w:spacing w:after="200"/>
      </w:pPr>
    </w:p>
    <w:p>
      <w:pPr>
        <w:spacing w:after="160" w:line="300"/>
        <w:jc w:val="both"/>
      </w:pPr>
      <w:r>
        <w:rPr>
          <w:rFonts w:ascii="Garamond" w:cs="Garamond" w:eastAsia="Garamond" w:hAnsi="Garamond"/>
          <w:sz w:val="24"/>
          <w:szCs w:val="24"/>
        </w:rPr>
        <w:t xml:space="preserve">Finalmente, al cierre del 30 de junio de 2026, la cotización cae adicionalmente a $85.000.000, generando una nueva disminución de $72.000.000 (8 × $9.000.000). Dado que el saldo remanente del superávit de revaluación asciende únicamente a $16.000.000, ese saldo se agota en su totalidad, y el excedente de $56.000.000 se reconoce directamente en el resultado del ejercicio como pérdida, conforme al propio párrafo 85 de la norma.</w:t>
      </w:r>
    </w:p>
    <w:p>
      <w:pPr>
        <w:spacing w:after="80" w:before="200"/>
      </w:pPr>
      <w:r>
        <w:rPr>
          <w:rFonts w:ascii="Garamond" w:cs="Garamond" w:eastAsia="Garamond" w:hAnsi="Garamond"/>
          <w:b/>
          <w:bCs/>
          <w:sz w:val="22"/>
          <w:szCs w:val="22"/>
        </w:rPr>
        <w:t xml:space="preserve">30/06/2026 — </w:t>
      </w:r>
      <w:r>
        <w:rPr>
          <w:rFonts w:ascii="Garamond" w:cs="Garamond" w:eastAsia="Garamond" w:hAnsi="Garamond"/>
          <w:i/>
          <w:iCs/>
          <w:sz w:val="22"/>
          <w:szCs w:val="22"/>
        </w:rPr>
        <w:t xml:space="preserve">Revaluación negativa que excede el superávit remanente ($16.000.000). El excedente ($56.000.000) impacta en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Superávit de Revaluación —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16.000.000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Pérdida por Deterioro de Bitcoin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56.000.000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Bitcoin — Valor Razonable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72.000.000</w:t>
            </w:r>
          </w:p>
        </w:tc>
      </w:tr>
    </w:tbl>
    <w:p>
      <w:pPr>
        <w:spacing w:after="200"/>
      </w:pPr>
    </w:p>
    <w:p>
      <w:pPr>
        <w:spacing w:after="160" w:line="300"/>
        <w:jc w:val="both"/>
      </w:pPr>
      <w:r>
        <w:rPr>
          <w:rFonts w:ascii="Garamond" w:cs="Garamond" w:eastAsia="Garamond" w:hAnsi="Garamond"/>
          <w:sz w:val="24"/>
          <w:szCs w:val="24"/>
        </w:rPr>
        <w:t xml:space="preserve">Este caso ilustra con claridad numérica el mecanismo de «colchón» que el superávit de revaluación provee frente a caídas de valor: mientras exista saldo acumulado suficiente, las disminuciones no impactan en el resultado del ejercicio, pero una vez agotado ese saldo, cualquier disminución adicional se reconoce íntegramente en resultados, mecanismo desarrollado conceptualmente en el Capítulo 11 de esta obra al tratar la definición de patrimonio del Marco Conceptual.</w:t>
      </w:r>
    </w:p>
    <w:p>
      <w:pPr>
        <w:pStyle w:val="Heading2"/>
        <w:spacing w:after="180" w:before="360"/>
      </w:pPr>
      <w:r>
        <w:rPr>
          <w:rFonts w:ascii="Garamond" w:cs="Garamond" w:eastAsia="Garamond" w:hAnsi="Garamond"/>
          <w:b/>
          <w:bCs/>
          <w:color w:val="10233F"/>
          <w:sz w:val="28"/>
          <w:szCs w:val="28"/>
        </w:rPr>
        <w:t xml:space="preserve">24.4. Caso 3 — Minería de Bitcoin: reconocimiento, costos y venta parcial</w:t>
      </w:r>
    </w:p>
    <w:p>
      <w:pPr>
        <w:spacing w:after="160" w:line="300"/>
        <w:jc w:val="both"/>
      </w:pPr>
      <w:r>
        <w:rPr>
          <w:rFonts w:ascii="Garamond" w:cs="Garamond" w:eastAsia="Garamond" w:hAnsi="Garamond"/>
          <w:sz w:val="24"/>
          <w:szCs w:val="24"/>
        </w:rPr>
        <w:t xml:space="preserve">La empresa Hashrate Argentina S.R.L., dedicada a la actividad de minería de Bitcoin desarrollada en el Capítulo 4, obtiene el 5 de septiembre de 2025 una recompensa de bloque de 3,2 bitcoins, con una cotización de $90.000.000 por unidad a esa fecha. En virtud de que el modelo de negocio de la entidad consiste en la venta habitual de su producción para financiar sus costos operativos —según el criterio desarrollado en la sección 15.5 de esta obra—, la entidad clasifica esta tenencia como existencia bajo NIC 2, y aplica la excepción de comercializadores de materias primas cotizadas del párrafo 3(b) de esa norma, midiendo su inventario a valor razonable con cambios en resultados.</w:t>
      </w:r>
    </w:p>
    <w:p>
      <w:pPr>
        <w:spacing w:after="80" w:before="200"/>
      </w:pPr>
      <w:r>
        <w:rPr>
          <w:rFonts w:ascii="Garamond" w:cs="Garamond" w:eastAsia="Garamond" w:hAnsi="Garamond"/>
          <w:b/>
          <w:bCs/>
          <w:sz w:val="22"/>
          <w:szCs w:val="22"/>
        </w:rPr>
        <w:t xml:space="preserve">05/09/2025 — </w:t>
      </w:r>
      <w:r>
        <w:rPr>
          <w:rFonts w:ascii="Garamond" w:cs="Garamond" w:eastAsia="Garamond" w:hAnsi="Garamond"/>
          <w:i/>
          <w:iCs/>
          <w:sz w:val="22"/>
          <w:szCs w:val="22"/>
        </w:rPr>
        <w:t xml:space="preserve">Recompensa de minería: 3,2 BTC a valor razonable de $90.000.000 c/u.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Bitcoin para Reventa (Bienes de Cambio)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288.000.000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Ingresos por Minería de Bitcoin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288.000.000</w:t>
            </w:r>
          </w:p>
        </w:tc>
      </w:tr>
    </w:tbl>
    <w:p>
      <w:pPr>
        <w:spacing w:after="200"/>
      </w:pPr>
    </w:p>
    <w:p>
      <w:pPr>
        <w:spacing w:after="160" w:line="300"/>
        <w:jc w:val="both"/>
      </w:pPr>
      <w:r>
        <w:rPr>
          <w:rFonts w:ascii="Garamond" w:cs="Garamond" w:eastAsia="Garamond" w:hAnsi="Garamond"/>
          <w:sz w:val="24"/>
          <w:szCs w:val="24"/>
        </w:rPr>
        <w:t xml:space="preserve">Los costos operativos del período de minería —energía eléctrica, mantenimiento del hardware descrito en el Capítulo 4, y honorarios técnicos— ascienden a $210.000.000, abonados mediante transferencia bancaria.</w:t>
      </w:r>
    </w:p>
    <w:p>
      <w:pPr>
        <w:spacing w:after="80" w:before="200"/>
      </w:pPr>
      <w:r>
        <w:rPr>
          <w:rFonts w:ascii="Garamond" w:cs="Garamond" w:eastAsia="Garamond" w:hAnsi="Garamond"/>
          <w:b/>
          <w:bCs/>
          <w:sz w:val="22"/>
          <w:szCs w:val="22"/>
        </w:rPr>
        <w:t xml:space="preserve">05/09/2025 — </w:t>
      </w:r>
      <w:r>
        <w:rPr>
          <w:rFonts w:ascii="Garamond" w:cs="Garamond" w:eastAsia="Garamond" w:hAnsi="Garamond"/>
          <w:i/>
          <w:iCs/>
          <w:sz w:val="22"/>
          <w:szCs w:val="22"/>
        </w:rPr>
        <w:t xml:space="preserve">Reconocimiento de los costos operativos de la actividad de minería del período.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Gastos de Minería (energía, mantenimiento, personal)</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210.000.000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Banco Cuenta Corriente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210.000.000</w:t>
            </w:r>
          </w:p>
        </w:tc>
      </w:tr>
    </w:tbl>
    <w:p>
      <w:pPr>
        <w:spacing w:after="200"/>
      </w:pPr>
    </w:p>
    <w:p>
      <w:pPr>
        <w:spacing w:after="160" w:line="300"/>
        <w:jc w:val="both"/>
      </w:pPr>
      <w:r>
        <w:rPr>
          <w:rFonts w:ascii="Garamond" w:cs="Garamond" w:eastAsia="Garamond" w:hAnsi="Garamond"/>
          <w:sz w:val="24"/>
          <w:szCs w:val="24"/>
        </w:rPr>
        <w:t xml:space="preserve">El mismo día, la entidad vende de manera inmediata uno (1) de los bitcoins obtenidos, a la misma cotización de $90.000.000, sin generar resultado adicional por tratarse del mismo valor razonable de reconocimiento.</w:t>
      </w:r>
    </w:p>
    <w:p>
      <w:pPr>
        <w:spacing w:after="80" w:before="200"/>
      </w:pPr>
      <w:r>
        <w:rPr>
          <w:rFonts w:ascii="Garamond" w:cs="Garamond" w:eastAsia="Garamond" w:hAnsi="Garamond"/>
          <w:b/>
          <w:bCs/>
          <w:sz w:val="22"/>
          <w:szCs w:val="22"/>
        </w:rPr>
        <w:t xml:space="preserve">05/09/2025 — </w:t>
      </w:r>
      <w:r>
        <w:rPr>
          <w:rFonts w:ascii="Garamond" w:cs="Garamond" w:eastAsia="Garamond" w:hAnsi="Garamond"/>
          <w:i/>
          <w:iCs/>
          <w:sz w:val="22"/>
          <w:szCs w:val="22"/>
        </w:rPr>
        <w:t xml:space="preserve">Venta inmediata de 1 BTC a la misma cotización de reconocimiento.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Banco Cuenta Corriente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90.000.000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Bitcoin para Reventa</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90.000.000</w:t>
            </w:r>
          </w:p>
        </w:tc>
      </w:tr>
    </w:tbl>
    <w:p>
      <w:pPr>
        <w:spacing w:after="200"/>
      </w:pPr>
    </w:p>
    <w:p>
      <w:pPr>
        <w:spacing w:after="160" w:line="300"/>
        <w:jc w:val="both"/>
      </w:pPr>
      <w:r>
        <w:rPr>
          <w:rFonts w:ascii="Garamond" w:cs="Garamond" w:eastAsia="Garamond" w:hAnsi="Garamond"/>
          <w:sz w:val="24"/>
          <w:szCs w:val="24"/>
        </w:rPr>
        <w:t xml:space="preserve">El 20 de octubre de 2025, la entidad vende los 2,2 bitcoins remanentes de esa recompensa específica, a una cotización de $93.500.000 por unidad, generando una ganancia por tenencia de $7.700.000 (2,2 × $3.500.000) respecto del valor razonable al cual esos bitcoins habían sido inicialmente reconocidos como inventario.</w:t>
      </w:r>
    </w:p>
    <w:p>
      <w:pPr>
        <w:spacing w:after="80" w:before="200"/>
      </w:pPr>
      <w:r>
        <w:rPr>
          <w:rFonts w:ascii="Garamond" w:cs="Garamond" w:eastAsia="Garamond" w:hAnsi="Garamond"/>
          <w:b/>
          <w:bCs/>
          <w:sz w:val="22"/>
          <w:szCs w:val="22"/>
        </w:rPr>
        <w:t xml:space="preserve">20/10/2025 — </w:t>
      </w:r>
      <w:r>
        <w:rPr>
          <w:rFonts w:ascii="Garamond" w:cs="Garamond" w:eastAsia="Garamond" w:hAnsi="Garamond"/>
          <w:i/>
          <w:iCs/>
          <w:sz w:val="22"/>
          <w:szCs w:val="22"/>
        </w:rPr>
        <w:t xml:space="preserve">Venta de 2,2 BTC remanentes a $93.500.000 c/u. Ingreso: $205.700.000. Baja de inventario a valor original: $198.000.000.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Banco Cuenta Corriente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205.700.000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Bitcoin para Reventa</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198.000.000</w:t>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Resultado por Tenencia de Bitcoin — Comercializadores</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7.700.000</w:t>
            </w:r>
          </w:p>
        </w:tc>
      </w:tr>
    </w:tbl>
    <w:p>
      <w:pPr>
        <w:spacing w:after="200"/>
      </w:pPr>
    </w:p>
    <w:p>
      <w:pPr>
        <w:spacing w:after="160" w:line="300"/>
        <w:jc w:val="both"/>
      </w:pPr>
      <w:r>
        <w:rPr>
          <w:rFonts w:ascii="Garamond" w:cs="Garamond" w:eastAsia="Garamond" w:hAnsi="Garamond"/>
          <w:sz w:val="24"/>
          <w:szCs w:val="24"/>
        </w:rPr>
        <w:t xml:space="preserve">Este caso ilustra la mecánica de reconocimiento en dos etapas que caracteriza a la actividad de minería bajo el encuadre de existencias desarrollado en el Capítulo 15: el ingreso por minería se reconoce en el momento de obtención de la recompensa, a valor razonable, con independencia de que la venta efectiva se produzca de manera inmediata o diferida, y cualquier variación posterior de valor razonable hasta el momento de la venta se reconoce como un resultado por tenencia separado del ingreso por minería original.</w:t>
      </w:r>
    </w:p>
    <w:p>
      <w:pPr>
        <w:pStyle w:val="Heading2"/>
        <w:spacing w:after="180" w:before="360"/>
      </w:pPr>
      <w:r>
        <w:rPr>
          <w:rFonts w:ascii="Garamond" w:cs="Garamond" w:eastAsia="Garamond" w:hAnsi="Garamond"/>
          <w:b/>
          <w:bCs/>
          <w:color w:val="10233F"/>
          <w:sz w:val="28"/>
          <w:szCs w:val="28"/>
        </w:rPr>
        <w:t xml:space="preserve">24.5. Caso 4 — Recepción de Bitcoin como medio de pago</w:t>
      </w:r>
    </w:p>
    <w:p>
      <w:pPr>
        <w:spacing w:after="160" w:line="300"/>
        <w:jc w:val="both"/>
      </w:pPr>
      <w:r>
        <w:rPr>
          <w:rFonts w:ascii="Garamond" w:cs="Garamond" w:eastAsia="Garamond" w:hAnsi="Garamond"/>
          <w:sz w:val="24"/>
          <w:szCs w:val="24"/>
        </w:rPr>
        <w:t xml:space="preserve">La empresa Andes Tecnología S.A., dedicada a la comercialización de equipamiento informático, acepta Bitcoin como medio de pago de sus clientes. El 14 de abril de 2025, vende mercadería por un valor de $53.900.000, que el cliente abona mediante la transferencia de 0,55 bitcoins, con una cotización de $98.000.000 por unidad a esa fecha. Conforme al desarrollo realizado en el Capítulo 12 de esta obra, el ingreso por la venta de mercadería se reconoce bajo NIIF 15 al valor razonable de la contraprestación no dineraria recibida, que coincide con el costo de reconocimiento inicial del activo Bitcoin bajo NIC 38.</w:t>
      </w:r>
    </w:p>
    <w:p>
      <w:pPr>
        <w:spacing w:after="80" w:before="200"/>
      </w:pPr>
      <w:r>
        <w:rPr>
          <w:rFonts w:ascii="Garamond" w:cs="Garamond" w:eastAsia="Garamond" w:hAnsi="Garamond"/>
          <w:b/>
          <w:bCs/>
          <w:sz w:val="22"/>
          <w:szCs w:val="22"/>
        </w:rPr>
        <w:t xml:space="preserve">14/04/2025 — </w:t>
      </w:r>
      <w:r>
        <w:rPr>
          <w:rFonts w:ascii="Garamond" w:cs="Garamond" w:eastAsia="Garamond" w:hAnsi="Garamond"/>
          <w:i/>
          <w:iCs/>
          <w:sz w:val="22"/>
          <w:szCs w:val="22"/>
        </w:rPr>
        <w:t xml:space="preserve">Venta de mercadería cobrada mediante 0,55 BTC (cotización $98.000.000). Reconocimiento del ingreso (NIIF 15) y del activo Bitcoin (NIC 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Bitcoin — Costo (Activo Intangible)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53.900.000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Ventas de Mercaderías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53.900.000</w:t>
            </w:r>
          </w:p>
        </w:tc>
      </w:tr>
    </w:tbl>
    <w:p>
      <w:pPr>
        <w:spacing w:after="200"/>
      </w:pPr>
    </w:p>
    <w:p>
      <w:pPr>
        <w:spacing w:after="160" w:line="300"/>
        <w:jc w:val="both"/>
      </w:pPr>
      <w:r>
        <w:rPr>
          <w:rFonts w:ascii="Garamond" w:cs="Garamond" w:eastAsia="Garamond" w:hAnsi="Garamond"/>
          <w:sz w:val="24"/>
          <w:szCs w:val="24"/>
        </w:rPr>
        <w:t xml:space="preserve">La entidad, que no destina esta tenencia a la venta habitual, opta por el modelo de costo. Al cierre del 30 de junio de 2025, la cotización de Bitcoin cae a $91.000.000, generando una pérdida por deterioro de $3.850.000 (0,55 × $7.000.000).</w:t>
      </w:r>
    </w:p>
    <w:p>
      <w:pPr>
        <w:spacing w:after="80" w:before="200"/>
      </w:pPr>
      <w:r>
        <w:rPr>
          <w:rFonts w:ascii="Garamond" w:cs="Garamond" w:eastAsia="Garamond" w:hAnsi="Garamond"/>
          <w:b/>
          <w:bCs/>
          <w:sz w:val="22"/>
          <w:szCs w:val="22"/>
        </w:rPr>
        <w:t xml:space="preserve">30/06/2025 — </w:t>
      </w:r>
      <w:r>
        <w:rPr>
          <w:rFonts w:ascii="Garamond" w:cs="Garamond" w:eastAsia="Garamond" w:hAnsi="Garamond"/>
          <w:i/>
          <w:iCs/>
          <w:sz w:val="22"/>
          <w:szCs w:val="22"/>
        </w:rPr>
        <w:t xml:space="preserve">Deterioro por caída de cotización de $98.000.000 a $91.000.000 por unidad.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Pérdida por Deterioro de Bitcoin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3.850.000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Deterioro Acumulado de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3.850.000</w:t>
            </w:r>
          </w:p>
        </w:tc>
      </w:tr>
    </w:tbl>
    <w:p>
      <w:pPr>
        <w:spacing w:after="200"/>
      </w:pPr>
    </w:p>
    <w:p>
      <w:pPr>
        <w:spacing w:after="160" w:line="300"/>
        <w:jc w:val="both"/>
      </w:pPr>
      <w:r>
        <w:rPr>
          <w:rFonts w:ascii="Garamond" w:cs="Garamond" w:eastAsia="Garamond" w:hAnsi="Garamond"/>
          <w:sz w:val="24"/>
          <w:szCs w:val="24"/>
        </w:rPr>
        <w:t xml:space="preserve">Este caso pone de manifiesto una precisión metodológica relevante que merece ser destacada: el ingreso de $53.900.000 reconocido bajo NIIF 15 en el momento de la venta de mercadería es definitivo e irreversible, con independencia de las fluctuaciones posteriores del valor de Bitcoin. La pérdida por deterioro reconocida en el ejercicio siguiente constituye un resultado autónomo y distinto, vinculado exclusivamente a la tenencia del activo Bitcoin recibido, y no afecta ni reabre el reconocimiento del ingreso por la venta original, distinción conceptual desarrollada en la sección 12.3 de esta obra.</w:t>
      </w:r>
    </w:p>
    <w:p>
      <w:pPr>
        <w:pStyle w:val="Heading2"/>
        <w:spacing w:after="180" w:before="360"/>
      </w:pPr>
      <w:r>
        <w:rPr>
          <w:rFonts w:ascii="Garamond" w:cs="Garamond" w:eastAsia="Garamond" w:hAnsi="Garamond"/>
          <w:b/>
          <w:bCs/>
          <w:color w:val="10233F"/>
          <w:sz w:val="28"/>
          <w:szCs w:val="28"/>
        </w:rPr>
        <w:t xml:space="preserve">24.6. Caso 5 — Venta con método de identificación específica sobre múltiples lotes</w:t>
      </w:r>
    </w:p>
    <w:p>
      <w:pPr>
        <w:spacing w:after="160" w:line="300"/>
        <w:jc w:val="both"/>
      </w:pPr>
      <w:r>
        <w:rPr>
          <w:rFonts w:ascii="Garamond" w:cs="Garamond" w:eastAsia="Garamond" w:hAnsi="Garamond"/>
          <w:sz w:val="24"/>
          <w:szCs w:val="24"/>
        </w:rPr>
        <w:t xml:space="preserve">La empresa Cordillera Inversiones S.A. mantiene, al 12 de junio de 2025, tres lotes de Bitcoin adquiridos en fechas y a costos distintos, registrados en el libro auxiliar por lote desarrollado en la sección 23.5 de esta obra: Lote A, de 2 BTC, adquirido el 18 de enero de 2025 a $90.000.000 por unidad; Lote B, de 1,5 BTC, adquirido el 10 de marzo de 2025 a $96.000.000 por unidad; y Lote C, de 1 BTC, adquirido el 5 de mayo de 2025 a $102.000.000 por unidad.</w:t>
      </w:r>
    </w:p>
    <w:p>
      <w:pPr>
        <w:spacing w:after="160" w:line="300"/>
        <w:jc w:val="both"/>
      </w:pPr>
      <w:r>
        <w:rPr>
          <w:rFonts w:ascii="Garamond" w:cs="Garamond" w:eastAsia="Garamond" w:hAnsi="Garamond"/>
          <w:sz w:val="24"/>
          <w:szCs w:val="24"/>
        </w:rPr>
        <w:t xml:space="preserve">Ese día, la entidad vende 2,5 BTC a una cotización de $99.000.000 por unidad, e instruye a su wallet la selección específica de las UTXO correspondientes al Lote C (1 BTC) y a 1,5 BTC del Lote B, en los términos de la trazabilidad individualizada por UTXO desarrollada en el Capítulo 8 de esta obra, en lugar de emplear un método de costeo promedio o FIFO.</w:t>
      </w:r>
    </w:p>
    <w:p>
      <w:pPr>
        <w:spacing w:after="80" w:before="200"/>
      </w:pPr>
      <w:r>
        <w:rPr>
          <w:rFonts w:ascii="Garamond" w:cs="Garamond" w:eastAsia="Garamond" w:hAnsi="Garamond"/>
          <w:b/>
          <w:bCs/>
          <w:sz w:val="22"/>
          <w:szCs w:val="22"/>
        </w:rPr>
        <w:t xml:space="preserve">12/06/2025 — </w:t>
      </w:r>
      <w:r>
        <w:rPr>
          <w:rFonts w:ascii="Garamond" w:cs="Garamond" w:eastAsia="Garamond" w:hAnsi="Garamond"/>
          <w:i/>
          <w:iCs/>
          <w:sz w:val="22"/>
          <w:szCs w:val="22"/>
        </w:rPr>
        <w:t xml:space="preserve">Venta de 2,5 BTC (1 BTC del Lote C + 1,5 BTC del Lote B) a $99.000.000 c/u. Identificación específica de UTXO.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Banco Cuenta Corriente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247.500.000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Bitcoin — Costo (Lote C: 1 BTC)</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102.000.000</w:t>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Bitcoin — Costo (Lote B: 1,5 BTC)</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144.000.000</w:t>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Resultado por Venta de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1.500.000</w:t>
            </w:r>
          </w:p>
        </w:tc>
      </w:tr>
    </w:tbl>
    <w:p>
      <w:pPr>
        <w:spacing w:after="200"/>
      </w:pPr>
    </w:p>
    <w:p>
      <w:pPr>
        <w:spacing w:after="160" w:line="300"/>
        <w:jc w:val="both"/>
      </w:pPr>
      <w:r>
        <w:rPr>
          <w:rFonts w:ascii="Garamond" w:cs="Garamond" w:eastAsia="Garamond" w:hAnsi="Garamond"/>
          <w:sz w:val="24"/>
          <w:szCs w:val="24"/>
        </w:rPr>
        <w:t xml:space="preserve">Resulta ilustrativo contrastar este resultado con el que se habría obtenido de aplicarse, en cambio, un criterio de primero entrado, primero salido (FIFO), que hubiera consumido en primer término el Lote A (el de menor costo, $90.000.000): bajo ese criterio alternativo, el costo computable habría ascendido a $216.000.000 (2 BTC del Lote A a $90.000.000 más 0,5 BTC del Lote B a $96.000.000), generando una ganancia sustancialmente mayor de $31.500.000, en lugar de los $1.500.000 determinados mediante identificación específica. Esta diferencia —de magnitud considerable en el ejemplo desarrollado— ilustra con claridad numérica por qué la elección del método de determinación del costo computable, que se retomará con el detalle impositivo correspondiente en el Capítulo 26 de esta obra, constituye una decisión de gestión fiscal de primer orden, y no una mera formalidad técnica.</w:t>
      </w:r>
    </w:p>
    <w:p>
      <w:pPr>
        <w:pStyle w:val="Heading2"/>
        <w:spacing w:after="180" w:before="360"/>
      </w:pPr>
      <w:r>
        <w:rPr>
          <w:rFonts w:ascii="Garamond" w:cs="Garamond" w:eastAsia="Garamond" w:hAnsi="Garamond"/>
          <w:b/>
          <w:bCs/>
          <w:color w:val="10233F"/>
          <w:sz w:val="28"/>
          <w:szCs w:val="28"/>
        </w:rPr>
        <w:t xml:space="preserve">24.7. Caso 6 — Amortización obligatoria bajo NIIF para PYMES (RT 41)</w:t>
      </w:r>
    </w:p>
    <w:p>
      <w:pPr>
        <w:spacing w:after="160" w:line="300"/>
        <w:jc w:val="both"/>
      </w:pPr>
      <w:r>
        <w:rPr>
          <w:rFonts w:ascii="Garamond" w:cs="Garamond" w:eastAsia="Garamond" w:hAnsi="Garamond"/>
          <w:sz w:val="24"/>
          <w:szCs w:val="24"/>
        </w:rPr>
        <w:t xml:space="preserve">La empresa Sierra Chica Consultora S.R.L., que califica como PYME conforme a los criterios de la RT 41 y aplica, en consecuencia, la NIIF para PYMES desarrollada en la sección 22.3 de esta obra, adquiere el 2 de enero de 2025 un (1) bitcoin a un costo de $93.000.000. A diferencia de los casos precedentes bajo NIIF completa, la entidad debe amortizar sistemáticamente este activo intangible, presumiendo, ante la imposibilidad de estimar de manera fiable su vida útil, un plazo de diez años conforme al párrafo 18.20 de la NIIF para PYMES, lo que determina una amortización anual lineal de $9.300.000.</w:t>
      </w:r>
    </w:p>
    <w:p>
      <w:pPr>
        <w:spacing w:after="80" w:before="200"/>
      </w:pPr>
      <w:r>
        <w:rPr>
          <w:rFonts w:ascii="Garamond" w:cs="Garamond" w:eastAsia="Garamond" w:hAnsi="Garamond"/>
          <w:b/>
          <w:bCs/>
          <w:sz w:val="22"/>
          <w:szCs w:val="22"/>
        </w:rPr>
        <w:t xml:space="preserve">31/12/2025 — </w:t>
      </w:r>
      <w:r>
        <w:rPr>
          <w:rFonts w:ascii="Garamond" w:cs="Garamond" w:eastAsia="Garamond" w:hAnsi="Garamond"/>
          <w:i/>
          <w:iCs/>
          <w:sz w:val="22"/>
          <w:szCs w:val="22"/>
        </w:rPr>
        <w:t xml:space="preserve">Amortización anual del ejercicio (vida útil presunta de 10 años bajo NIIF para PYMES).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Amortización de Bitcoin (Resultado)</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9.300.000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Amortización Acumulada de Bitcoin</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9.300.000</w:t>
            </w:r>
          </w:p>
        </w:tc>
      </w:tr>
    </w:tbl>
    <w:p>
      <w:pPr>
        <w:spacing w:after="200"/>
      </w:pPr>
    </w:p>
    <w:p>
      <w:pPr>
        <w:spacing w:after="160" w:line="300"/>
        <w:jc w:val="both"/>
      </w:pPr>
      <w:r>
        <w:rPr>
          <w:rFonts w:ascii="Garamond" w:cs="Garamond" w:eastAsia="Garamond" w:hAnsi="Garamond"/>
          <w:sz w:val="24"/>
          <w:szCs w:val="24"/>
        </w:rPr>
        <w:t xml:space="preserve">Este asiento, inexistente bajo NIIF completa según se desarrolló en el Capítulo 14, ilustra de manera concreta la divergencia normativa identificada en el Capítulo 22 de esta obra, y refuerza la recomendación allí formulada de evaluar, para las entidades PYME con tenencias significativas de Bitcoin, la conveniencia de optar voluntariamente por la aplicación de NIIF completa bajo RT 26.</w:t>
      </w:r>
    </w:p>
    <w:p>
      <w:pPr>
        <w:pStyle w:val="Heading2"/>
        <w:spacing w:after="180" w:before="360"/>
      </w:pPr>
      <w:r>
        <w:rPr>
          <w:rFonts w:ascii="Garamond" w:cs="Garamond" w:eastAsia="Garamond" w:hAnsi="Garamond"/>
          <w:b/>
          <w:bCs/>
          <w:color w:val="10233F"/>
          <w:sz w:val="28"/>
          <w:szCs w:val="28"/>
        </w:rPr>
        <w:t xml:space="preserve">24.8. Caso 7 — Interacción con el ajuste por inflación (NIC 29)</w:t>
      </w:r>
    </w:p>
    <w:p>
      <w:pPr>
        <w:spacing w:after="160" w:line="300"/>
        <w:jc w:val="both"/>
      </w:pPr>
      <w:r>
        <w:rPr>
          <w:rFonts w:ascii="Garamond" w:cs="Garamond" w:eastAsia="Garamond" w:hAnsi="Garamond"/>
          <w:sz w:val="24"/>
          <w:szCs w:val="24"/>
        </w:rPr>
        <w:t xml:space="preserve">La empresa Litoral Trading S.A., sujeta al régimen de reexpresión por inflación de la NIC 29 desarrollado en la sección 19.5 de esta obra, mantiene una tenencia de Bitcoin cuyo valor histórico en moneda nominal asciende a $180.000.000 al inicio del ejercicio. Conforme al párrafo 11 de la NIC 29, esta partida no monetaria debe reexpresarse en moneda de cierre mediante la aplicación del coeficiente de reexpresión correspondiente al período, que en este ejemplo se supone del 1,18 (equivalente a una inflación acumulada del 18% en el período), generando un ajuste de $32.400.000, con contrapartida en el resultado por exposición a la inflación (RECPAM).</w:t>
      </w:r>
    </w:p>
    <w:p>
      <w:pPr>
        <w:spacing w:after="80" w:before="200"/>
      </w:pPr>
      <w:r>
        <w:rPr>
          <w:rFonts w:ascii="Garamond" w:cs="Garamond" w:eastAsia="Garamond" w:hAnsi="Garamond"/>
          <w:b/>
          <w:bCs/>
          <w:sz w:val="22"/>
          <w:szCs w:val="22"/>
        </w:rPr>
        <w:t xml:space="preserve">31/12/2025 — </w:t>
      </w:r>
      <w:r>
        <w:rPr>
          <w:rFonts w:ascii="Garamond" w:cs="Garamond" w:eastAsia="Garamond" w:hAnsi="Garamond"/>
          <w:i/>
          <w:iCs/>
          <w:sz w:val="22"/>
          <w:szCs w:val="22"/>
        </w:rPr>
        <w:t xml:space="preserve">Reexpresión por inflación de la tenencia de Bitcoin (partida no monetaria), coeficiente 1,18.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fill="10233F" w:val="clear"/>
            <w:tcMar>
              <w:top w:type="dxa" w:w="80"/>
              <w:left w:type="dxa" w:w="120"/>
              <w:bottom w:type="dxa" w:w="80"/>
              <w:right w:type="dxa" w:w="120"/>
            </w:tcMar>
          </w:tcPr>
          <w:p>
            <w:pPr>
              <w:jc w:val="center"/>
            </w:pPr>
            <w:r>
              <w:rPr>
                <w:rFonts w:ascii="Garamond" w:cs="Garamond" w:eastAsia="Garamond" w:hAnsi="Garamond"/>
                <w:b/>
                <w:bCs/>
                <w:i w:val="false"/>
                <w:iCs w:val="false"/>
                <w:color w:val="FFFFFF"/>
                <w:sz w:val="20"/>
                <w:szCs w:val="20"/>
              </w:rPr>
              <w:t xml:space="preserve">Cuenta</w:t>
            </w:r>
          </w:p>
        </w:tc>
        <w:tc>
          <w:tcPr>
            <w:tcW w:type="pct" w:w="22%"/>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Debe</w:t>
            </w:r>
          </w:p>
        </w:tc>
        <w:tc>
          <w:tcPr>
            <w:tcW w:type="pct" w:w="23%"/>
            <w:shd w:fill="10233F" w:val="clear"/>
            <w:tcMar>
              <w:top w:type="dxa" w:w="80"/>
              <w:left w:type="dxa" w:w="120"/>
              <w:bottom w:type="dxa" w:w="80"/>
              <w:right w:type="dxa" w:w="120"/>
            </w:tcMar>
          </w:tcPr>
          <w:p>
            <w:pPr>
              <w:jc w:val="right"/>
            </w:pPr>
            <w:r>
              <w:rPr>
                <w:rFonts w:ascii="Garamond" w:cs="Garamond" w:eastAsia="Garamond" w:hAnsi="Garamond"/>
                <w:b/>
                <w:bCs/>
                <w:i w:val="false"/>
                <w:iCs w:val="false"/>
                <w:color w:val="FFFFFF"/>
                <w:sz w:val="20"/>
                <w:szCs w:val="20"/>
              </w:rPr>
              <w:t xml:space="preserve">Haber</w:t>
            </w:r>
          </w:p>
        </w:tc>
      </w:tr>
      <w:tr>
        <w:tc>
          <w:tcPr>
            <w:tcW w:type="pct" w:w="55%"/>
            <w:tcMar>
              <w:top w:type="dxa" w:w="80"/>
              <w:left w:type="dxa" w:w="120"/>
              <w:bottom w:type="dxa" w:w="80"/>
              <w:right w:type="dxa" w:w="120"/>
            </w:tcMar>
          </w:tcPr>
          <w:p>
            <w:pPr>
              <w:jc w:val="left"/>
            </w:pPr>
            <w:r>
              <w:rPr>
                <w:rFonts w:ascii="Garamond" w:cs="Garamond" w:eastAsia="Garamond" w:hAnsi="Garamond"/>
                <w:b w:val="false"/>
                <w:bCs w:val="false"/>
                <w:i w:val="false"/>
                <w:iCs w:val="false"/>
                <w:color w:val="1A1A1A"/>
                <w:sz w:val="20"/>
                <w:szCs w:val="20"/>
              </w:rPr>
              <w:t xml:space="preserve">Bitcoin — Costo (Activo Intangible)</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32.400.000</w:t>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r>
      <w:tr>
        <w:tc>
          <w:tcPr>
            <w:tcW w:type="pct" w:w="55%"/>
            <w:tcMar>
              <w:top w:type="dxa" w:w="80"/>
              <w:left w:type="dxa" w:w="120"/>
              <w:bottom w:type="dxa" w:w="80"/>
              <w:right w:type="dxa" w:w="120"/>
            </w:tcMar>
          </w:tcPr>
          <w:p>
            <w:pPr>
              <w:ind w:left="300"/>
              <w:jc w:val="left"/>
            </w:pPr>
            <w:r>
              <w:rPr>
                <w:rFonts w:ascii="Garamond" w:cs="Garamond" w:eastAsia="Garamond" w:hAnsi="Garamond"/>
                <w:b w:val="false"/>
                <w:bCs w:val="false"/>
                <w:i w:val="false"/>
                <w:iCs w:val="false"/>
                <w:color w:val="1A1A1A"/>
                <w:sz w:val="20"/>
                <w:szCs w:val="20"/>
              </w:rPr>
              <w:t xml:space="preserve">a Resultado por Exposición a la Inflación (RECPAM)</w:t>
            </w:r>
          </w:p>
        </w:tc>
        <w:tc>
          <w:tcPr>
            <w:tcW w:type="pct" w:w="22%"/>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
            </w:r>
          </w:p>
        </w:tc>
        <w:tc>
          <w:tcPr>
            <w:tcW w:type="pct" w:w="23%"/>
            <w:tcMar>
              <w:top w:type="dxa" w:w="80"/>
              <w:left w:type="dxa" w:w="120"/>
              <w:bottom w:type="dxa" w:w="80"/>
              <w:right w:type="dxa" w:w="120"/>
            </w:tcMar>
          </w:tcPr>
          <w:p>
            <w:pPr>
              <w:jc w:val="right"/>
            </w:pPr>
            <w:r>
              <w:rPr>
                <w:rFonts w:ascii="Garamond" w:cs="Garamond" w:eastAsia="Garamond" w:hAnsi="Garamond"/>
                <w:b w:val="false"/>
                <w:bCs w:val="false"/>
                <w:i w:val="false"/>
                <w:iCs w:val="false"/>
                <w:color w:val="1A1A1A"/>
                <w:sz w:val="20"/>
                <w:szCs w:val="20"/>
              </w:rPr>
              <w:t xml:space="preserve">32.400.000</w:t>
            </w:r>
          </w:p>
        </w:tc>
      </w:tr>
    </w:tbl>
    <w:p>
      <w:pPr>
        <w:spacing w:after="200"/>
      </w:pPr>
    </w:p>
    <w:p>
      <w:pPr>
        <w:spacing w:after="160" w:line="300"/>
        <w:jc w:val="both"/>
      </w:pPr>
      <w:r>
        <w:rPr>
          <w:rFonts w:ascii="Garamond" w:cs="Garamond" w:eastAsia="Garamond" w:hAnsi="Garamond"/>
          <w:sz w:val="24"/>
          <w:szCs w:val="24"/>
        </w:rPr>
        <w:t xml:space="preserve">Corresponde precisar que este asiento de reexpresión es enteramente independiente de cualquier eventual pérdida por deterioro que pudiera corresponder por la comparación entre el importe en libros reexpresado y el importe recuperable a valor razonable de cierre, comparación que debe realizarse, en todos los casos, con posterioridad a la reexpresión por inflación, conforme a la secuencia metodológica que rige la aplicación conjunta de la NIC 29 y de la NIC 36.</w:t>
      </w:r>
    </w:p>
    <w:p>
      <w:pPr>
        <w:pStyle w:val="Heading2"/>
        <w:spacing w:after="180" w:before="360"/>
      </w:pPr>
      <w:r>
        <w:rPr>
          <w:rFonts w:ascii="Garamond" w:cs="Garamond" w:eastAsia="Garamond" w:hAnsi="Garamond"/>
          <w:b/>
          <w:bCs/>
          <w:color w:val="10233F"/>
          <w:sz w:val="28"/>
          <w:szCs w:val="28"/>
        </w:rPr>
        <w:t xml:space="preserve">24.9. Síntesis del capítulo</w:t>
      </w:r>
    </w:p>
    <w:p>
      <w:pPr>
        <w:spacing w:after="160" w:line="300"/>
        <w:jc w:val="both"/>
      </w:pPr>
      <w:r>
        <w:rPr>
          <w:rFonts w:ascii="Garamond" w:cs="Garamond" w:eastAsia="Garamond" w:hAnsi="Garamond"/>
          <w:sz w:val="24"/>
          <w:szCs w:val="24"/>
        </w:rPr>
        <w:t xml:space="preserve">Este capítulo desarrolló siete casos prácticos completos que traducen en asientos contables concretos la totalidad del desarrollo normativo realizado en la Parte III de esta obra: el modelo de costo con deterioro y reversión limitada al costo histórico (caso 1); el modelo de revaluación con superávit patrimonial y su consumo en revaluaciones sucesivas (caso 2); la minería como actividad de comercialización con reconocimiento a valor razonable (caso 3); la recepción de Bitcoin como medio de pago bajo NIIF 15 y NIC 38 (caso 4); el impacto patrimonial y fiscal de la elección del método de identificación específica frente al FIFO (caso 5); la amortización obligatoria bajo NIIF para PYMES (caso 6); y la interacción con el régimen de reexpresión por inflación (caso 7). El Capítulo 25 completa el desarrollo de esta Parte IV abordando la exposición de estas partidas en los estados contables y el contenido específico de las notas explicativas correspondientes.</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24</w:t>
      </w:r>
    </w:p>
    <w:p>
      <w:pPr>
        <w:spacing w:after="160"/>
        <w:ind w:left="480" w:hanging="480"/>
        <w:jc w:val="both"/>
      </w:pPr>
      <w:r>
        <w:rPr>
          <w:rFonts w:ascii="Garamond" w:cs="Garamond" w:eastAsia="Garamond" w:hAnsi="Garamond"/>
          <w:sz w:val="22"/>
          <w:szCs w:val="22"/>
        </w:rPr>
        <w:t xml:space="preserve">Federación Argentina de Consejos Profesionales de Ciencias Económicas. (2011). Resolución Técnica N.º 41: Normas Contables Profesionales: Adopción de la NIIF para las PYMES.</w:t>
      </w:r>
    </w:p>
    <w:p>
      <w:pPr>
        <w:spacing w:after="160"/>
        <w:ind w:left="480" w:hanging="480"/>
        <w:jc w:val="both"/>
      </w:pPr>
      <w:r>
        <w:rPr>
          <w:rFonts w:ascii="Garamond" w:cs="Garamond" w:eastAsia="Garamond" w:hAnsi="Garamond"/>
          <w:sz w:val="22"/>
          <w:szCs w:val="22"/>
        </w:rPr>
        <w:t xml:space="preserve">International Accounting Standards Board. (1989). NIC 29: Información financiera en economías hiperinflacionarias. IFRS Foundation.</w:t>
      </w:r>
    </w:p>
    <w:p>
      <w:pPr>
        <w:spacing w:after="160"/>
        <w:ind w:left="480" w:hanging="480"/>
        <w:jc w:val="both"/>
      </w:pPr>
      <w:r>
        <w:rPr>
          <w:rFonts w:ascii="Garamond" w:cs="Garamond" w:eastAsia="Garamond" w:hAnsi="Garamond"/>
          <w:sz w:val="22"/>
          <w:szCs w:val="22"/>
        </w:rPr>
        <w:t xml:space="preserve">International Accounting Standards Board. (2001). NIC 36: Deterioro del valor de los activos.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(2003). NIC 2: Inventarios. IFRS Foundation.</w:t>
      </w:r>
    </w:p>
    <w:p>
      <w:pPr>
        <w:spacing w:after="160"/>
        <w:ind w:left="480" w:hanging="480"/>
        <w:jc w:val="both"/>
      </w:pPr>
      <w:r>
        <w:rPr>
          <w:rFonts w:ascii="Garamond" w:cs="Garamond" w:eastAsia="Garamond" w:hAnsi="Garamond"/>
          <w:sz w:val="22"/>
          <w:szCs w:val="22"/>
        </w:rPr>
        <w:t xml:space="preserve">International Accounting Standards Board. (2014). NIIF 15: Ingresos de actividades ordinarias procedentes de contratos con clientes. IFRS Foundation.</w:t>
      </w:r>
    </w:p>
    <w:p>
      <w:pPr>
        <w:spacing w:after="160"/>
        <w:ind w:left="480" w:hanging="480"/>
        <w:jc w:val="both"/>
      </w:pPr>
      <w:r>
        <w:rPr>
          <w:rFonts w:ascii="Garamond" w:cs="Garamond" w:eastAsia="Garamond" w:hAnsi="Garamond"/>
          <w:sz w:val="22"/>
          <w:szCs w:val="22"/>
        </w:rPr>
        <w:t xml:space="preserve">Robles, A. M., Bronstein, V., Castañeda, G., y Sánchez, V. (2025). Tratamiento contable de las criptomonedas: análisis de casos de inversión, minería y medios de pago. Revista de Estudio de Derecho Tributario, Contabilidad y Auditoría, Universidad Blas Pascal, 3(3), 47-68.</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25</w:t>
      </w:r>
    </w:p>
    <w:p>
      <w:pPr>
        <w:spacing w:after="400"/>
      </w:pPr>
      <w:r>
        <w:rPr>
          <w:rFonts w:ascii="Garamond" w:cs="Garamond" w:eastAsia="Garamond" w:hAnsi="Garamond"/>
          <w:b/>
          <w:bCs/>
          <w:color w:val="9C7A2E"/>
          <w:sz w:val="40"/>
          <w:szCs w:val="40"/>
        </w:rPr>
        <w:t xml:space="preserve">Estados contables y notas a los estados contables</w:t>
      </w:r>
    </w:p>
    <w:p>
      <w:pPr>
        <w:pStyle w:val="Heading2"/>
        <w:spacing w:after="180" w:before="360"/>
      </w:pPr>
      <w:r>
        <w:rPr>
          <w:rFonts w:ascii="Garamond" w:cs="Garamond" w:eastAsia="Garamond" w:hAnsi="Garamond"/>
          <w:b/>
          <w:bCs/>
          <w:color w:val="10233F"/>
          <w:sz w:val="28"/>
          <w:szCs w:val="28"/>
        </w:rPr>
        <w:t xml:space="preserve">25.1. Introducción: de los asientos a la exposición</w:t>
      </w:r>
    </w:p>
    <w:p>
      <w:pPr>
        <w:spacing w:after="160" w:line="300"/>
        <w:jc w:val="both"/>
      </w:pPr>
      <w:r>
        <w:rPr>
          <w:rFonts w:ascii="Garamond" w:cs="Garamond" w:eastAsia="Garamond" w:hAnsi="Garamond"/>
          <w:sz w:val="24"/>
          <w:szCs w:val="24"/>
        </w:rPr>
        <w:t xml:space="preserve">El Capítulo 24 desarrolló los asientos contables correspondientes a los principales supuestos normativos identificados a lo largo de esta obra. Este capítulo cierra la Parte IV abordando la exposición de esas partidas en el juego completo de estados contables, y el contenido específico de las notas explicativas que la normativa desarrollada en la Parte III exige, con particular atención a aquellas revelaciones que, por la naturaleza singular de Bitcoin como activo, exceden las exigencias formales de las NIIF y responden a una práctica profesional prudente orientada a la representación fiel exigida por el Marco Conceptual desarrollado en el Capítulo 11.</w:t>
      </w:r>
    </w:p>
    <w:p>
      <w:pPr>
        <w:pStyle w:val="Heading2"/>
        <w:spacing w:after="180" w:before="360"/>
      </w:pPr>
      <w:r>
        <w:rPr>
          <w:rFonts w:ascii="Garamond" w:cs="Garamond" w:eastAsia="Garamond" w:hAnsi="Garamond"/>
          <w:b/>
          <w:bCs/>
          <w:color w:val="10233F"/>
          <w:sz w:val="28"/>
          <w:szCs w:val="28"/>
        </w:rPr>
        <w:t xml:space="preserve">25.2. Exposición en el Estado de Situación Patrimonial</w:t>
      </w:r>
    </w:p>
    <w:p>
      <w:pPr>
        <w:spacing w:after="160" w:line="300"/>
        <w:jc w:val="both"/>
      </w:pPr>
      <w:r>
        <w:rPr>
          <w:rFonts w:ascii="Garamond" w:cs="Garamond" w:eastAsia="Garamond" w:hAnsi="Garamond"/>
          <w:sz w:val="24"/>
          <w:szCs w:val="24"/>
        </w:rPr>
        <w:t xml:space="preserve">La exposición de Bitcoin en el Estado de Situación Patrimonial depende, en primer término, de la clasificación entre activo corriente y no corriente, criterio que la NIC 1 vincula al plazo esperado de realización del activo, en los términos del párrafo 66 de esa norma. Para las tenencias clasificadas como existencias bajo NIC 2 (los comercializadores y mineros con estrategia de venta inmediata desarrollados en los Capítulos 15 y 24), la exposición corresponde, en la generalidad de los casos, al activo corriente, rubro Bienes de Cambio, en la medida en que la entidad espera realizar esos activos dentro de su ciclo normal de operación. Para las tenencias clasificadas como activo intangible bajo NIC 38 (los tenedores de largo plazo desarrollados en el Capítulo 14), la exposición corresponde, en principio, al activo no corriente, rubro Activos Intangibles, salvo que la propia entidad tenga la intención y la capacidad de realizar esa tenencia dentro de los doce meses siguientes a la fecha de cierre, supuesto en el cual correspondería su reclasificación al activo corriente conforme al criterio general del párrafo 66 de la NIC 1.</w:t>
      </w:r>
    </w:p>
    <w:p>
      <w:pPr>
        <w:spacing w:after="160" w:line="300"/>
        <w:jc w:val="both"/>
      </w:pPr>
      <w:r>
        <w:rPr>
          <w:rFonts w:ascii="Garamond" w:cs="Garamond" w:eastAsia="Garamond" w:hAnsi="Garamond"/>
          <w:sz w:val="24"/>
          <w:szCs w:val="24"/>
        </w:rPr>
        <w:t xml:space="preserve">Dentro del rubro Activos Intangibles, esta obra recomienda, en línea con el plan de cuentas desarrollado en el Capítulo 23, la apertura de una línea específica «Bitcoin y otros criptoactivos», diferenciada de otros activos intangibles como marcas, patentes o llave de negocio, en atención a las particularidades de riesgo, de volatilidad y de metodología de valuación que distinguen a Bitcoin de esos otros activos, y que la práctica profesional y los organismos de contralor de valores —según se desarrolló al tratar las guías de la SEC en el Capítulo 14— han comenzado a exigir o a recomendar de manera creciente.</w:t>
      </w:r>
    </w:p>
    <w:p>
      <w:pPr>
        <w:pStyle w:val="Heading2"/>
        <w:spacing w:after="180" w:before="360"/>
      </w:pPr>
      <w:r>
        <w:rPr>
          <w:rFonts w:ascii="Garamond" w:cs="Garamond" w:eastAsia="Garamond" w:hAnsi="Garamond"/>
          <w:b/>
          <w:bCs/>
          <w:color w:val="10233F"/>
          <w:sz w:val="28"/>
          <w:szCs w:val="28"/>
        </w:rPr>
        <w:t xml:space="preserve">25.3. Exposición en el Estado de Resultados y en el Estado de Resultados Integrales</w:t>
      </w:r>
    </w:p>
    <w:p>
      <w:pPr>
        <w:spacing w:after="160" w:line="300"/>
        <w:jc w:val="both"/>
      </w:pPr>
      <w:r>
        <w:rPr>
          <w:rFonts w:ascii="Garamond" w:cs="Garamond" w:eastAsia="Garamond" w:hAnsi="Garamond"/>
          <w:sz w:val="24"/>
          <w:szCs w:val="24"/>
        </w:rPr>
        <w:t xml:space="preserve">El Estado de Resultados debe exponer, de manera separada e identificable, según el desarrollo de cuentas realizado en el Capítulo 23, los resultados por deterioro y su eventual reversión, los resultados por venta determinados conforme al método de identificación específica desarrollado en el Capítulo 8, y, para las entidades mineras, los ingresos por minería junto con los costos operativos correspondientes. Esta obra recomienda la exposición de estos resultados dentro de un rubro específico o, cuando su magnitud no lo justifique, como una apertura informativa dentro de otros resultados, evitando su confusión con los resultados de la actividad principal de la entidad cuando esta no consista en la comercialización de criptoactivos, a fin de no distorsionar los indicadores de rentabilidad operativa que los usuarios de los estados contables emplean habitualmente para evaluar el desempeño del negocio principal.</w:t>
      </w:r>
    </w:p>
    <w:p>
      <w:pPr>
        <w:spacing w:after="160" w:line="300"/>
        <w:jc w:val="both"/>
      </w:pPr>
      <w:r>
        <w:rPr>
          <w:rFonts w:ascii="Garamond" w:cs="Garamond" w:eastAsia="Garamond" w:hAnsi="Garamond"/>
          <w:sz w:val="24"/>
          <w:szCs w:val="24"/>
        </w:rPr>
        <w:t xml:space="preserve">Para las entidades que aplican el modelo de revaluación desarrollado en el Capítulo 14, el Estado de Resultados Integrales debe exponer, dentro de la sección de otro resultado integral, la variación del superávit de revaluación del período, conforme al desarrollo del caso práctico realizado en la sección 24.3 de esta obra, distinguiendo esa partida de los restantes componentes de otro resultado integral que la entidad pudiera exponer conforme a otras normas.</w:t>
      </w:r>
    </w:p>
    <w:p>
      <w:pPr>
        <w:pStyle w:val="Heading2"/>
        <w:spacing w:after="180" w:before="360"/>
      </w:pPr>
      <w:r>
        <w:rPr>
          <w:rFonts w:ascii="Garamond" w:cs="Garamond" w:eastAsia="Garamond" w:hAnsi="Garamond"/>
          <w:b/>
          <w:bCs/>
          <w:color w:val="10233F"/>
          <w:sz w:val="28"/>
          <w:szCs w:val="28"/>
        </w:rPr>
        <w:t xml:space="preserve">25.4. Exposición en el Estado de Evolución del Patrimonio Neto</w:t>
      </w:r>
    </w:p>
    <w:p>
      <w:pPr>
        <w:spacing w:after="160" w:line="300"/>
        <w:jc w:val="both"/>
      </w:pPr>
      <w:r>
        <w:rPr>
          <w:rFonts w:ascii="Garamond" w:cs="Garamond" w:eastAsia="Garamond" w:hAnsi="Garamond"/>
          <w:sz w:val="24"/>
          <w:szCs w:val="24"/>
        </w:rPr>
        <w:t xml:space="preserve">El Estado de Evolución del Patrimonio Neto debe reflejar, para las entidades que aplican el modelo de revaluación, el movimiento del saldo de la cuenta «Superávit de Revaluación — Bitcoin» a lo largo del ejercicio, mostrando por separado los incrementos del período (reconocidos en otro resultado integral), las disminuciones absorbidas contra ese saldo, y el saldo remanente al cierre, de manera consistente con el desarrollo del caso práctico de revaluaciones sucesivas de la sección 24.3. Esta exposición resulta de particular relevancia informativa para los usuarios de los estados contables, en la medida en que permite anticipar la capacidad de absorción de futuras disminuciones de valor sin impacto en resultados, cuestión de interés directo para analistas financieros e inversores en el contexto de la volatilidad característica de Bitcoin desarrollada extensamente en esta obra.</w:t>
      </w:r>
    </w:p>
    <w:p>
      <w:pPr>
        <w:pStyle w:val="Heading2"/>
        <w:spacing w:after="180" w:before="360"/>
      </w:pPr>
      <w:r>
        <w:rPr>
          <w:rFonts w:ascii="Garamond" w:cs="Garamond" w:eastAsia="Garamond" w:hAnsi="Garamond"/>
          <w:b/>
          <w:bCs/>
          <w:color w:val="10233F"/>
          <w:sz w:val="28"/>
          <w:szCs w:val="28"/>
        </w:rPr>
        <w:t xml:space="preserve">25.5. Exposición en el Estado de Flujos de Efectivo</w:t>
      </w:r>
    </w:p>
    <w:p>
      <w:pPr>
        <w:spacing w:after="160" w:line="300"/>
        <w:jc w:val="both"/>
      </w:pPr>
      <w:r>
        <w:rPr>
          <w:rFonts w:ascii="Garamond" w:cs="Garamond" w:eastAsia="Garamond" w:hAnsi="Garamond"/>
          <w:sz w:val="24"/>
          <w:szCs w:val="24"/>
        </w:rPr>
        <w:t xml:space="preserve">La exposición en el Estado de Flujos de Efectivo, desarrollada desde la perspectiva normativa en el Capítulo 20 de esta obra, exige la clasificación de los flujos de compra y venta de Bitcoin como actividades de operación (comercializadores) o de inversión (tenedores de largo plazo), y la exclusión de la recompensa de minería no vendida del propio estado, con su correspondiente ajuste bajo el método indirecto y su revelación en nota conforme al párrafo 44 de la NIC 7.</w:t>
      </w:r>
    </w:p>
    <w:p>
      <w:pPr>
        <w:pStyle w:val="Heading2"/>
        <w:spacing w:after="180" w:before="360"/>
      </w:pPr>
      <w:r>
        <w:rPr>
          <w:rFonts w:ascii="Garamond" w:cs="Garamond" w:eastAsia="Garamond" w:hAnsi="Garamond"/>
          <w:b/>
          <w:bCs/>
          <w:color w:val="10233F"/>
          <w:sz w:val="28"/>
          <w:szCs w:val="28"/>
        </w:rPr>
        <w:t xml:space="preserve">25.6. Notas a los estados contables: contenido mínimo exigido</w:t>
      </w:r>
    </w:p>
    <w:p>
      <w:pPr>
        <w:spacing w:after="160" w:line="300"/>
        <w:jc w:val="both"/>
      </w:pPr>
      <w:r>
        <w:rPr>
          <w:rFonts w:ascii="Garamond" w:cs="Garamond" w:eastAsia="Garamond" w:hAnsi="Garamond"/>
          <w:sz w:val="24"/>
          <w:szCs w:val="24"/>
        </w:rPr>
        <w:t xml:space="preserve">Sobre la base del desarrollo normativo realizado en el Capítulo 14 (exigencias del párrafo 118 de la NIC 38), en el Capítulo 17 (exigencias de la NIIF 13) y en el Capítulo 21 (síntesis de la Decisión de Agenda del IFRS Interpretations Committee de 2019), esta obra propone la siguiente estructura de nota específica sobre tenencias de Bitcoin, que el profesional deberá adaptar a las circunstancias particulares de cada entidad.</w:t>
      </w:r>
    </w:p>
    <w:p>
      <w:pPr>
        <w:spacing w:after="160" w:line="300"/>
        <w:jc w:val="both"/>
      </w:pPr>
      <w:r>
        <w:rPr>
          <w:rFonts w:ascii="Garamond" w:cs="Garamond" w:eastAsia="Garamond" w:hAnsi="Garamond"/>
          <w:sz w:val="24"/>
          <w:szCs w:val="24"/>
        </w:rPr>
        <w:t xml:space="preserve">Una primera sección de política contable debe describir el criterio de clasificación adoptado (activo intangible bajo NIC 38 o existencia bajo NIC 2, según el modelo de negocio de la entidad, conforme al desarrollo del Capítulo 15), el modelo de medición posterior elegido (costo o revaluación, conforme al Capítulo 14), y el método de determinación del costo computable en las enajenaciones (identificación específica, conforme al Capítulo 8). Una segunda sección de juicios significativos debe revelar, conforme al párrafo 122 de la NIC 1 desarrollado en el Capítulo 21, los juicios profesionales de mayor relevancia adoptados por la dirección, entre los que se destaca, de manera prominente, la determinación de si existe o no un mercado activo en los términos del Apéndice A de la NIC 38 que habilita el modelo de revaluación.</w:t>
      </w:r>
    </w:p>
    <w:p>
      <w:pPr>
        <w:spacing w:after="160" w:line="300"/>
        <w:jc w:val="both"/>
      </w:pPr>
      <w:r>
        <w:rPr>
          <w:rFonts w:ascii="Garamond" w:cs="Garamond" w:eastAsia="Garamond" w:hAnsi="Garamond"/>
          <w:sz w:val="24"/>
          <w:szCs w:val="24"/>
        </w:rPr>
        <w:t xml:space="preserve">Una tercera sección de conciliación de saldos debe presentar, conforme al párrafo 118 de la NIC 38, el movimiento del importe en libros bruto y del deterioro acumulado entre el inicio y el cierre del ejercicio, discriminando adquisiciones, ventas, deterioros y reversiones, en un formato de conciliación análogo al que emplean tradicionalmente las notas de bienes de uso. Una cuarta sección de jerarquía de valor razonable debe identificar, conforme a la NIIF 13 desarrollada en el Capítulo 17, el nivel jerárquico (Nivel 1, en la generalidad de los casos según se desarrolló en ese capítulo) y la fuente o índice de precios empleado para la determinación de la cotización de referencia.</w:t>
      </w:r>
    </w:p>
    <w:p>
      <w:pPr>
        <w:spacing w:after="160" w:line="300"/>
        <w:jc w:val="both"/>
      </w:pPr>
      <w:r>
        <w:rPr>
          <w:rFonts w:ascii="Garamond" w:cs="Garamond" w:eastAsia="Garamond" w:hAnsi="Garamond"/>
          <w:sz w:val="24"/>
          <w:szCs w:val="24"/>
        </w:rPr>
        <w:t xml:space="preserve">Una quinta sección, de particular relevancia práctica y no exigida de manera expresa y específica por ninguna norma individual, pero recomendada por esta obra como buena práctica profesional en línea con el principio general de representación fiel del Marco Conceptual, debe describir el esquema de custodia de los activos —autocustodia mediante hardware wallet o multisig, conforme al Capítulo 6, o custodia delegada a un tercero, conforme a la distinción desarrollada en el Capítulo 12—, los riesgos de concentración de contraparte cuando corresponda, y las políticas de control interno y de ciberseguridad aplicadas, cuestión que se retomará con mayor extensión al tratar el control interno en el Capítulo 32 de esta obra. La experiencia del colapso de FTX desarrollada en el Capítulo 12 ilustra por qué esta revelación, aunque no exigida de manera expresa por una norma puntual, resulta de un valor informativo que ningún profesional prudente debería omitir.</w:t>
      </w:r>
    </w:p>
    <w:p>
      <w:pPr>
        <w:pStyle w:val="Heading2"/>
        <w:spacing w:after="180" w:before="360"/>
      </w:pPr>
      <w:r>
        <w:rPr>
          <w:rFonts w:ascii="Garamond" w:cs="Garamond" w:eastAsia="Garamond" w:hAnsi="Garamond"/>
          <w:b/>
          <w:bCs/>
          <w:color w:val="10233F"/>
          <w:sz w:val="28"/>
          <w:szCs w:val="28"/>
        </w:rPr>
        <w:t xml:space="preserve">25.7. Hechos posteriores: la volatilidad de Bitcoin y la NIC 10</w:t>
      </w:r>
    </w:p>
    <w:p>
      <w:pPr>
        <w:spacing w:after="160" w:line="300"/>
        <w:jc w:val="both"/>
      </w:pPr>
      <w:r>
        <w:rPr>
          <w:rFonts w:ascii="Garamond" w:cs="Garamond" w:eastAsia="Garamond" w:hAnsi="Garamond"/>
          <w:sz w:val="24"/>
          <w:szCs w:val="24"/>
        </w:rPr>
        <w:t xml:space="preserve">La volatilidad característica de Bitcoin, documentada extensamente a lo largo de esta obra, plantea una cuestión recurrente de aplicación de la Norma Internacional de Contabilidad (NIC) 10, Hechos Ocurridos después del Período sobre el que se Informa, ya anticipada en la síntesis de la Decisión de Agenda desarrollada en el Capítulo 21: cuándo una variación del valor de Bitcoin ocurrida entre la fecha de cierre y la fecha de emisión de los estados contables debe revelarse como hecho posterior no ajustable, en los términos del párrafo 21 de esa norma.</w:t>
      </w:r>
    </w:p>
    <w:p>
      <w:pPr>
        <w:spacing w:after="160" w:line="300"/>
        <w:jc w:val="both"/>
      </w:pPr>
      <w:r>
        <w:rPr>
          <w:rFonts w:ascii="Garamond" w:cs="Garamond" w:eastAsia="Garamond" w:hAnsi="Garamond"/>
          <w:sz w:val="24"/>
          <w:szCs w:val="24"/>
        </w:rPr>
        <w:t xml:space="preserve">Esta obra recomienda que la entidad establezca, como política de gobierno corporativo, un umbral cuantitativo de materialidad específico —por ejemplo, una variación porcentual determinada de la cotización de Bitcoin entre la fecha de cierre y la fecha de emisión de los estados contables— que dispare, de manera sistemática y no discrecional, la evaluación de si corresponde revelar esa variación como hecho posterior significativo, en atención a que la variación de precio de Bitcoin, dada su magnitud y frecuencia características, podría, en numerosos períodos, satisfacer el estándar de significatividad que el párrafo 21 de la NIC 10 exige para su revelación, con mayor probabilidad e intensidad que la que se observa en la generalidad de los restantes activos de una entidad.</w:t>
      </w:r>
    </w:p>
    <w:p>
      <w:pPr>
        <w:pStyle w:val="Heading2"/>
        <w:spacing w:after="180" w:before="360"/>
      </w:pPr>
      <w:r>
        <w:rPr>
          <w:rFonts w:ascii="Garamond" w:cs="Garamond" w:eastAsia="Garamond" w:hAnsi="Garamond"/>
          <w:b/>
          <w:bCs/>
          <w:color w:val="10233F"/>
          <w:sz w:val="28"/>
          <w:szCs w:val="28"/>
        </w:rPr>
        <w:t xml:space="preserve">25.8. Síntesis del capítulo y cierre de la Parte IV</w:t>
      </w:r>
    </w:p>
    <w:p>
      <w:pPr>
        <w:spacing w:after="160" w:line="300"/>
        <w:jc w:val="both"/>
      </w:pPr>
      <w:r>
        <w:rPr>
          <w:rFonts w:ascii="Garamond" w:cs="Garamond" w:eastAsia="Garamond" w:hAnsi="Garamond"/>
          <w:sz w:val="24"/>
          <w:szCs w:val="24"/>
        </w:rPr>
        <w:t xml:space="preserve">Este capítulo desarrolló la exposición de Bitcoin en la totalidad de los estados contables que integran un juego completo de estados financieros —situación patrimonial, resultados, resultados integrales, evolución del patrimonio neto y flujos de efectivo—, y propuso una estructura de nota específica que integra las exigencias normativas desarrolladas en la Parte III de esta obra con recomendaciones de buena práctica profesional no exigidas de manera expresa por norma individual alguna, particularmente en materia de custodia y de riesgo de contraparte. Se abordó, asimismo, la cuestión específica de los hechos posteriores bajo NIC 10, de particular relevancia práctica dada la volatilidad característica de Bitcoin. Con este capítulo se completa la totalidad de la Parte IV de esta obra, dedicada a la registración y exposición contable de Bitcoin. La Parte V, que se inicia con el Capítulo 26, traslada el análisis hacia el régimen tributario argentino aplicable a Bitcoin, comenzando por el Impuesto a las Ganancias.</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25</w:t>
      </w:r>
    </w:p>
    <w:p>
      <w:pPr>
        <w:spacing w:after="160"/>
        <w:ind w:left="480" w:hanging="480"/>
        <w:jc w:val="both"/>
      </w:pPr>
      <w:r>
        <w:rPr>
          <w:rFonts w:ascii="Garamond" w:cs="Garamond" w:eastAsia="Garamond" w:hAnsi="Garamond"/>
          <w:sz w:val="22"/>
          <w:szCs w:val="22"/>
        </w:rPr>
        <w:t xml:space="preserve">IFRS Interpretations Committee. (2019). Holdings of cryptocurrencies (Agenda Decision, junio de 2019). IFRS Foundation.</w:t>
      </w:r>
    </w:p>
    <w:p>
      <w:pPr>
        <w:spacing w:after="160"/>
        <w:ind w:left="480" w:hanging="480"/>
        <w:jc w:val="both"/>
      </w:pPr>
      <w:r>
        <w:rPr>
          <w:rFonts w:ascii="Garamond" w:cs="Garamond" w:eastAsia="Garamond" w:hAnsi="Garamond"/>
          <w:sz w:val="22"/>
          <w:szCs w:val="22"/>
        </w:rPr>
        <w:t xml:space="preserve">International Accounting Standards Board. (1997). NIC 1: Presentación de estados financieros. IFRS Foundation.</w:t>
      </w:r>
    </w:p>
    <w:p>
      <w:pPr>
        <w:spacing w:after="160"/>
        <w:ind w:left="480" w:hanging="480"/>
        <w:jc w:val="both"/>
      </w:pPr>
      <w:r>
        <w:rPr>
          <w:rFonts w:ascii="Garamond" w:cs="Garamond" w:eastAsia="Garamond" w:hAnsi="Garamond"/>
          <w:sz w:val="22"/>
          <w:szCs w:val="22"/>
        </w:rPr>
        <w:t xml:space="preserve">International Accounting Standards Board. (1999). NIC 10: Hechos ocurridos después del periodo sobre el que se informa. IFRS Foundation.</w:t>
      </w:r>
    </w:p>
    <w:p>
      <w:pPr>
        <w:spacing w:after="160"/>
        <w:ind w:left="480" w:hanging="480"/>
        <w:jc w:val="both"/>
      </w:pPr>
      <w:r>
        <w:rPr>
          <w:rFonts w:ascii="Garamond" w:cs="Garamond" w:eastAsia="Garamond" w:hAnsi="Garamond"/>
          <w:sz w:val="22"/>
          <w:szCs w:val="22"/>
        </w:rPr>
        <w:t xml:space="preserve">International Accounting Standards Board. (2001). NIC 38: Activos intangibles. IFRS Foundation.</w:t>
      </w:r>
    </w:p>
    <w:p>
      <w:pPr>
        <w:spacing w:after="160"/>
        <w:ind w:left="480" w:hanging="480"/>
        <w:jc w:val="both"/>
      </w:pPr>
      <w:r>
        <w:rPr>
          <w:rFonts w:ascii="Garamond" w:cs="Garamond" w:eastAsia="Garamond" w:hAnsi="Garamond"/>
          <w:sz w:val="22"/>
          <w:szCs w:val="22"/>
        </w:rPr>
        <w:t xml:space="preserve">International Accounting Standards Board. (2011). NIIF 13: Medición del valor razonable. IFRS Foundation.</w:t>
      </w:r>
    </w:p>
    <w:p>
      <w:pPr>
        <w:spacing w:after="160"/>
        <w:ind w:left="480" w:hanging="480"/>
        <w:jc w:val="both"/>
      </w:pPr>
      <w:r>
        <w:rPr>
          <w:rFonts w:ascii="Garamond" w:cs="Garamond" w:eastAsia="Garamond" w:hAnsi="Garamond"/>
          <w:sz w:val="22"/>
          <w:szCs w:val="22"/>
        </w:rPr>
        <w:t xml:space="preserve">U.S. Securities and Exchange Commission, Division of Corporation Finance. (2022). CF Disclosure Guidance: Topic No. 8, Crypto Asset Disclosure.</w:t>
      </w:r>
    </w:p>
    <w:p>
      <w:r>
        <w:br w:type="page"/>
      </w:r>
    </w:p>
    <w:p>
      <w:pPr>
        <w:spacing w:after="160" w:before="400"/>
      </w:pPr>
      <w:r>
        <w:rPr>
          <w:rFonts w:ascii="Garamond" w:cs="Garamond" w:eastAsia="Garamond" w:hAnsi="Garamond"/>
          <w:b/>
          <w:bCs/>
          <w:caps/>
          <w:color w:val="9C7A2E"/>
          <w:sz w:val="24"/>
          <w:szCs w:val="24"/>
        </w:rPr>
        <w:t xml:space="preserve">PARTE V — TRIBUTACIÓN</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26</w:t>
      </w:r>
    </w:p>
    <w:p>
      <w:pPr>
        <w:spacing w:after="400"/>
      </w:pPr>
      <w:r>
        <w:rPr>
          <w:rFonts w:ascii="Garamond" w:cs="Garamond" w:eastAsia="Garamond" w:hAnsi="Garamond"/>
          <w:b/>
          <w:bCs/>
          <w:color w:val="9C7A2E"/>
          <w:sz w:val="40"/>
          <w:szCs w:val="40"/>
        </w:rPr>
        <w:t xml:space="preserve">Impuesto a las Ganancias</w:t>
      </w:r>
    </w:p>
    <w:p>
      <w:pPr>
        <w:pStyle w:val="Heading2"/>
        <w:spacing w:after="180" w:before="360"/>
      </w:pPr>
      <w:r>
        <w:rPr>
          <w:rFonts w:ascii="Garamond" w:cs="Garamond" w:eastAsia="Garamond" w:hAnsi="Garamond"/>
          <w:b/>
          <w:bCs/>
          <w:color w:val="10233F"/>
          <w:sz w:val="28"/>
          <w:szCs w:val="28"/>
        </w:rPr>
        <w:t xml:space="preserve">26.1. Introducción: la incorporación de los criptoactivos al objeto del impuesto</w:t>
      </w:r>
    </w:p>
    <w:p>
      <w:pPr>
        <w:spacing w:after="160" w:line="300"/>
        <w:jc w:val="both"/>
      </w:pPr>
      <w:r>
        <w:rPr>
          <w:rFonts w:ascii="Garamond" w:cs="Garamond" w:eastAsia="Garamond" w:hAnsi="Garamond"/>
          <w:sz w:val="24"/>
          <w:szCs w:val="24"/>
        </w:rPr>
        <w:t xml:space="preserve">Las Partes III y IV de esta obra desarrollaron, con el detalle normativo y práctico correspondiente, el tratamiento contable de Bitcoin. Esta Parte V traslada el análisis hacia el régimen tributario argentino, comenzando, en este capítulo, por el Impuesto a las Ganancias, el tributo de mayor relevancia práctica y de más frecuente consulta profesional en materia de criptoactivos.</w:t>
      </w:r>
    </w:p>
    <w:p>
      <w:pPr>
        <w:spacing w:after="160" w:line="300"/>
        <w:jc w:val="both"/>
      </w:pPr>
      <w:r>
        <w:rPr>
          <w:rFonts w:ascii="Garamond" w:cs="Garamond" w:eastAsia="Garamond" w:hAnsi="Garamond"/>
          <w:sz w:val="24"/>
          <w:szCs w:val="24"/>
        </w:rPr>
        <w:t xml:space="preserve">La Ley N.º 27.430, sancionada en diciembre de 2017 en el marco de una reforma tributaria integral, incorporó de manera expresa a la Ley de Impuesto a las Ganancias (LIG) el tratamiento de los resultados derivados de la enajenación de monedas digitales, equiparándolas, a los fines de ese tributo, al régimen aplicable a otros valores y títulos. Esta incorporación normativa expresa —de las escasas normas tributarias argentinas que mencionan de manera específica a los criptoactivos, en contraste con la ausencia de pronunciamiento contable específico desarrollada en el Capítulo 22 de esta obra— constituye el punto de partida normativo de este capítulo.</w:t>
      </w:r>
    </w:p>
    <w:p>
      <w:pPr>
        <w:pStyle w:val="Heading2"/>
        <w:spacing w:after="180" w:before="360"/>
      </w:pPr>
      <w:r>
        <w:rPr>
          <w:rFonts w:ascii="Garamond" w:cs="Garamond" w:eastAsia="Garamond" w:hAnsi="Garamond"/>
          <w:b/>
          <w:bCs/>
          <w:color w:val="10233F"/>
          <w:sz w:val="28"/>
          <w:szCs w:val="28"/>
        </w:rPr>
        <w:t xml:space="preserve">26.2. Sujetos alcanzados: personas humanas y personas jurídicas</w:t>
      </w:r>
    </w:p>
    <w:p>
      <w:pPr>
        <w:spacing w:after="160" w:line="300"/>
        <w:jc w:val="both"/>
      </w:pPr>
      <w:r>
        <w:rPr>
          <w:rFonts w:ascii="Garamond" w:cs="Garamond" w:eastAsia="Garamond" w:hAnsi="Garamond"/>
          <w:sz w:val="24"/>
          <w:szCs w:val="24"/>
        </w:rPr>
        <w:t xml:space="preserve">El régimen del Impuesto a las Ganancias distingue, a los fines de la tributación de los resultados por enajenación de criptoactivos, entre dos categorías de sujetos con tratamientos sustancialmente diferenciados: las personas humanas y sucesiones indivisas no constituidas como empresa, sujetas al régimen cedular específico que se desarrolla en la sección 26.3 de este capítulo; y las personas jurídicas y demás sujetos comprendidos en el artículo 53 de la Ley de Impuesto a las Ganancias —sociedades de capital, establecimientos permanentes y demás entidades allí enumeradas—, sujetas al régimen general de determinación de la ganancia neta a tasa progresiva que se desarrolla en la sección 26.6.</w:t>
      </w:r>
    </w:p>
    <w:p>
      <w:pPr>
        <w:pStyle w:val="Heading2"/>
        <w:spacing w:after="180" w:before="360"/>
      </w:pPr>
      <w:r>
        <w:rPr>
          <w:rFonts w:ascii="Garamond" w:cs="Garamond" w:eastAsia="Garamond" w:hAnsi="Garamond"/>
          <w:b/>
          <w:bCs/>
          <w:color w:val="10233F"/>
          <w:sz w:val="28"/>
          <w:szCs w:val="28"/>
        </w:rPr>
        <w:t xml:space="preserve">26.3. El régimen cedular para personas humanas: el artículo 98 de la LIG</w:t>
      </w:r>
    </w:p>
    <w:p>
      <w:pPr>
        <w:spacing w:after="160" w:line="300"/>
        <w:jc w:val="both"/>
      </w:pPr>
      <w:r>
        <w:rPr>
          <w:rFonts w:ascii="Garamond" w:cs="Garamond" w:eastAsia="Garamond" w:hAnsi="Garamond"/>
          <w:sz w:val="24"/>
          <w:szCs w:val="24"/>
        </w:rPr>
        <w:t xml:space="preserve">Para las personas humanas y sucesiones indivisas residentes en el país que no encuadran como empresa o explotación unipersonal, los resultados derivados de la enajenación de criptoactivos constituyen una renta de segunda categoría, sujeta al régimen de impuesto cedular regulado por el artículo 98 de la LIG, que prevé dos alícuotas diferenciadas según la moneda de la operación: una alícuota del cinco por ciento (5%), prevista en el inciso a) de ese artículo, aplicable a la enajenación de criptoactivos efectuada en pesos argentinos sin cláusula de ajuste; y una alícuota del quince por ciento (15%), prevista en el inciso b), aplicable a las operaciones efectuadas en moneda extranjera o con cláusula de ajuste, categoría dentro de la cual la práctica y la propia interpretación de la Administración de Ingresos Públicos (ARCA, ex AFIP) encuadran, en la generalidad de los casos, a las operaciones de compraventa de Bitcoin liquidadas por referencia al dólar estadounidense, moneda de cotización de referencia habitual desarrollada extensamente en esta obra.</w:t>
      </w:r>
    </w:p>
    <w:p>
      <w:pPr>
        <w:spacing w:after="160" w:line="300"/>
        <w:jc w:val="both"/>
      </w:pPr>
      <w:r>
        <w:rPr>
          <w:rFonts w:ascii="Garamond" w:cs="Garamond" w:eastAsia="Garamond" w:hAnsi="Garamond"/>
          <w:sz w:val="24"/>
          <w:szCs w:val="24"/>
        </w:rPr>
        <w:t xml:space="preserve">Sobre la ganancia bruta determinada conforme a estas alícuotas, el propio artículo 98 admite el cómputo de la deducción especial prevista por el artículo 100 de la LIG, así como de los costos de adquisición y de los gastos directa o indirectamente relacionados con las ganancias obtenidas —entre los que corresponde incluir, conforme al desarrollo realizado en el Capítulo 23 de esta obra, las comisiones de los exchanges y las comisiones de red (fees) descritas en el Capítulo 3—.</w:t>
      </w:r>
    </w:p>
    <w:p>
      <w:pPr>
        <w:pStyle w:val="Heading2"/>
        <w:spacing w:after="180" w:before="360"/>
      </w:pPr>
      <w:r>
        <w:rPr>
          <w:rFonts w:ascii="Garamond" w:cs="Garamond" w:eastAsia="Garamond" w:hAnsi="Garamond"/>
          <w:b/>
          <w:bCs/>
          <w:color w:val="10233F"/>
          <w:sz w:val="28"/>
          <w:szCs w:val="28"/>
        </w:rPr>
        <w:t xml:space="preserve">26.4. Determinación del costo computable: identificación específica versus FIFO</w:t>
      </w:r>
    </w:p>
    <w:p>
      <w:pPr>
        <w:spacing w:after="160" w:line="300"/>
        <w:jc w:val="both"/>
      </w:pPr>
      <w:r>
        <w:rPr>
          <w:rFonts w:ascii="Garamond" w:cs="Garamond" w:eastAsia="Garamond" w:hAnsi="Garamond"/>
          <w:sz w:val="24"/>
          <w:szCs w:val="24"/>
        </w:rPr>
        <w:t xml:space="preserve">La determinación de la ganancia gravada exige, en toda enajenación de una porción de una tenencia de Bitcoin adquirida en distintos momentos y a distintos costos, la aplicación de un criterio de determinación del costo computable, cuestión ya anticipada desde la perspectiva contable en el Capítulo 8 y desarrollada con el caso práctico numérico correspondiente en la sección 24.6 de esta obra.</w:t>
      </w:r>
    </w:p>
    <w:p>
      <w:pPr>
        <w:spacing w:after="160" w:line="300"/>
        <w:jc w:val="both"/>
      </w:pPr>
      <w:r>
        <w:rPr>
          <w:rFonts w:ascii="Garamond" w:cs="Garamond" w:eastAsia="Garamond" w:hAnsi="Garamond"/>
          <w:sz w:val="24"/>
          <w:szCs w:val="24"/>
        </w:rPr>
        <w:t xml:space="preserve">Corresponde señalar, con la honestidad metodológica que esta obra se ha propuesto desde su prefacio, que existe una tensión no enteramente resuelta entre la posición doctrinaria que esta obra defiende —la aplicación del método de identificación específica, técnicamente sustentado en la trazabilidad individualizada de cada UTXO desarrollada en el Capítulo 8— y cierta práctica de mercado y de asesoramiento fiscal, que, ante la ausencia de una reglamentación específica y expresa de ARCA que zanje la cuestión de manera concluyente, tiende a aplicar por defecto un criterio de primero entrado, primero salido (FIFO), en parte por su mayor simplicidad operativa y en parte por asimilación analógica con el criterio históricamente aplicado a la enajenación de títulos valores bajo el régimen general del propio Impuesto a las Ganancias.</w:t>
      </w:r>
    </w:p>
    <w:p>
      <w:pPr>
        <w:spacing w:after="160" w:line="300"/>
        <w:jc w:val="both"/>
      </w:pPr>
      <w:r>
        <w:rPr>
          <w:rFonts w:ascii="Garamond" w:cs="Garamond" w:eastAsia="Garamond" w:hAnsi="Garamond"/>
          <w:sz w:val="24"/>
          <w:szCs w:val="24"/>
        </w:rPr>
        <w:t xml:space="preserve">Esta obra sostiene, en línea con el desarrollo técnico realizado en el Capítulo 8, que el método de identificación específica resulta preferible y plenamente sustentable desde el punto de vista técnico, en la medida en que el contribuyente pueda demostrar, mediante el libro auxiliar por lote desarrollado en la sección 23.5 de esta obra, cuál UTXO específica fue efectivamente empleada como entrada de la transacción de venta, en consistencia con el criterio que el propio Internal Revenue Service estadounidense ha admitido expresamente para los contribuyentes de ese país, según se desarrolló en el Capítulo 8. Ante la ausencia de una posición expresa y unívoca de ARCA sobre esta cuestión específica a la fecha de esta edición, esta obra recomienda a los profesionales dejar expresa constancia, en la documentación de respaldo de cada operación, del criterio de determinación del costo computable efectivamente aplicado, y su consistencia con el criterio declarado como política en ejercicios anteriores, en resguardo del principio de uniformidad que rige la aplicación de criterios impositivos discrecionales.</w:t>
      </w:r>
    </w:p>
    <w:p>
      <w:pPr>
        <w:pStyle w:val="Heading2"/>
        <w:spacing w:after="180" w:before="360"/>
      </w:pPr>
      <w:r>
        <w:rPr>
          <w:rFonts w:ascii="Garamond" w:cs="Garamond" w:eastAsia="Garamond" w:hAnsi="Garamond"/>
          <w:b/>
          <w:bCs/>
          <w:color w:val="10233F"/>
          <w:sz w:val="28"/>
          <w:szCs w:val="28"/>
        </w:rPr>
        <w:t xml:space="preserve">26.5. El hecho imponible: la irrelevancia de la mera tenencia para personas humanas</w:t>
      </w:r>
    </w:p>
    <w:p>
      <w:pPr>
        <w:spacing w:after="160" w:line="300"/>
        <w:jc w:val="both"/>
      </w:pPr>
      <w:r>
        <w:rPr>
          <w:rFonts w:ascii="Garamond" w:cs="Garamond" w:eastAsia="Garamond" w:hAnsi="Garamond"/>
          <w:sz w:val="24"/>
          <w:szCs w:val="24"/>
        </w:rPr>
        <w:t xml:space="preserve">Un principio de particular relevancia práctica, que distingue con claridad el tratamiento impositivo de las personas humanas del tratamiento contable desarrollado en la Parte III de esta obra, es que la mera tenencia de Bitcoin, sin que medie una transacción de enajenación efectiva, no genera hecho imponible alguno bajo el Impuesto a las Ganancias para las personas humanas y sucesiones indivisas no empresarias: el incremento de valor no realizado de una tenencia de Bitcoin —que, como se desarrolló en el Capítulo 13 de esta obra, sí puede generar, bajo ciertas condiciones contables, un resultado reconocido en los estados contables mediante el modelo de revaluación de la NIC 38— carece de todo efecto fiscal hasta el momento de su efectiva realización mediante una venta.</w:t>
      </w:r>
    </w:p>
    <w:p>
      <w:pPr>
        <w:spacing w:after="160" w:line="300"/>
        <w:jc w:val="both"/>
      </w:pPr>
      <w:r>
        <w:rPr>
          <w:rFonts w:ascii="Garamond" w:cs="Garamond" w:eastAsia="Garamond" w:hAnsi="Garamond"/>
          <w:sz w:val="24"/>
          <w:szCs w:val="24"/>
        </w:rPr>
        <w:t xml:space="preserve">Esta divergencia entre el criterio contable de reconocimiento —que, bajo el modelo de revaluación, puede anticipar el reconocimiento de resultados no realizados— y el criterio fiscal de realización efectiva, constituye, precisamente, la fuente de la diferencia temporaria desarrollada extensamente en el Capítulo 18 de esta obra al tratar la NIC 12, y su comprensión cabal resulta indispensable para el correcto cálculo del impuesto diferido correspondiente a una tenencia de Bitcoin en cabeza de una persona jurídica que aplique NIIF.</w:t>
      </w:r>
    </w:p>
    <w:p>
      <w:pPr>
        <w:pStyle w:val="Heading2"/>
        <w:spacing w:after="180" w:before="360"/>
      </w:pPr>
      <w:r>
        <w:rPr>
          <w:rFonts w:ascii="Garamond" w:cs="Garamond" w:eastAsia="Garamond" w:hAnsi="Garamond"/>
          <w:b/>
          <w:bCs/>
          <w:color w:val="10233F"/>
          <w:sz w:val="28"/>
          <w:szCs w:val="28"/>
        </w:rPr>
        <w:t xml:space="preserve">26.6. El régimen general para personas jurídicas: tasas progresivas y la obligación de revaluar</w:t>
      </w:r>
    </w:p>
    <w:p>
      <w:pPr>
        <w:spacing w:after="160" w:line="300"/>
        <w:jc w:val="both"/>
      </w:pPr>
      <w:r>
        <w:rPr>
          <w:rFonts w:ascii="Garamond" w:cs="Garamond" w:eastAsia="Garamond" w:hAnsi="Garamond"/>
          <w:sz w:val="24"/>
          <w:szCs w:val="24"/>
        </w:rPr>
        <w:t xml:space="preserve">Para las personas jurídicas y demás sujetos comprendidos en el artículo 53 de la LIG, el tratamiento impositivo diverge sustancialmente del régimen cedular desarrollado en las secciones precedentes, en dos aspectos de particular relevancia. En primer término, la ganancia neta gravada se determina conforme al régimen general de determinación de la LIG, sujeta a las tasas progresivas establecidas por el artículo 73 de la ley —conforme a la reforma introducida por la Ley N.º 27.630 de 2021, que sustituyó la alícuota proporcional única del 30% vigente con anterioridad por una escala progresiva de tasas que, según el nivel de ganancia neta imponible acumulada, oscila entre el 25% y el 35%, con una alícuota adicional del 7% aplicable sobre los dividendos distribuidos—.</w:t>
      </w:r>
    </w:p>
    <w:p>
      <w:pPr>
        <w:spacing w:after="160" w:line="300"/>
        <w:jc w:val="both"/>
      </w:pPr>
      <w:r>
        <w:rPr>
          <w:rFonts w:ascii="Garamond" w:cs="Garamond" w:eastAsia="Garamond" w:hAnsi="Garamond"/>
          <w:sz w:val="24"/>
          <w:szCs w:val="24"/>
        </w:rPr>
        <w:t xml:space="preserve">En segundo término, y de manera particularmente relevante para esta obra, la interpretación consolidada de ARCA (ex AFIP) sostiene que, a diferencia del régimen aplicable a las personas humanas desarrollado en la sección 26.5, las personas jurídicas deben revaluar sus tenencias de criptoactivos al cierre de cada ejercicio fiscal, lo cual puede generar renta gravada por la mera valorización de la tenencia, con independencia de su efectiva enajenación, en un criterio de mayor cercanía conceptual con el principio de lo devengado que rige, con carácter general, la determinación de la ganancia neta de las personas jurídicas bajo el régimen del Impuesto a las Ganancias. Esta obligación de revaluación fiscal periódica, cuando resulta aplicable, converge —aunque no de manera automática ni necesariamente coincidente en su magnitud— con el criterio de reconocimiento contable del modelo de revaluación de la NIC 38 desarrollado en el Capítulo 14, y diverge, en cambio, del modelo de costo, generando, en este último caso, la diferencia temporaria imponible desarrollada en el Capítulo 18 de esta obra, que exigirá el reconocimiento del correspondiente pasivo por impuesto diferido.</w:t>
      </w:r>
    </w:p>
    <w:p>
      <w:pPr>
        <w:pStyle w:val="Heading2"/>
        <w:spacing w:after="180" w:before="360"/>
      </w:pPr>
      <w:r>
        <w:rPr>
          <w:rFonts w:ascii="Garamond" w:cs="Garamond" w:eastAsia="Garamond" w:hAnsi="Garamond"/>
          <w:b/>
          <w:bCs/>
          <w:color w:val="10233F"/>
          <w:sz w:val="28"/>
          <w:szCs w:val="28"/>
        </w:rPr>
        <w:t xml:space="preserve">26.7. La minería como actividad gravada</w:t>
      </w:r>
    </w:p>
    <w:p>
      <w:pPr>
        <w:spacing w:after="160" w:line="300"/>
        <w:jc w:val="both"/>
      </w:pPr>
      <w:r>
        <w:rPr>
          <w:rFonts w:ascii="Garamond" w:cs="Garamond" w:eastAsia="Garamond" w:hAnsi="Garamond"/>
          <w:sz w:val="24"/>
          <w:szCs w:val="24"/>
        </w:rPr>
        <w:t xml:space="preserve">Los bitcoins obtenidos como recompensa de minería, desarrollados desde la perspectiva contable en el Capítulo 12 y con el caso práctico correspondiente en la sección 24.4 de esta obra, constituyen renta gravada bajo el Impuesto a las Ganancias, con un tratamiento que la propia ARCA distingue según se trate de renta de fuente argentina o de fuente extranjera, en función de la ubicación de los servidores y de la infraestructura de minería empleada por el contribuyente, cuestión que exige, en la práctica profesional, un análisis específico de la localización efectiva de la actividad minera desarrollada en el Capítulo 4 de esta obra, y que resulta de particular relevancia para las entidades mineras que operan infraestructura distribuida en múltiples jurisdicciones.</w:t>
      </w:r>
    </w:p>
    <w:p>
      <w:pPr>
        <w:pStyle w:val="Heading2"/>
        <w:spacing w:after="180" w:before="360"/>
      </w:pPr>
      <w:r>
        <w:rPr>
          <w:rFonts w:ascii="Garamond" w:cs="Garamond" w:eastAsia="Garamond" w:hAnsi="Garamond"/>
          <w:b/>
          <w:bCs/>
          <w:color w:val="10233F"/>
          <w:sz w:val="28"/>
          <w:szCs w:val="28"/>
        </w:rPr>
        <w:t xml:space="preserve">26.8. Compensación de quebrantos</w:t>
      </w:r>
    </w:p>
    <w:p>
      <w:pPr>
        <w:spacing w:after="160" w:line="300"/>
        <w:jc w:val="both"/>
      </w:pPr>
      <w:r>
        <w:rPr>
          <w:rFonts w:ascii="Garamond" w:cs="Garamond" w:eastAsia="Garamond" w:hAnsi="Garamond"/>
          <w:sz w:val="24"/>
          <w:szCs w:val="24"/>
        </w:rPr>
        <w:t xml:space="preserve">Las pérdidas derivadas de la enajenación de criptoactivos, cuando la venta se realiza a un valor inferior al costo computable determinado conforme a la sección 26.4 de este capítulo, pueden compensarse contra ganancias futuras de la misma naturaleza, dentro del plazo de cinco años previsto con carácter general por la LIG para el cómputo de quebrantos específicos, distinguiendo, conforme al criterio de fuente desarrollado en la sección 26.7, entre el quebranto de fuente argentina, compensable únicamente contra ganancias de fuente argentina de la misma categoría, y el quebranto de fuente extranjera, compensable únicamente contra ganancias de fuente extranjera, sin que resulte admisible, en ningún caso, la compensación cruzada entre el quebranto derivado de operaciones con criptoactivos y las ganancias derivadas de otras categorías de renta del mismo contribuyente, tales como honorarios profesionales o rentas de otra naturaleza.</w:t>
      </w:r>
    </w:p>
    <w:p>
      <w:pPr>
        <w:pStyle w:val="Heading2"/>
        <w:spacing w:after="180" w:before="360"/>
      </w:pPr>
      <w:r>
        <w:rPr>
          <w:rFonts w:ascii="Garamond" w:cs="Garamond" w:eastAsia="Garamond" w:hAnsi="Garamond"/>
          <w:b/>
          <w:bCs/>
          <w:color w:val="10233F"/>
          <w:sz w:val="28"/>
          <w:szCs w:val="28"/>
        </w:rPr>
        <w:t xml:space="preserve">26.9. El régimen de información: hacia la trazabilidad fiscal completa</w:t>
      </w:r>
    </w:p>
    <w:p>
      <w:pPr>
        <w:spacing w:after="160" w:line="300"/>
        <w:jc w:val="both"/>
      </w:pPr>
      <w:r>
        <w:rPr>
          <w:rFonts w:ascii="Garamond" w:cs="Garamond" w:eastAsia="Garamond" w:hAnsi="Garamond"/>
          <w:sz w:val="24"/>
          <w:szCs w:val="24"/>
        </w:rPr>
        <w:t xml:space="preserve">La Resolución General ARCA N.º 5804/2025 estableció un régimen de información específico que obliga a los Proveedores de Servicios de Activos Virtuales (PSAV) registrados ante la Comisión Nacional de Valores, desarrollados en el Capítulo 10 de esta obra, a reportar de manera periódica a ARCA los movimientos de activos virtuales de sus clientes, consolidando un esquema de trazabilidad fiscal que, combinado con la adhesión argentina futura al Crypto-Asset Reporting Framework (CARF) desarrollado por la Organización para la Cooperación y el Desarrollo Económico, reduce progresivamente el margen de operaciones no declaradas que, según relevamientos de adopción cripto de la industria, ha caracterizado históricamente a una porción significativa de los usuarios argentinos de criptoactivos. Esta obra recomienda, en consecuencia, a todo profesional que asesore a clientes con tenencias u operaciones en Bitcoin, asumir como escenario de planificación fiscal más prudente aquel en el cual la totalidad de las operaciones canalizadas a través de exchanges registrados resultará, en un plazo breve, visible para el organismo fiscal, con independencia de que el contribuyente las hubiera declarado o no de manera espontánea.</w:t>
      </w:r>
    </w:p>
    <w:p>
      <w:pPr>
        <w:pStyle w:val="Heading2"/>
        <w:spacing w:after="180" w:before="360"/>
      </w:pPr>
      <w:r>
        <w:rPr>
          <w:rFonts w:ascii="Garamond" w:cs="Garamond" w:eastAsia="Garamond" w:hAnsi="Garamond"/>
          <w:b/>
          <w:bCs/>
          <w:color w:val="10233F"/>
          <w:sz w:val="28"/>
          <w:szCs w:val="28"/>
        </w:rPr>
        <w:t xml:space="preserve">26.10. Síntesis del capítulo</w:t>
      </w:r>
    </w:p>
    <w:p>
      <w:pPr>
        <w:spacing w:after="160" w:line="300"/>
        <w:jc w:val="both"/>
      </w:pPr>
      <w:r>
        <w:rPr>
          <w:rFonts w:ascii="Garamond" w:cs="Garamond" w:eastAsia="Garamond" w:hAnsi="Garamond"/>
          <w:sz w:val="24"/>
          <w:szCs w:val="24"/>
        </w:rPr>
        <w:t xml:space="preserve">Este capítulo desarrolló el tratamiento del Impuesto a las Ganancias aplicable a Bitcoin, distinguiendo el régimen cedular de personas humanas (artículo 98 de la LIG, alícuotas del 5% y del 15% según la moneda de la operación, sin gravabilidad de la mera tenencia) del régimen general de personas jurídicas (tasas progresivas del artículo 73, con la obligación de revaluación periódica que puede generar renta gravada por la mera valorización). Se abordó la tensión doctrinaria entre identificación específica y FIFO para la determinación del costo computable, el tratamiento de la minería según la fuente de la renta, el régimen de compensación de quebrantos específicos, y el nuevo régimen de información de ARCA que reduce el margen de operaciones no trazadas. El Capítulo 27 continúa el desarrollo tributario de esta Parte V abordando el Impuesto al Valor Agregado aplicable a las operaciones con Bitcoin.</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26</w:t>
      </w:r>
    </w:p>
    <w:p>
      <w:pPr>
        <w:spacing w:after="160"/>
        <w:ind w:left="480" w:hanging="480"/>
        <w:jc w:val="both"/>
      </w:pPr>
      <w:r>
        <w:rPr>
          <w:rFonts w:ascii="Garamond" w:cs="Garamond" w:eastAsia="Garamond" w:hAnsi="Garamond"/>
          <w:sz w:val="22"/>
          <w:szCs w:val="22"/>
        </w:rPr>
        <w:t xml:space="preserve">Administración de Ingresos Públicos / ARCA. (2022). Dictamen N.º 2/2022 (DI ALIR).</w:t>
      </w:r>
    </w:p>
    <w:p>
      <w:pPr>
        <w:spacing w:after="160"/>
        <w:ind w:left="480" w:hanging="480"/>
        <w:jc w:val="both"/>
      </w:pPr>
      <w:r>
        <w:rPr>
          <w:rFonts w:ascii="Garamond" w:cs="Garamond" w:eastAsia="Garamond" w:hAnsi="Garamond"/>
          <w:sz w:val="22"/>
          <w:szCs w:val="22"/>
        </w:rPr>
        <w:t xml:space="preserve">Administración de Ingresos Públicos / ARCA. (2025). Resolución General N.º 5804/2025: Régimen de información sobre movimientos de activos virtuales.</w:t>
      </w:r>
    </w:p>
    <w:p>
      <w:pPr>
        <w:spacing w:after="160"/>
        <w:ind w:left="480" w:hanging="480"/>
        <w:jc w:val="both"/>
      </w:pPr>
      <w:r>
        <w:rPr>
          <w:rFonts w:ascii="Garamond" w:cs="Garamond" w:eastAsia="Garamond" w:hAnsi="Garamond"/>
          <w:sz w:val="22"/>
          <w:szCs w:val="22"/>
        </w:rPr>
        <w:t xml:space="preserve">Congreso de la Nación Argentina. (2017). Ley N.º 27.430: Reforma tributaria.</w:t>
      </w:r>
    </w:p>
    <w:p>
      <w:pPr>
        <w:spacing w:after="160"/>
        <w:ind w:left="480" w:hanging="480"/>
        <w:jc w:val="both"/>
      </w:pPr>
      <w:r>
        <w:rPr>
          <w:rFonts w:ascii="Garamond" w:cs="Garamond" w:eastAsia="Garamond" w:hAnsi="Garamond"/>
          <w:sz w:val="22"/>
          <w:szCs w:val="22"/>
        </w:rPr>
        <w:t xml:space="preserve">Congreso de la Nación Argentina. (2021). Ley N.º 27.630: Modificación del artículo 73 de la Ley de Impuesto a las Ganancias.</w:t>
      </w:r>
    </w:p>
    <w:p>
      <w:pPr>
        <w:spacing w:after="160"/>
        <w:ind w:left="480" w:hanging="480"/>
        <w:jc w:val="both"/>
      </w:pPr>
      <w:r>
        <w:rPr>
          <w:rFonts w:ascii="Garamond" w:cs="Garamond" w:eastAsia="Garamond" w:hAnsi="Garamond"/>
          <w:sz w:val="22"/>
          <w:szCs w:val="22"/>
        </w:rPr>
        <w:t xml:space="preserve">Ley de Impuesto a las Ganancias (t.o. 2019 y modificatorias), artículos 53, 73, 98 y 100.</w:t>
      </w:r>
    </w:p>
    <w:p>
      <w:pPr>
        <w:spacing w:after="160"/>
        <w:ind w:left="480" w:hanging="480"/>
        <w:jc w:val="both"/>
      </w:pPr>
      <w:r>
        <w:rPr>
          <w:rFonts w:ascii="Garamond" w:cs="Garamond" w:eastAsia="Garamond" w:hAnsi="Garamond"/>
          <w:sz w:val="22"/>
          <w:szCs w:val="22"/>
        </w:rPr>
        <w:t xml:space="preserve">Organización para la Cooperación y el Desarrollo Económico. (2022). Crypto-Asset Reporting Framework (CARF).</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27</w:t>
      </w:r>
    </w:p>
    <w:p>
      <w:pPr>
        <w:spacing w:after="400"/>
      </w:pPr>
      <w:r>
        <w:rPr>
          <w:rFonts w:ascii="Garamond" w:cs="Garamond" w:eastAsia="Garamond" w:hAnsi="Garamond"/>
          <w:b/>
          <w:bCs/>
          <w:color w:val="9C7A2E"/>
          <w:sz w:val="40"/>
          <w:szCs w:val="40"/>
        </w:rPr>
        <w:t xml:space="preserve">Impuesto al Valor Agregado (IVA)</w:t>
      </w:r>
    </w:p>
    <w:p>
      <w:pPr>
        <w:pStyle w:val="Heading2"/>
        <w:spacing w:after="180" w:before="360"/>
      </w:pPr>
      <w:r>
        <w:rPr>
          <w:rFonts w:ascii="Garamond" w:cs="Garamond" w:eastAsia="Garamond" w:hAnsi="Garamond"/>
          <w:b/>
          <w:bCs/>
          <w:color w:val="10233F"/>
          <w:sz w:val="28"/>
          <w:szCs w:val="28"/>
        </w:rPr>
        <w:t xml:space="preserve">27.1. Introducción: el criterio de «bien digital» frente a «cosa mueble»</w:t>
      </w:r>
    </w:p>
    <w:p>
      <w:pPr>
        <w:spacing w:after="160" w:line="300"/>
        <w:jc w:val="both"/>
      </w:pPr>
      <w:r>
        <w:rPr>
          <w:rFonts w:ascii="Garamond" w:cs="Garamond" w:eastAsia="Garamond" w:hAnsi="Garamond"/>
          <w:sz w:val="24"/>
          <w:szCs w:val="24"/>
        </w:rPr>
        <w:t xml:space="preserve">El Capítulo 26 desarrolló el tratamiento de Bitcoin bajo el Impuesto a las Ganancias. Este capítulo aborda el Impuesto al Valor Agregado, cuyo análisis exige partir de una distinción conceptual que retoma, desde la perspectiva específicamente tributaria, el desarrollo jurídico realizado en el Capítulo 10 de esta obra: la Ley de Impuesto al Valor Agregado (Ley N.º 23.349, texto ordenado en 1997 y sus modificatorias) grava, en su artículo 1, la venta de cosas muebles situadas o colocadas en el país, las obras, locaciones y prestaciones de servicios, y las importaciones definitivas de cosas muebles, entre otros hechos imponibles allí enumerados.</w:t>
      </w:r>
    </w:p>
    <w:p>
      <w:pPr>
        <w:spacing w:after="160" w:line="300"/>
        <w:jc w:val="both"/>
      </w:pPr>
      <w:r>
        <w:rPr>
          <w:rFonts w:ascii="Garamond" w:cs="Garamond" w:eastAsia="Garamond" w:hAnsi="Garamond"/>
          <w:sz w:val="24"/>
          <w:szCs w:val="24"/>
        </w:rPr>
        <w:t xml:space="preserve">La calificación de Bitcoin, desarrollada extensamente en el Capítulo 10 de esta obra, como un bien inmaterial o digital —y no como una cosa mueble en los términos del artículo 2311 del derogado Código Civil, sustituido en esta materia por el concepto de «bienes materiales e inmateriales» del artículo 16 del actual Código Civil y Comercial de la Nación desarrollado en esa misma sección—, resulta determinante para su encuadre en el objeto del impuesto: al carecer Bitcoin de existencia corporal susceptible de percepción por los sentidos o de valor mediante otro cuerpo, en los términos que tradicionalmente ha exigido la doctrina tributaria para la calificación de una «cosa mueble» a los fines de la Ley de IVA, su enajenación no queda comprendida dentro del primer supuesto del objeto del impuesto.</w:t>
      </w:r>
    </w:p>
    <w:p>
      <w:pPr>
        <w:pStyle w:val="Heading2"/>
        <w:spacing w:after="180" w:before="360"/>
      </w:pPr>
      <w:r>
        <w:rPr>
          <w:rFonts w:ascii="Garamond" w:cs="Garamond" w:eastAsia="Garamond" w:hAnsi="Garamond"/>
          <w:b/>
          <w:bCs/>
          <w:color w:val="10233F"/>
          <w:sz w:val="28"/>
          <w:szCs w:val="28"/>
        </w:rPr>
        <w:t xml:space="preserve">27.2. La no gravabilidad de la compraventa de Bitcoin</w:t>
      </w:r>
    </w:p>
    <w:p>
      <w:pPr>
        <w:spacing w:after="160" w:line="300"/>
        <w:jc w:val="both"/>
      </w:pPr>
      <w:r>
        <w:rPr>
          <w:rFonts w:ascii="Garamond" w:cs="Garamond" w:eastAsia="Garamond" w:hAnsi="Garamond"/>
          <w:sz w:val="24"/>
          <w:szCs w:val="24"/>
        </w:rPr>
        <w:t xml:space="preserve">La interpretación consolidada de ARCA (ex AFIP), consistente con el criterio doctrinario mayoritario y con la calificación jurídica de los criptoactivos como bienes digitales e inmateriales, sostiene que la simple compraventa o el intercambio de Bitcoin por moneda de curso legal o por otros criptoactivos, cuando se realiza entre particulares y sin la intervención de un prestador de servicios que perciba una contraprestación específica por facilitar esa operación, no constituye una venta de cosa mueble ni una prestación de servicios en los términos del artículo 1 de la Ley de IVA, y en consecuencia se encuentra fuera del objeto del impuesto, sin necesidad de invocar exención expresa alguna.</w:t>
      </w:r>
    </w:p>
    <w:p>
      <w:pPr>
        <w:spacing w:after="160" w:line="300"/>
        <w:jc w:val="both"/>
      </w:pPr>
      <w:r>
        <w:rPr>
          <w:rFonts w:ascii="Garamond" w:cs="Garamond" w:eastAsia="Garamond" w:hAnsi="Garamond"/>
          <w:sz w:val="24"/>
          <w:szCs w:val="24"/>
        </w:rPr>
        <w:t xml:space="preserve">Esta conclusión, de gran relevancia práctica, presenta un paralelismo conceptual directo con la calificación de Bitcoin como activo intangible bajo NIC 38 desarrollada extensamente en el Capítulo 14 de esta obra: en ambos casos —el contable y el tributario—, la ausencia de sustancia física o corporal de Bitcoin resulta determinante para excluirlo de regímenes normativos diseñados originalmente para bienes tangibles o para relaciones jurídicas con una contraparte identificada, ilustrando la coherencia sistémica que, en este punto específico, exhiben el ordenamiento contable y el ordenamiento tributario argentino, a pesar de la falta de coordinación normativa expresa entre ambos que se ha señalado en diversos pasajes de esta obra.</w:t>
      </w:r>
    </w:p>
    <w:p>
      <w:pPr>
        <w:pStyle w:val="Heading2"/>
        <w:spacing w:after="180" w:before="360"/>
      </w:pPr>
      <w:r>
        <w:rPr>
          <w:rFonts w:ascii="Garamond" w:cs="Garamond" w:eastAsia="Garamond" w:hAnsi="Garamond"/>
          <w:b/>
          <w:bCs/>
          <w:color w:val="10233F"/>
          <w:sz w:val="28"/>
          <w:szCs w:val="28"/>
        </w:rPr>
        <w:t xml:space="preserve">27.3. IVA sobre los servicios de intermediación: las comisiones de los exchanges</w:t>
      </w:r>
    </w:p>
    <w:p>
      <w:pPr>
        <w:spacing w:after="160" w:line="300"/>
        <w:jc w:val="both"/>
      </w:pPr>
      <w:r>
        <w:rPr>
          <w:rFonts w:ascii="Garamond" w:cs="Garamond" w:eastAsia="Garamond" w:hAnsi="Garamond"/>
          <w:sz w:val="24"/>
          <w:szCs w:val="24"/>
        </w:rPr>
        <w:t xml:space="preserve">La conclusión desarrollada en la sección precedente no se extiende, sin embargo, a los servicios de intermediación que un exchange u otro Proveedor de Servicios de Activos Virtuales (PSAV), desarrollado en el Capítulo 10 de esta obra, presta a sus usuarios a cambio de una comisión específica por facilitar la operación de compraventa. Esa comisión —que retribuye un servicio de intermediación, custodia, o provisión de infraestructura tecnológica de negociación, plenamente diferenciable del bien subyacente objeto de la operación intermediada— constituye una prestación de servicios en los términos del artículo 3 de la Ley de IVA, sujeta a la alícuota general del veintiuno por ciento (21%) cuando el prestador se encuentra radicado en el país.</w:t>
      </w:r>
    </w:p>
    <w:p>
      <w:pPr>
        <w:spacing w:after="160" w:line="300"/>
        <w:jc w:val="both"/>
      </w:pPr>
      <w:r>
        <w:rPr>
          <w:rFonts w:ascii="Garamond" w:cs="Garamond" w:eastAsia="Garamond" w:hAnsi="Garamond"/>
          <w:sz w:val="24"/>
          <w:szCs w:val="24"/>
        </w:rPr>
        <w:t xml:space="preserve">Esta distinción —entre la operación subyacente de compraventa de Bitcoin, no alcanzada, y el servicio de intermediación que la facilita, sí alcanzado— exige, en la práctica profesional, una cuidadosa segregación contractual y documental de ambos conceptos, cuestión que la generalidad de los exchanges registrados ante la Comisión Nacional de Valores resuelve mediante la facturación diferenciada de sus comisiones de servicio, separadas del valor nominal de la operación de compraventa de criptoactivos propiamente dicha.</w:t>
      </w:r>
    </w:p>
    <w:p>
      <w:pPr>
        <w:pStyle w:val="Heading2"/>
        <w:spacing w:after="180" w:before="360"/>
      </w:pPr>
      <w:r>
        <w:rPr>
          <w:rFonts w:ascii="Garamond" w:cs="Garamond" w:eastAsia="Garamond" w:hAnsi="Garamond"/>
          <w:b/>
          <w:bCs/>
          <w:color w:val="10233F"/>
          <w:sz w:val="28"/>
          <w:szCs w:val="28"/>
        </w:rPr>
        <w:t xml:space="preserve">27.4. El caso de los exchanges radicados en el exterior: servicios digitales</w:t>
      </w:r>
    </w:p>
    <w:p>
      <w:pPr>
        <w:spacing w:after="160" w:line="300"/>
        <w:jc w:val="both"/>
      </w:pPr>
      <w:r>
        <w:rPr>
          <w:rFonts w:ascii="Garamond" w:cs="Garamond" w:eastAsia="Garamond" w:hAnsi="Garamond"/>
          <w:sz w:val="24"/>
          <w:szCs w:val="24"/>
        </w:rPr>
        <w:t xml:space="preserve">Un supuesto de particular complejidad práctica, y de creciente relevancia dada la naturaleza globalizada y no fronteriza de los mercados de Bitcoin desarrollada extensamente en esta obra, es el de los servicios de intermediación prestados por exchanges radicados en el exterior a usuarios residentes en la República Argentina. La Ley N.º 27.430, ya mencionada en el Capítulo 26 de esta obra, incorporó al artículo 1, inciso e), de la Ley de IVA, el gravamen sobre los denominados «servicios digitales» prestados por un sujeto residente o domiciliado en el exterior, cuando su utilización o explotación efectiva se lleve a cabo en el país, categoría dentro de la cual la interpretación consolidada de ARCA encuadra a los servicios de intermediación, custodia y negociación de criptoactivos prestados por plataformas extranjeras a usuarios argentinos.</w:t>
      </w:r>
    </w:p>
    <w:p>
      <w:pPr>
        <w:spacing w:after="160" w:line="300"/>
        <w:jc w:val="both"/>
      </w:pPr>
      <w:r>
        <w:rPr>
          <w:rFonts w:ascii="Garamond" w:cs="Garamond" w:eastAsia="Garamond" w:hAnsi="Garamond"/>
          <w:sz w:val="24"/>
          <w:szCs w:val="24"/>
        </w:rPr>
        <w:t xml:space="preserve">El mecanismo de recaudación de este gravamen se articula, conforme al artículo 27 de la Ley de IVA y a la reglamentación específica dictada por ARCA, mediante un régimen de percepción a cargo de las entidades del sistema financiero, los administradores de tarjetas de crédito y débito, y demás sujetos que intervengan en los pagos al exterior correspondientes a estos servicios, quienes deben actuar como agentes de percepción del impuesto, aplicando la alícuota general del 21% sobre el importe abonado al prestador extranjero, mecanismo que resulta, en la práctica, de aplicación menos directa cuando el pago se efectúa mediante la transferencia de otros criptoactivos o de la propia Bitcoin, antes que mediante los canales tradicionales del sistema financiero y de medios de pago electrónicos sujetos a percepción.</w:t>
      </w:r>
    </w:p>
    <w:p>
      <w:pPr>
        <w:pStyle w:val="Heading2"/>
        <w:spacing w:after="180" w:before="360"/>
      </w:pPr>
      <w:r>
        <w:rPr>
          <w:rFonts w:ascii="Garamond" w:cs="Garamond" w:eastAsia="Garamond" w:hAnsi="Garamond"/>
          <w:b/>
          <w:bCs/>
          <w:color w:val="10233F"/>
          <w:sz w:val="28"/>
          <w:szCs w:val="28"/>
        </w:rPr>
        <w:t xml:space="preserve">27.5. La minería frente al objeto del impuesto: ausencia de contraprestación identificable</w:t>
      </w:r>
    </w:p>
    <w:p>
      <w:pPr>
        <w:spacing w:after="160" w:line="300"/>
        <w:jc w:val="both"/>
      </w:pPr>
      <w:r>
        <w:rPr>
          <w:rFonts w:ascii="Garamond" w:cs="Garamond" w:eastAsia="Garamond" w:hAnsi="Garamond"/>
          <w:sz w:val="24"/>
          <w:szCs w:val="24"/>
        </w:rPr>
        <w:t xml:space="preserve">La actividad de minería de Bitcoin, desarrollada extensamente en el Capítulo 4 de esta obra, plantea una cuestión doctrinaria específica en materia de IVA que merece un desarrollo diferenciado: ¿constituye la actividad de minería una locación o prestación de servicios de validación de transacciones a favor de la red de Bitcoin, y en consecuencia un hecho imponible del impuesto?</w:t>
      </w:r>
    </w:p>
    <w:p>
      <w:pPr>
        <w:spacing w:after="160" w:line="300"/>
        <w:jc w:val="both"/>
      </w:pPr>
      <w:r>
        <w:rPr>
          <w:rFonts w:ascii="Garamond" w:cs="Garamond" w:eastAsia="Garamond" w:hAnsi="Garamond"/>
          <w:sz w:val="24"/>
          <w:szCs w:val="24"/>
        </w:rPr>
        <w:t xml:space="preserve">La posición doctrinaria predominante, que esta obra comparte, sostiene que la actividad de minería no configura el hecho imponible de locación o prestación de servicios en los términos del artículo 3 de la Ley de IVA, en la medida en que ese hecho imponible exige, conforme a la estructura general del impuesto, la existencia de un prestador y de un prestatario identificado, vinculados por una relación jurídica en virtud de la cual el segundo abona al primero una contraprestación específica y determinada a cambio del servicio recibido. En el caso de la minería, como se desarrolló extensamente en el Capítulo 4, no existe una contraparte contractual identificada que encargue el servicio de validación ni que determine la contraprestación a abonar: la recompensa de bloque y las comisiones de transacción se asignan de manera algorítmica y automática por el propio protocolo, a quien resuelve exitosamente la prueba de trabajo, sin mediar acuerdo de voluntades previo con un prestatario determinado, estructura que resulta, en consecuencia, ajena a la noción de prestación de servicios que estructura el objeto del impuesto.</w:t>
      </w:r>
    </w:p>
    <w:p>
      <w:pPr>
        <w:spacing w:after="160" w:line="300"/>
        <w:jc w:val="both"/>
      </w:pPr>
      <w:r>
        <w:rPr>
          <w:rFonts w:ascii="Garamond" w:cs="Garamond" w:eastAsia="Garamond" w:hAnsi="Garamond"/>
          <w:sz w:val="24"/>
          <w:szCs w:val="24"/>
        </w:rPr>
        <w:t xml:space="preserve">Esta conclusión doctrinaria, aunque no exenta de la incertidumbre interpretativa que caracteriza a la generalidad de las cuestiones tributarias vinculadas a Bitcoin en ausencia de pronunciamiento normativo expreso, resulta consistente con el criterio adoptado, con carácter general, por las principales jurisdicciones que han abordado la cuestión, entre ellas la Unión Europea, cuyo Tribunal de Justicia, en el precedente Hedqvist de 2015 referido al canje de moneda fiduciaria por Bitcoin, sostuvo un criterio de exención análogo al desarrollado en la sección 27.2 de este capítulo para la compraventa, aunque sin pronunciarse de manera específica sobre la actividad de minería en ese precedente puntual.</w:t>
      </w:r>
    </w:p>
    <w:p>
      <w:pPr>
        <w:pStyle w:val="Heading2"/>
        <w:spacing w:after="180" w:before="360"/>
      </w:pPr>
      <w:r>
        <w:rPr>
          <w:rFonts w:ascii="Garamond" w:cs="Garamond" w:eastAsia="Garamond" w:hAnsi="Garamond"/>
          <w:b/>
          <w:bCs/>
          <w:color w:val="10233F"/>
          <w:sz w:val="28"/>
          <w:szCs w:val="28"/>
        </w:rPr>
        <w:t xml:space="preserve">27.6. Nota sobre la dimensión provincial: remisión al Impuesto sobre los Ingresos Brutos</w:t>
      </w:r>
    </w:p>
    <w:p>
      <w:pPr>
        <w:spacing w:after="160" w:line="300"/>
        <w:jc w:val="both"/>
      </w:pPr>
      <w:r>
        <w:rPr>
          <w:rFonts w:ascii="Garamond" w:cs="Garamond" w:eastAsia="Garamond" w:hAnsi="Garamond"/>
          <w:sz w:val="24"/>
          <w:szCs w:val="24"/>
        </w:rPr>
        <w:t xml:space="preserve">Corresponde precisar que la no gravabilidad de la compraventa de Bitcoin bajo el IVA, desarrollada en este capítulo, no se extiende automáticamente al ámbito de la imposición provincial, en el cual, como se desarrollará con el detalle correspondiente en el Capítulo 29 de esta obra, ciertas jurisdicciones provinciales argentinas han adoptado un criterio de gravabilidad autónomo respecto de los resultados de la actividad habitual de compraventa de criptoactivos bajo el Impuesto sobre los Ingresos Brutos, en ejercicio de las facultades tributarias propias que la Constitución Nacional reserva a las provincias, con independencia y sin necesaria coordinación con el criterio nacional desarrollado en este capítulo.</w:t>
      </w:r>
    </w:p>
    <w:p>
      <w:pPr>
        <w:pStyle w:val="Heading2"/>
        <w:spacing w:after="180" w:before="360"/>
      </w:pPr>
      <w:r>
        <w:rPr>
          <w:rFonts w:ascii="Garamond" w:cs="Garamond" w:eastAsia="Garamond" w:hAnsi="Garamond"/>
          <w:b/>
          <w:bCs/>
          <w:color w:val="10233F"/>
          <w:sz w:val="28"/>
          <w:szCs w:val="28"/>
        </w:rPr>
        <w:t xml:space="preserve">27.7. Síntesis del capítulo</w:t>
      </w:r>
    </w:p>
    <w:p>
      <w:pPr>
        <w:spacing w:after="160" w:line="300"/>
        <w:jc w:val="both"/>
      </w:pPr>
      <w:r>
        <w:rPr>
          <w:rFonts w:ascii="Garamond" w:cs="Garamond" w:eastAsia="Garamond" w:hAnsi="Garamond"/>
          <w:sz w:val="24"/>
          <w:szCs w:val="24"/>
        </w:rPr>
        <w:t xml:space="preserve">Este capítulo desarrolló el tratamiento de Bitcoin bajo el Impuesto al Valor Agregado, estableciendo, como conclusión central, que la compraventa de Bitcoin no constituye un hecho imponible del tributo, en virtud de su calificación como bien digital inmaterial y no como cosa mueble, en paralelismo conceptual directo con su calificación contable como activo intangible bajo NIC 38 desarrollada en el Capítulo 14. Se identificaron, como supuestos sí alcanzados por el impuesto, los servicios de intermediación prestados por exchanges locales, sujetos a la alícuota general del 21%, y los servicios digitales prestados por exchanges radicados en el exterior, sujetos al régimen de percepción específico introducido por la Ley 27.430. Se desarrolló, asimismo, la posición doctrinaria que excluye a la actividad de minería del objeto del impuesto, por ausencia de una contraprestación identificable frente a un prestatario determinado. El Capítulo 28 continúa el desarrollo tributario de esta Parte V abordando el Impuesto sobre los Bienes Personales aplicable a las tenencias de Bitcoin.</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27</w:t>
      </w:r>
    </w:p>
    <w:p>
      <w:pPr>
        <w:spacing w:after="160"/>
        <w:ind w:left="480" w:hanging="480"/>
        <w:jc w:val="both"/>
      </w:pPr>
      <w:r>
        <w:rPr>
          <w:rFonts w:ascii="Garamond" w:cs="Garamond" w:eastAsia="Garamond" w:hAnsi="Garamond"/>
          <w:sz w:val="22"/>
          <w:szCs w:val="22"/>
        </w:rPr>
        <w:t xml:space="preserve">Administración de Ingresos Públicos / ARCA. (2019). Resolución General N.º 4614/2019: Régimen de información para proveedores de servicios de activos virtuales.</w:t>
      </w:r>
    </w:p>
    <w:p>
      <w:pPr>
        <w:spacing w:after="160"/>
        <w:ind w:left="480" w:hanging="480"/>
        <w:jc w:val="both"/>
      </w:pPr>
      <w:r>
        <w:rPr>
          <w:rFonts w:ascii="Garamond" w:cs="Garamond" w:eastAsia="Garamond" w:hAnsi="Garamond"/>
          <w:sz w:val="22"/>
          <w:szCs w:val="22"/>
        </w:rPr>
        <w:t xml:space="preserve">Congreso de la Nación Argentina. (2017). Ley N.º 27.430: Reforma tributaria.</w:t>
      </w:r>
    </w:p>
    <w:p>
      <w:pPr>
        <w:spacing w:after="160"/>
        <w:ind w:left="480" w:hanging="480"/>
        <w:jc w:val="both"/>
      </w:pPr>
      <w:r>
        <w:rPr>
          <w:rFonts w:ascii="Garamond" w:cs="Garamond" w:eastAsia="Garamond" w:hAnsi="Garamond"/>
          <w:sz w:val="22"/>
          <w:szCs w:val="22"/>
        </w:rPr>
        <w:t xml:space="preserve">Ley de Impuesto al Valor Agregado (Ley N.º 23.349, t.o. 1997 y modificatorias), artículos 1, 3 y 27.</w:t>
      </w:r>
    </w:p>
    <w:p>
      <w:pPr>
        <w:spacing w:after="160"/>
        <w:ind w:left="480" w:hanging="480"/>
        <w:jc w:val="both"/>
      </w:pPr>
      <w:r>
        <w:rPr>
          <w:rFonts w:ascii="Garamond" w:cs="Garamond" w:eastAsia="Garamond" w:hAnsi="Garamond"/>
          <w:sz w:val="22"/>
          <w:szCs w:val="22"/>
        </w:rPr>
        <w:t xml:space="preserve">Tribunal de Justicia de la Unión Europea. (22 de octubre de 2015). Skatteverket v. David Hedqvist, Asunto C-264/14.</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28</w:t>
      </w:r>
    </w:p>
    <w:p>
      <w:pPr>
        <w:spacing w:after="400"/>
      </w:pPr>
      <w:r>
        <w:rPr>
          <w:rFonts w:ascii="Garamond" w:cs="Garamond" w:eastAsia="Garamond" w:hAnsi="Garamond"/>
          <w:b/>
          <w:bCs/>
          <w:color w:val="9C7A2E"/>
          <w:sz w:val="40"/>
          <w:szCs w:val="40"/>
        </w:rPr>
        <w:t xml:space="preserve">Impuesto sobre los Bienes Personales</w:t>
      </w:r>
    </w:p>
    <w:p>
      <w:pPr>
        <w:pStyle w:val="Heading2"/>
        <w:spacing w:after="180" w:before="360"/>
      </w:pPr>
      <w:r>
        <w:rPr>
          <w:rFonts w:ascii="Garamond" w:cs="Garamond" w:eastAsia="Garamond" w:hAnsi="Garamond"/>
          <w:b/>
          <w:bCs/>
          <w:color w:val="10233F"/>
          <w:sz w:val="28"/>
          <w:szCs w:val="28"/>
        </w:rPr>
        <w:t xml:space="preserve">28.1. Introducción: un impuesto patrimonial sobre la tenencia, no sobre el resultado</w:t>
      </w:r>
    </w:p>
    <w:p>
      <w:pPr>
        <w:spacing w:after="160" w:line="300"/>
        <w:jc w:val="both"/>
      </w:pPr>
      <w:r>
        <w:rPr>
          <w:rFonts w:ascii="Garamond" w:cs="Garamond" w:eastAsia="Garamond" w:hAnsi="Garamond"/>
          <w:sz w:val="24"/>
          <w:szCs w:val="24"/>
        </w:rPr>
        <w:t xml:space="preserve">Los Capítulos 26 y 27 de esta obra desarrollaron dos tributos que gravan, respectivamente, el resultado de la enajenación de Bitcoin y las prestaciones de servicios vinculadas a su comercialización. Este capítulo aborda un tributo de naturaleza conceptualmente distinta: el Impuesto sobre los Bienes Personales, regulado por la Ley N.º 23.966, título VI, y sus modificatorias, que no grava un resultado ni una transacción, sino la mera tenencia de determinados bienes al 31 de diciembre de cada año, con independencia de que esa tenencia genere o no una ganancia realizada.</w:t>
      </w:r>
    </w:p>
    <w:p>
      <w:pPr>
        <w:spacing w:after="160" w:line="300"/>
        <w:jc w:val="both"/>
      </w:pPr>
      <w:r>
        <w:rPr>
          <w:rFonts w:ascii="Garamond" w:cs="Garamond" w:eastAsia="Garamond" w:hAnsi="Garamond"/>
          <w:sz w:val="24"/>
          <w:szCs w:val="24"/>
        </w:rPr>
        <w:t xml:space="preserve">Esta distinción conceptual —ya anticipada en la sección 26.5 de esta obra al contrastar el criterio de realización que rige el Impuesto a las Ganancias para personas humanas con el criterio de tenencia que rige este tributo— explica por qué un contribuyente que mantiene una tenencia de Bitcoin sin haberla enajenado en el ejercicio, y que en consecuencia no genera hecho imponible alguno bajo el Impuesto a las Ganancias, puede sin embargo resultar plenamente alcanzado por el Impuesto sobre los Bienes Personales, en función del valor de esa tenencia a la fecha de cierre anual.</w:t>
      </w:r>
    </w:p>
    <w:p>
      <w:pPr>
        <w:pStyle w:val="Heading2"/>
        <w:spacing w:after="180" w:before="360"/>
      </w:pPr>
      <w:r>
        <w:rPr>
          <w:rFonts w:ascii="Garamond" w:cs="Garamond" w:eastAsia="Garamond" w:hAnsi="Garamond"/>
          <w:b/>
          <w:bCs/>
          <w:color w:val="10233F"/>
          <w:sz w:val="28"/>
          <w:szCs w:val="28"/>
        </w:rPr>
        <w:t xml:space="preserve">28.2. El Dictamen N.º 2/2022 (DI ALIR): Bitcoin como activo financiero</w:t>
      </w:r>
    </w:p>
    <w:p>
      <w:pPr>
        <w:spacing w:after="160" w:line="300"/>
        <w:jc w:val="both"/>
      </w:pPr>
      <w:r>
        <w:rPr>
          <w:rFonts w:ascii="Garamond" w:cs="Garamond" w:eastAsia="Garamond" w:hAnsi="Garamond"/>
          <w:sz w:val="24"/>
          <w:szCs w:val="24"/>
        </w:rPr>
        <w:t xml:space="preserve">La cuestión de mayor relevancia doctrinaria en el tratamiento de Bitcoin bajo este impuesto —y que contrasta de manera notable con la convergencia conceptual identificada en el Capítulo 27 al tratar el IVA— es la calificación jurídica específica que ARCA (ex AFIP) adoptó mediante el Dictamen N.º 2/2022 de la Dirección de Asesoría Legal Impositiva y de los Recursos de la Seguridad Social (DI ALIR). La Ley N.º 23.966 prevé, en su artículo 21, una exención específica para determinados bienes inmateriales —marcas, patentes, derechos de propiedad intelectual, llave de negocio, entre otros expresamente enumerados—, exención que, de resultar aplicable a Bitcoin en virtud de su calificación como bien inmaterial, lo excluiría del objeto del impuesto de manera análoga a la exclusión desarrollada para el IVA en el capítulo precedente.</w:t>
      </w:r>
    </w:p>
    <w:p>
      <w:pPr>
        <w:spacing w:after="160" w:line="300"/>
        <w:jc w:val="both"/>
      </w:pPr>
      <w:r>
        <w:rPr>
          <w:rFonts w:ascii="Garamond" w:cs="Garamond" w:eastAsia="Garamond" w:hAnsi="Garamond"/>
          <w:sz w:val="24"/>
          <w:szCs w:val="24"/>
        </w:rPr>
        <w:t xml:space="preserve">El Dictamen 2/2022 descartó expresamente esta posibilidad, sosteniendo que los criptoactivos no encuadran en la enumeración taxativa de bienes inmateriales exentos del artículo 21, sino que deben calificarse, a los fines específicos de este impuesto, como un activo financiero comprendido en el inciso j) del artículo 19 de la ley —categoría residual que incluye títulos, acciones, cuotas y participaciones sociales y otros activos financieros—, y que, en consecuencia, se encuentran plenamente alcanzados por el gravamen, sin poder invocar la exención de bienes inmateriales.</w:t>
      </w:r>
    </w:p>
    <w:p>
      <w:pPr>
        <w:spacing w:after="160" w:line="300"/>
        <w:jc w:val="both"/>
      </w:pPr>
      <w:r>
        <w:rPr>
          <w:rFonts w:ascii="Garamond" w:cs="Garamond" w:eastAsia="Garamond" w:hAnsi="Garamond"/>
          <w:sz w:val="24"/>
          <w:szCs w:val="24"/>
        </w:rPr>
        <w:t xml:space="preserve">Esta calificación administrativa —«activo financiero» a los fines del Impuesto sobre los Bienes Personales— merece ser confrontada, con el rigor técnico que esta obra se ha propuesto, con la calificación contable de Bitcoin como «activo intangible» bajo NIC 38 desarrollada extensamente en el Capítulo 14, y con la propia conclusión de la Decisión de Agenda del IFRS Interpretations Committee de 2019, desarrollada en el Capítulo 21, que descartó expresamente la calificación de las criptomonedas como instrumento financiero bajo NIC 32, precisamente por la ausencia de un derecho contractual contra una contraparte identificada que la propia norma contable exige para esa calificación. Esta divergencia —un mismo activo calificado como «financiero» a los fines de un tributo patrimonial nacional, y expresamente excluido de esa misma categoría a los fines contables internacionales— no configura, en rigor, una contradicción normativa insalvable, en la medida en que ambas calificaciones responden a marcos regulatorios autónomos con finalidades y definiciones propias no necesariamente coincidentes, pero exige que el profesional contable distinga con toda claridad, frente a un cliente o a un tribunal, que la calificación fiscal de «activo financiero» a los fines específicos del Impuesto sobre los Bienes Personales no debe trasladarse, por analogía, a la clasificación contable de Bitcoin bajo NIIF.</w:t>
      </w:r>
    </w:p>
    <w:p>
      <w:pPr>
        <w:pStyle w:val="Heading2"/>
        <w:spacing w:after="180" w:before="360"/>
      </w:pPr>
      <w:r>
        <w:rPr>
          <w:rFonts w:ascii="Garamond" w:cs="Garamond" w:eastAsia="Garamond" w:hAnsi="Garamond"/>
          <w:b/>
          <w:bCs/>
          <w:color w:val="10233F"/>
          <w:sz w:val="28"/>
          <w:szCs w:val="28"/>
        </w:rPr>
        <w:t xml:space="preserve">28.3. Valuación: cotización de mercado o costo ajustado</w:t>
      </w:r>
    </w:p>
    <w:p>
      <w:pPr>
        <w:spacing w:after="160" w:line="300"/>
        <w:jc w:val="both"/>
      </w:pPr>
      <w:r>
        <w:rPr>
          <w:rFonts w:ascii="Garamond" w:cs="Garamond" w:eastAsia="Garamond" w:hAnsi="Garamond"/>
          <w:sz w:val="24"/>
          <w:szCs w:val="24"/>
        </w:rPr>
        <w:t xml:space="preserve">La valuación de una tenencia de Bitcoin a los fines de este impuesto sigue un criterio dual, según la modalidad de adquisición y de negociación del activo. Cuando el contribuyente opera a través de mercados o plataformas que registran cotizaciones públicas y verificables —el supuesto habitual de los exchanges regulados desarrollados en el Capítulo 10 de esta obra—, la valuación al 31 de diciembre de cada año se determina por referencia directa a la última cotización disponible a esa fecha, en un criterio de indudable cercanía conceptual con el valor razonable de Nivel 1 desarrollado en el Capítulo 17 de esta obra al tratar la NIIF 13, aunque sin coincidir necesariamente, en su instrumentación práctica y en la fuente específica de cotización empleada, con el criterio contable adoptado por la entidad.</w:t>
      </w:r>
    </w:p>
    <w:p>
      <w:pPr>
        <w:spacing w:after="160" w:line="300"/>
        <w:jc w:val="both"/>
      </w:pPr>
      <w:r>
        <w:rPr>
          <w:rFonts w:ascii="Garamond" w:cs="Garamond" w:eastAsia="Garamond" w:hAnsi="Garamond"/>
          <w:sz w:val="24"/>
          <w:szCs w:val="24"/>
        </w:rPr>
        <w:t xml:space="preserve">Cuando, en cambio, el contribuyente no opera a través de mercados con cotización pública verificable —supuesto de aplicación más acotada dada la liquidez característica de Bitcoin desarrollada extensamente en esta obra, pero que podría presentarse en operaciones puntuales entre particulares (peer-to-peer)—, la valuación se determina por el costo de adquisición, ajustado por los intereses y las diferencias de cambio devengados hasta el 31 de diciembre del período fiscal correspondiente, criterio que exige, en la práctica profesional, el mismo tipo de registro pormenorizado por lote de adquisición que esta obra recomendó, desde la perspectiva contable, en la sección 23.5 del Capítulo 23.</w:t>
      </w:r>
    </w:p>
    <w:p>
      <w:pPr>
        <w:pStyle w:val="Heading2"/>
        <w:spacing w:after="180" w:before="360"/>
      </w:pPr>
      <w:r>
        <w:rPr>
          <w:rFonts w:ascii="Garamond" w:cs="Garamond" w:eastAsia="Garamond" w:hAnsi="Garamond"/>
          <w:b/>
          <w:bCs/>
          <w:color w:val="10233F"/>
          <w:sz w:val="28"/>
          <w:szCs w:val="28"/>
        </w:rPr>
        <w:t xml:space="preserve">28.4. Mínimo no imponible y escala progresiva unificada</w:t>
      </w:r>
    </w:p>
    <w:p>
      <w:pPr>
        <w:spacing w:after="160" w:line="300"/>
        <w:jc w:val="both"/>
      </w:pPr>
      <w:r>
        <w:rPr>
          <w:rFonts w:ascii="Garamond" w:cs="Garamond" w:eastAsia="Garamond" w:hAnsi="Garamond"/>
          <w:sz w:val="24"/>
          <w:szCs w:val="24"/>
        </w:rPr>
        <w:t xml:space="preserve">La Ley N.º 27.743, en el marco del paquete de reforma tributaria de 2024, introdujo modificaciones estructurales de relevancia al régimen del Impuesto sobre los Bienes Personales aplicables desde el período fiscal 2023, entre las que se destaca, para los fines de esta obra, la eliminación de la alícuota agravada que anteriormente se aplicaba a los bienes situados en el exterior —cuestión de particular relevancia práctica para las tenencias de Bitcoin, dada la naturaleza no territorial de este activo, que se desarrollará en la sección 28.6 de este capítulo—, unificándose la escala progresiva aplicable al total de los bienes gravados del contribuyente, con independencia de su situación geográfica.</w:t>
      </w:r>
    </w:p>
    <w:p>
      <w:pPr>
        <w:spacing w:after="160" w:line="300"/>
        <w:jc w:val="both"/>
      </w:pPr>
      <w:r>
        <w:rPr>
          <w:rFonts w:ascii="Garamond" w:cs="Garamond" w:eastAsia="Garamond" w:hAnsi="Garamond"/>
          <w:sz w:val="24"/>
          <w:szCs w:val="24"/>
        </w:rPr>
        <w:t xml:space="preserve">El mínimo no imponible y los tramos de la escala progresiva se actualizan anualmente por el coeficiente de variación del Índice de Precios al Consumidor, conforme al mecanismo previsto por la Ley N.º 27.667, ascendiendo el mínimo no imponible aplicable al período fiscal 2025 a la suma de $384.728.044,57, por debajo de la cual no corresponde la determinación de impuesto a ingresar, aunque pueda subsistir, según el caso, la obligación de presentación de la declaración jurada informativa. La propia reforma de 2024 estableció, adicionalmente, una reducción gradual de la alícuota máxima de la escala general hasta alcanzar el 0,25% en el período fiscal 2027, y un beneficio de reducción adicional de alícuota para los contribuyentes que hubieran cumplido regularmente con sus obligaciones bajo este impuesto en los períodos fiscales inmediatamente anteriores, categoría conocida en la práctica profesional como «contribuyentes cumplidores».</w:t>
      </w:r>
    </w:p>
    <w:p>
      <w:pPr>
        <w:pStyle w:val="Heading2"/>
        <w:spacing w:after="180" w:before="360"/>
      </w:pPr>
      <w:r>
        <w:rPr>
          <w:rFonts w:ascii="Garamond" w:cs="Garamond" w:eastAsia="Garamond" w:hAnsi="Garamond"/>
          <w:b/>
          <w:bCs/>
          <w:color w:val="10233F"/>
          <w:sz w:val="28"/>
          <w:szCs w:val="28"/>
        </w:rPr>
        <w:t xml:space="preserve">28.5. El Régimen Especial de Ingreso (REIBP): una mención necesaria</w:t>
      </w:r>
    </w:p>
    <w:p>
      <w:pPr>
        <w:spacing w:after="160" w:line="300"/>
        <w:jc w:val="both"/>
      </w:pPr>
      <w:r>
        <w:rPr>
          <w:rFonts w:ascii="Garamond" w:cs="Garamond" w:eastAsia="Garamond" w:hAnsi="Garamond"/>
          <w:sz w:val="24"/>
          <w:szCs w:val="24"/>
        </w:rPr>
        <w:t xml:space="preserve">La misma reforma de 2024 introdujo el Régimen Especial de Ingreso del Impuesto sobre los Bienes Personales (REIBP), un mecanismo optativo que permitió a los contribuyentes adelantar el pago consolidado del impuesto correspondiente a los períodos fiscales 2023 a 2027 mediante una tasa fija reducida, a cambio de determinados beneficios de estabilidad fiscal específicamente delineados por la norma. Si bien el desarrollo pormenorizado de este régimen excede el objeto específico de esta obra, corresponde señalar que su evaluación, para un contribuyente con tenencias significativas de Bitcoin y con expectativas de apreciación sostenida de su valor en los períodos comprendidos por el régimen, pudo constituir, según las circunstancias particulares de cada caso, una alternativa de planificación fiscal razonable, cuya conveniencia concreta exige, en cada caso, un análisis financiero comparativo específico que excede el alcance de este capítulo.</w:t>
      </w:r>
    </w:p>
    <w:p>
      <w:pPr>
        <w:pStyle w:val="Heading2"/>
        <w:spacing w:after="180" w:before="360"/>
      </w:pPr>
      <w:r>
        <w:rPr>
          <w:rFonts w:ascii="Garamond" w:cs="Garamond" w:eastAsia="Garamond" w:hAnsi="Garamond"/>
          <w:b/>
          <w:bCs/>
          <w:color w:val="10233F"/>
          <w:sz w:val="28"/>
          <w:szCs w:val="28"/>
        </w:rPr>
        <w:t xml:space="preserve">28.6. La cuestión del situs: ¿dónde está situado un bitcoin?</w:t>
      </w:r>
    </w:p>
    <w:p>
      <w:pPr>
        <w:spacing w:after="160" w:line="300"/>
        <w:jc w:val="both"/>
      </w:pPr>
      <w:r>
        <w:rPr>
          <w:rFonts w:ascii="Garamond" w:cs="Garamond" w:eastAsia="Garamond" w:hAnsi="Garamond"/>
          <w:sz w:val="24"/>
          <w:szCs w:val="24"/>
        </w:rPr>
        <w:t xml:space="preserve">La unificación de la escala progresiva desarrollada en la sección 28.4 de este capítulo redujo sustancialmente, aunque no eliminó por completo, la relevancia práctica de una cuestión doctrinaria de particular interés conceptual para esta obra: ¿dónde se considera situado, a los fines fiscales, un activo que, por su propia naturaleza tecnológica desarrollada extensamente en la Parte I de esta obra, carece de ubicación física alguna y existe únicamente como un registro en una red pública, distribuida y no permisionada sin sede geográfica determinable?</w:t>
      </w:r>
    </w:p>
    <w:p>
      <w:pPr>
        <w:spacing w:after="160" w:line="300"/>
        <w:jc w:val="both"/>
      </w:pPr>
      <w:r>
        <w:rPr>
          <w:rFonts w:ascii="Garamond" w:cs="Garamond" w:eastAsia="Garamond" w:hAnsi="Garamond"/>
          <w:sz w:val="24"/>
          <w:szCs w:val="24"/>
        </w:rPr>
        <w:t xml:space="preserve">La doctrina tributaria que ha abordado esta cuestión —de relevancia que subsiste, más allá de la unificación de alícuotas, para la determinación de la condición de responsable sustituto aplicable a ciertos titulares no residentes, y para otras normas del propio impuesto que continúan distinguiendo, a fines distintos del cálculo de la alícuota, entre bienes situados en el país y en el exterior— tiende a resolver la cuestión por remisión a criterios sustitutivos, tales como la residencia fiscal del titular de la clave privada correspondiente, en los términos desarrollados en el Capítulo 7 de esta obra, o la jurisdicción de radicación del exchange o custodio profesional cuando la tenencia no es de autocustodia, en los términos de la distinción desarrollada en el Capítulo 6. Esta obra no encuentra, en el estado actual de la doctrina y de la normativa vigente, una respuesta unívoca y pacífica a esta cuestión, y recomienda al profesional que la enfrente en la práctica documentar con particular cuidado el criterio adoptado y sus fundamentos, en resguardo de la posición fiscal de su cliente.</w:t>
      </w:r>
    </w:p>
    <w:p>
      <w:pPr>
        <w:pStyle w:val="Heading2"/>
        <w:spacing w:after="180" w:before="360"/>
      </w:pPr>
      <w:r>
        <w:rPr>
          <w:rFonts w:ascii="Garamond" w:cs="Garamond" w:eastAsia="Garamond" w:hAnsi="Garamond"/>
          <w:b/>
          <w:bCs/>
          <w:color w:val="10233F"/>
          <w:sz w:val="28"/>
          <w:szCs w:val="28"/>
        </w:rPr>
        <w:t xml:space="preserve">28.7. Síntesis del capítulo</w:t>
      </w:r>
    </w:p>
    <w:p>
      <w:pPr>
        <w:spacing w:after="160" w:line="300"/>
        <w:jc w:val="both"/>
      </w:pPr>
      <w:r>
        <w:rPr>
          <w:rFonts w:ascii="Garamond" w:cs="Garamond" w:eastAsia="Garamond" w:hAnsi="Garamond"/>
          <w:sz w:val="24"/>
          <w:szCs w:val="24"/>
        </w:rPr>
        <w:t xml:space="preserve">Este capítulo desarrolló el tratamiento de Bitcoin bajo el Impuesto sobre los Bienes Personales, identificando como cuestión central la calificación de Bitcoin como activo financiero conforme al Dictamen 2/2022 (DI ALIR), que descarta la exención de bienes inmateriales del artículo 21 de la Ley 23.966, y que diverge, en su calificación técnica, de la exclusión de Bitcoin como instrumento financiero bajo NIC 32 desarrollada en el Capítulo 21 de esta obra —divergencia que no configura contradicción normativa, pero que exige distinguir con precisión los marcos regulatorios autónomos en juego—. Se desarrolló, asimismo, el criterio dual de valuación (cotización de mercado o costo ajustado), la reforma estructural introducida por la Ley 27.743 con la unificación de la escala progresiva y la eliminación de la alícuota agravada para bienes en el exterior, y la cuestión doctrinaria abierta sobre el situs de un activo carente de ubicación física. El Capítulo 29 continúa el desarrollo tributario de esta Parte V abordando el Impuesto sobre los Ingresos Brutos en el ámbito provincial.</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28</w:t>
      </w:r>
    </w:p>
    <w:p>
      <w:pPr>
        <w:spacing w:after="160"/>
        <w:ind w:left="480" w:hanging="480"/>
        <w:jc w:val="both"/>
      </w:pPr>
      <w:r>
        <w:rPr>
          <w:rFonts w:ascii="Garamond" w:cs="Garamond" w:eastAsia="Garamond" w:hAnsi="Garamond"/>
          <w:sz w:val="22"/>
          <w:szCs w:val="22"/>
        </w:rPr>
        <w:t xml:space="preserve">Administración de Ingresos Públicos / ARCA. (2022). Dictamen N.º 2/2022 (DI ALIR).</w:t>
      </w:r>
    </w:p>
    <w:p>
      <w:pPr>
        <w:spacing w:after="160"/>
        <w:ind w:left="480" w:hanging="480"/>
        <w:jc w:val="both"/>
      </w:pPr>
      <w:r>
        <w:rPr>
          <w:rFonts w:ascii="Garamond" w:cs="Garamond" w:eastAsia="Garamond" w:hAnsi="Garamond"/>
          <w:sz w:val="22"/>
          <w:szCs w:val="22"/>
        </w:rPr>
        <w:t xml:space="preserve">Congreso de la Nación Argentina. (2022). Ley N.º 27.667: Actualización de valores del Impuesto sobre los Bienes Personales.</w:t>
      </w:r>
    </w:p>
    <w:p>
      <w:pPr>
        <w:spacing w:after="160"/>
        <w:ind w:left="480" w:hanging="480"/>
        <w:jc w:val="both"/>
      </w:pPr>
      <w:r>
        <w:rPr>
          <w:rFonts w:ascii="Garamond" w:cs="Garamond" w:eastAsia="Garamond" w:hAnsi="Garamond"/>
          <w:sz w:val="22"/>
          <w:szCs w:val="22"/>
        </w:rPr>
        <w:t xml:space="preserve">Congreso de la Nación Argentina. (2024). Ley N.º 27.743: Medidas fiscales paliativas y relevantes. Reforma del Impuesto sobre los Bienes Personales y Régimen Especial de Ingreso (REIBP).</w:t>
      </w:r>
    </w:p>
    <w:p>
      <w:pPr>
        <w:spacing w:after="160"/>
        <w:ind w:left="480" w:hanging="480"/>
        <w:jc w:val="both"/>
      </w:pPr>
      <w:r>
        <w:rPr>
          <w:rFonts w:ascii="Garamond" w:cs="Garamond" w:eastAsia="Garamond" w:hAnsi="Garamond"/>
          <w:sz w:val="22"/>
          <w:szCs w:val="22"/>
        </w:rPr>
        <w:t xml:space="preserve">Ley de Impuesto sobre los Bienes Personales (Ley N.º 23.966, Título VI, t.o. y modificatorias), artículos 19 y 21.</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29</w:t>
      </w:r>
    </w:p>
    <w:p>
      <w:pPr>
        <w:spacing w:after="400"/>
      </w:pPr>
      <w:r>
        <w:rPr>
          <w:rFonts w:ascii="Garamond" w:cs="Garamond" w:eastAsia="Garamond" w:hAnsi="Garamond"/>
          <w:b/>
          <w:bCs/>
          <w:color w:val="9C7A2E"/>
          <w:sz w:val="40"/>
          <w:szCs w:val="40"/>
        </w:rPr>
        <w:t xml:space="preserve">Ingresos Brutos</w:t>
      </w:r>
    </w:p>
    <w:p>
      <w:pPr>
        <w:pStyle w:val="Heading2"/>
        <w:spacing w:after="180" w:before="360"/>
      </w:pPr>
      <w:r>
        <w:rPr>
          <w:rFonts w:ascii="Garamond" w:cs="Garamond" w:eastAsia="Garamond" w:hAnsi="Garamond"/>
          <w:b/>
          <w:bCs/>
          <w:color w:val="10233F"/>
          <w:sz w:val="28"/>
          <w:szCs w:val="28"/>
        </w:rPr>
        <w:t xml:space="preserve">29.1. Introducción: la dimensión provincial y su heterogeneidad</w:t>
      </w:r>
    </w:p>
    <w:p>
      <w:pPr>
        <w:spacing w:after="160" w:line="300"/>
        <w:jc w:val="both"/>
      </w:pPr>
      <w:r>
        <w:rPr>
          <w:rFonts w:ascii="Garamond" w:cs="Garamond" w:eastAsia="Garamond" w:hAnsi="Garamond"/>
          <w:sz w:val="24"/>
          <w:szCs w:val="24"/>
        </w:rPr>
        <w:t xml:space="preserve">Los capítulos precedentes de esta Parte V desarrollaron tributos de carácter nacional —el Impuesto a las Ganancias, el Impuesto al Valor Agregado y el Impuesto sobre los Bienes Personales—, de aplicación uniforme en la totalidad del territorio argentino. Este capítulo aborda el Impuesto sobre los Ingresos Brutos, tributo de naturaleza provincial cuya potestad de creación, regulación y recaudación corresponde, en ejercicio de facultades tributarias no delegadas al gobierno federal conforme a los artículos 121 y 126 de la Constitución Nacional, a cada una de las veinticuatro jurisdicciones subnacionales argentinas —las veintitrés provincias y la Ciudad Autónoma de Buenos Aires—, lo cual determina, a diferencia de los tributos desarrollados en los capítulos precedentes, una heterogeneidad normativa considerable que exige al profesional un análisis específico jurisdicción por jurisdicción.</w:t>
      </w:r>
    </w:p>
    <w:p>
      <w:pPr>
        <w:pStyle w:val="Heading2"/>
        <w:spacing w:after="180" w:before="360"/>
      </w:pPr>
      <w:r>
        <w:rPr>
          <w:rFonts w:ascii="Garamond" w:cs="Garamond" w:eastAsia="Garamond" w:hAnsi="Garamond"/>
          <w:b/>
          <w:bCs/>
          <w:color w:val="10233F"/>
          <w:sz w:val="28"/>
          <w:szCs w:val="28"/>
        </w:rPr>
        <w:t xml:space="preserve">29.2. Córdoba: la provincia pionera</w:t>
      </w:r>
    </w:p>
    <w:p>
      <w:pPr>
        <w:spacing w:after="160" w:line="300"/>
        <w:jc w:val="both"/>
      </w:pPr>
      <w:r>
        <w:rPr>
          <w:rFonts w:ascii="Garamond" w:cs="Garamond" w:eastAsia="Garamond" w:hAnsi="Garamond"/>
          <w:sz w:val="24"/>
          <w:szCs w:val="24"/>
        </w:rPr>
        <w:t xml:space="preserve">La Provincia de Córdoba fue, desde el período fiscal 2021, la primera jurisdicción argentina en incorporar de manera expresa a las monedas digitales dentro del objeto del Impuesto sobre los Ingresos Brutos, mediante la incorporación al Código Tributario Provincial de una definición específica —el artículo 113 bis, que equipara a los fines del impuesto los términos «moneda virtual», «criptomonedas», «criptoactivos», «tokens» y «stablecoins», entre otros, bajo el concepto genérico de «monedas digitales»— y de dos hechos imponibles diferenciados que esta obra reconstruye a continuación, dada su condición de precedente normativo de referencia obligada para la generalidad de las restantes jurisdicciones.</w:t>
      </w:r>
    </w:p>
    <w:p>
      <w:pPr>
        <w:spacing w:after="160" w:line="300"/>
        <w:jc w:val="both"/>
      </w:pPr>
      <w:r>
        <w:rPr>
          <w:rFonts w:ascii="Garamond" w:cs="Garamond" w:eastAsia="Garamond" w:hAnsi="Garamond"/>
          <w:sz w:val="24"/>
          <w:szCs w:val="24"/>
        </w:rPr>
        <w:t xml:space="preserve">El primero de esos hechos imponibles —regulado en el punto 12 del artículo 197 del Código Tributario cordobés— alcanza a los servicios destinados a facilitar la gestión o el intercambio de monedas digitales por moneda de curso legal, por otras criptomonedas o por cualquier tipo de bienes, a través de plataformas o aplicaciones digitales, categoría que comprende de manera inequívoca a los exchanges y demás Proveedores de Servicios de Activos Virtuales desarrollados en el Capítulo 10 de esta obra, sujeta a una alícuota general del 4,75%, con una alícuota reducida del 4% aplicable bajo determinadas condiciones. El segundo hecho imponible —regulado en el punto 13, inciso b) del artículo 197— alcanza directamente a la compra y venta de monedas digitales, con una alícuota general sensiblemente más elevada, del 6,5%, también con una alícuota reducida del 4%. Adicionalmente, la normativa cordobesa prevé una alícuota especial reducida del 0,25% para los ingresos percibidos por la venta de monedas digitales recibidas en carácter de pago por la venta de un bien o la prestación de un servicio, supuesto que remite directamente al desarrollo realizado en la sección 24.5 de esta obra al tratar la recepción de Bitcoin como medio de pago.</w:t>
      </w:r>
    </w:p>
    <w:p>
      <w:pPr>
        <w:spacing w:after="160" w:line="300"/>
        <w:jc w:val="both"/>
      </w:pPr>
      <w:r>
        <w:rPr>
          <w:rFonts w:ascii="Garamond" w:cs="Garamond" w:eastAsia="Garamond" w:hAnsi="Garamond"/>
          <w:sz w:val="24"/>
          <w:szCs w:val="24"/>
        </w:rPr>
        <w:t xml:space="preserve">Esta obra considera pertinente señalar, con el mismo rigor crítico que ha caracterizado su desarrollo normativo, una objeción doctrinaria de peso que un sector calificado de la doctrina tributaria cordobesa ha formulado respecto del segundo hecho imponible descrito: la calificación de la simple compra y venta de monedas digitales realizada a título propio y sin habitualidad como una actividad gravada por el Impuesto sobre los Ingresos Brutos resulta conceptualmente cuestionable, en la medida en que el hecho imponible de este tributo exige, conforme al criterio general que rige su aplicación en la generalidad de los códigos fiscales provinciales, el ejercicio habitual y a título oneroso de una actividad con sustento territorial en la jurisdicción, elemento de habitualidad que no necesariamente concurre en la enajenación ocasional de una tenencia de Bitcoin por parte de un particular que no ejerce esa actividad de manera profesional o recurrente, distinción que la propia norma cordobesa no formula con la precisión técnica que sería deseable.</w:t>
      </w:r>
    </w:p>
    <w:p>
      <w:pPr>
        <w:pStyle w:val="Heading2"/>
        <w:spacing w:after="180" w:before="360"/>
      </w:pPr>
      <w:r>
        <w:rPr>
          <w:rFonts w:ascii="Garamond" w:cs="Garamond" w:eastAsia="Garamond" w:hAnsi="Garamond"/>
          <w:b/>
          <w:bCs/>
          <w:color w:val="10233F"/>
          <w:sz w:val="28"/>
          <w:szCs w:val="28"/>
        </w:rPr>
        <w:t xml:space="preserve">29.3. La Ciudad Autónoma de Buenos Aires: la reforma de 2026</w:t>
      </w:r>
    </w:p>
    <w:p>
      <w:pPr>
        <w:spacing w:after="160" w:line="300"/>
        <w:jc w:val="both"/>
      </w:pPr>
      <w:r>
        <w:rPr>
          <w:rFonts w:ascii="Garamond" w:cs="Garamond" w:eastAsia="Garamond" w:hAnsi="Garamond"/>
          <w:sz w:val="24"/>
          <w:szCs w:val="24"/>
        </w:rPr>
        <w:t xml:space="preserve">La Ciudad Autónoma de Buenos Aires incorporó, mediante la Ley N.º 6.926 y su reglamentación por parte de la Administración Gubernamental de Ingresos Públicos (AGIP), un régimen específico para la compraventa de criptomonedas dentro del artículo 231 de su Código Fiscal, aplicable desde el período fiscal 2026, que establece, a diferencia del criterio cordobés desarrollado en la sección precedente, una base imponible especial determinada por la diferencia entre el precio de compra y el precio de venta de la criptomoneda —esto es, el margen o spread de la operación, y no su monto bruto—, incluyendo dentro del precio de compra el costo de adquisición más las comisiones facturadas por intermediarios, y deduciendo del precio de venta las comisiones pagadas al intermediario en esa operación.</w:t>
      </w:r>
    </w:p>
    <w:p>
      <w:pPr>
        <w:spacing w:after="160" w:line="300"/>
        <w:jc w:val="both"/>
      </w:pPr>
      <w:r>
        <w:rPr>
          <w:rFonts w:ascii="Garamond" w:cs="Garamond" w:eastAsia="Garamond" w:hAnsi="Garamond"/>
          <w:sz w:val="24"/>
          <w:szCs w:val="24"/>
        </w:rPr>
        <w:t xml:space="preserve">Este criterio de base imponible sobre el margen neto, que la propia Ciudad de Buenos Aires equiparó expresamente, en los fundamentos de la reforma, al tratamiento históricamente dispensado a la compraventa de oro y de divisas extranjeras, constituye, en opinión de esta obra, una solución técnica más depurada que la adoptada originalmente por la Provincia de Córdoba, en la medida en que evita gravar el monto bruto transaccionado —que, dada la elevada rotación característica de las operaciones con Bitcoin desarrollada extensamente en esta obra, podría generar una carga fiscal efectiva desproporcionada respecto de la ganancia económica real de la operación— y se ciñe, en cambio, al resultado económico neto generado, en un criterio de mayor coherencia con la capacidad contributiva que debe informar todo tributo.</w:t>
      </w:r>
    </w:p>
    <w:p>
      <w:pPr>
        <w:pStyle w:val="Heading2"/>
        <w:spacing w:after="180" w:before="360"/>
      </w:pPr>
      <w:r>
        <w:rPr>
          <w:rFonts w:ascii="Garamond" w:cs="Garamond" w:eastAsia="Garamond" w:hAnsi="Garamond"/>
          <w:b/>
          <w:bCs/>
          <w:color w:val="10233F"/>
          <w:sz w:val="28"/>
          <w:szCs w:val="28"/>
        </w:rPr>
        <w:t xml:space="preserve">29.4. La minería frente a Ingresos Brutos: el caso de la Provincia de Buenos Aires</w:t>
      </w:r>
    </w:p>
    <w:p>
      <w:pPr>
        <w:spacing w:after="160" w:line="300"/>
        <w:jc w:val="both"/>
      </w:pPr>
      <w:r>
        <w:rPr>
          <w:rFonts w:ascii="Garamond" w:cs="Garamond" w:eastAsia="Garamond" w:hAnsi="Garamond"/>
          <w:sz w:val="24"/>
          <w:szCs w:val="24"/>
        </w:rPr>
        <w:t xml:space="preserve">La Provincia de Buenos Aires, mediante su Ley Impositiva y el código de actividad específico 631111 de su nomenclador, sujeta a la actividad de minería de criptoactivos desarrollada en el Capítulo 4 de esta obra a una alícuota del 4% del Impuesto sobre los Ingresos Brutos, en un tratamiento diferenciado del dispensado a la mera compraventa, y consistente con la calificación de la minería como actividad productiva con sustento territorial identificable —la localización física de la infraestructura de minería desarrollada en el Capítulo 4—, a diferencia de la dificultad de determinación del sustento territorial que puede presentar la compraventa de Bitcoin realizada por medios exclusivamente digitales, cuestión que se retoma en la sección siguiente.</w:t>
      </w:r>
    </w:p>
    <w:p>
      <w:pPr>
        <w:pStyle w:val="Heading2"/>
        <w:spacing w:after="180" w:before="360"/>
      </w:pPr>
      <w:r>
        <w:rPr>
          <w:rFonts w:ascii="Garamond" w:cs="Garamond" w:eastAsia="Garamond" w:hAnsi="Garamond"/>
          <w:b/>
          <w:bCs/>
          <w:color w:val="10233F"/>
          <w:sz w:val="28"/>
          <w:szCs w:val="28"/>
        </w:rPr>
        <w:t xml:space="preserve">29.5. El problema del sustento territorial y el Convenio Multilateral</w:t>
      </w:r>
    </w:p>
    <w:p>
      <w:pPr>
        <w:spacing w:after="160" w:line="300"/>
        <w:jc w:val="both"/>
      </w:pPr>
      <w:r>
        <w:rPr>
          <w:rFonts w:ascii="Garamond" w:cs="Garamond" w:eastAsia="Garamond" w:hAnsi="Garamond"/>
          <w:sz w:val="24"/>
          <w:szCs w:val="24"/>
        </w:rPr>
        <w:t xml:space="preserve">La naturaleza no territorial de las transacciones en Bitcoin, desarrollada extensamente en la Parte I de esta obra, plantea una dificultad conceptual específica para la aplicación del Impuesto sobre los Ingresos Brutos, tributo cuyo hecho imponible exige, con carácter general, la existencia de un sustento territorial identificable en la jurisdicción que pretende gravar la actividad. Para los contribuyentes —típicamente, comercializadores o traders desarrollados en el Capítulo 15 de esta obra— que desarrollan su actividad de compraventa de Bitcoin en más de una jurisdicción provincial, o cuya actividad, aun desarrollada formalmente desde una única jurisdicción, genera ingresos atribuibles según los criterios generales a la sustancia económica de operaciones con clientes o contrapartes ubicados en múltiples provincias, resulta aplicable el régimen del Convenio Multilateral, que distribuye la base imponible del impuesto entre las distintas jurisdicciones involucradas conforme a los coeficientes de ingresos y de gastos que ese régimen establece con carácter general.</w:t>
      </w:r>
    </w:p>
    <w:p>
      <w:pPr>
        <w:spacing w:after="160" w:line="300"/>
        <w:jc w:val="both"/>
      </w:pPr>
      <w:r>
        <w:rPr>
          <w:rFonts w:ascii="Garamond" w:cs="Garamond" w:eastAsia="Garamond" w:hAnsi="Garamond"/>
          <w:sz w:val="24"/>
          <w:szCs w:val="24"/>
        </w:rPr>
        <w:t xml:space="preserve">La aplicación de los criterios de atribución territorial del Convenio Multilateral a una actividad que, por su naturaleza digital y global desarrollada extensamente en esta obra, carece con frecuencia de una localización geográfica unívoca de sus operaciones, constituye una cuestión de creciente relevancia práctica y de doctrina todavía en formación, que esta obra no puede resolver de manera definitiva en el estado actual de la normativa y de la jurisprudencia administrativa de la Comisión Arbitral del Convenio Multilateral, y que recomienda al profesional un seguimiento atento de los pronunciamientos específicos que ese organismo pudiera emitir en el futuro respecto de la actividad de comercialización de criptoactivos.</w:t>
      </w:r>
    </w:p>
    <w:p>
      <w:pPr>
        <w:pStyle w:val="Heading2"/>
        <w:spacing w:after="180" w:before="360"/>
      </w:pPr>
      <w:r>
        <w:rPr>
          <w:rFonts w:ascii="Garamond" w:cs="Garamond" w:eastAsia="Garamond" w:hAnsi="Garamond"/>
          <w:b/>
          <w:bCs/>
          <w:color w:val="10233F"/>
          <w:sz w:val="28"/>
          <w:szCs w:val="28"/>
        </w:rPr>
        <w:t xml:space="preserve">29.6. Estado de la cuestión en el resto de las jurisdicciones</w:t>
      </w:r>
    </w:p>
    <w:p>
      <w:pPr>
        <w:spacing w:after="160" w:line="300"/>
        <w:jc w:val="both"/>
      </w:pPr>
      <w:r>
        <w:rPr>
          <w:rFonts w:ascii="Garamond" w:cs="Garamond" w:eastAsia="Garamond" w:hAnsi="Garamond"/>
          <w:sz w:val="24"/>
          <w:szCs w:val="24"/>
        </w:rPr>
        <w:t xml:space="preserve">A la fecha de esta edición, y más allá de los desarrollos específicos de Córdoba, la Ciudad de Buenos Aires y la Provincia de Buenos Aires desarrollados en las secciones precedentes, un número creciente pero todavía minoritario de jurisdicciones provinciales —entre las que se cuentan, según relevamientos de la práctica profesional, Catamarca, Neuquén, La Pampa, Entre Ríos, La Rioja, Tierra del Fuego y Tucumán— ha incorporado, con alcance y precisión técnica variables, tratamientos específicos para las operaciones con criptoactivos bajo sus respectivos códigos fiscales locales, mientras que la generalidad de las restantes jurisdicciones no ha regulado la cuestión de manera expresa, lo cual no descarta, en el estado general de la técnica legislativa de los códigos fiscales provinciales, la eventual aplicación de las cláusulas generales y residuales que habitualmente alcanzan a toda actividad habitual y a título oneroso no exenta ni excluida expresamente. Esta heterogeneidad normativa —que contrasta con la relativa uniformidad de los tributos nacionales desarrollados en los capítulos precedentes de esta Parte V— exige al profesional contable el relevamiento específico y actualizado del código fiscal de cada jurisdicción en la que su cliente desarrolle actividad, como paso ineludible de cualquier trabajo de asesoramiento tributario integral en materia de Bitcoin.</w:t>
      </w:r>
    </w:p>
    <w:p>
      <w:pPr>
        <w:pStyle w:val="Heading2"/>
        <w:spacing w:after="180" w:before="360"/>
      </w:pPr>
      <w:r>
        <w:rPr>
          <w:rFonts w:ascii="Garamond" w:cs="Garamond" w:eastAsia="Garamond" w:hAnsi="Garamond"/>
          <w:b/>
          <w:bCs/>
          <w:color w:val="10233F"/>
          <w:sz w:val="28"/>
          <w:szCs w:val="28"/>
        </w:rPr>
        <w:t xml:space="preserve">29.7. Síntesis del capítulo y cierre de la Parte V (nacional-provincial)</w:t>
      </w:r>
    </w:p>
    <w:p>
      <w:pPr>
        <w:spacing w:after="160" w:line="300"/>
        <w:jc w:val="both"/>
      </w:pPr>
      <w:r>
        <w:rPr>
          <w:rFonts w:ascii="Garamond" w:cs="Garamond" w:eastAsia="Garamond" w:hAnsi="Garamond"/>
          <w:sz w:val="24"/>
          <w:szCs w:val="24"/>
        </w:rPr>
        <w:t xml:space="preserve">Este capítulo desarrolló el tratamiento de Bitcoin bajo el Impuesto sobre los Ingresos Brutos, tributo de naturaleza provincial y de aplicación heterogénea entre jurisdicciones. Se desarrolló en detalle el régimen pionero de la Provincia de Córdoba, con sus dos hechos imponibles diferenciados y la objeción doctrinaria formulada respecto de la exigencia de habitualidad; el régimen de base imponible sobre el margen neto adoptado por la Ciudad de Buenos Aires desde 2026, de mayor depuración técnica; el tratamiento específico de la minería en la Provincia de Buenos Aires; y la dificultad conceptual que la naturaleza no territorial de Bitcoin plantea para la aplicación de los criterios de sustento territorial y del régimen del Convenio Multilateral. El Capítulo 30 cierra la Parte V de esta obra abordando, desde una perspectiva comparada, la tributación internacional de Bitcoin en las principales jurisdicciones de referencia.</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29</w:t>
      </w:r>
    </w:p>
    <w:p>
      <w:pPr>
        <w:spacing w:after="160"/>
        <w:ind w:left="480" w:hanging="480"/>
        <w:jc w:val="both"/>
      </w:pPr>
      <w:r>
        <w:rPr>
          <w:rFonts w:ascii="Garamond" w:cs="Garamond" w:eastAsia="Garamond" w:hAnsi="Garamond"/>
          <w:sz w:val="22"/>
          <w:szCs w:val="22"/>
        </w:rPr>
        <w:t xml:space="preserve">Administración Gubernamental de Ingresos Públicos (AGIP), Ciudad Autónoma de Buenos Aires. (2026). Reglamentación de la base imponible en el Impuesto sobre los Ingresos Brutos para operaciones con criptomonedas (art. 231, Código Fiscal, conforme Ley N.º 6.926).</w:t>
      </w:r>
    </w:p>
    <w:p>
      <w:pPr>
        <w:spacing w:after="160"/>
        <w:ind w:left="480" w:hanging="480"/>
        <w:jc w:val="both"/>
      </w:pPr>
      <w:r>
        <w:rPr>
          <w:rFonts w:ascii="Garamond" w:cs="Garamond" w:eastAsia="Garamond" w:hAnsi="Garamond"/>
          <w:sz w:val="22"/>
          <w:szCs w:val="22"/>
        </w:rPr>
        <w:t xml:space="preserve">Legislatura de la Ciudad Autónoma de Buenos Aires. (2025). Ley N.º 6.926.</w:t>
      </w:r>
    </w:p>
    <w:p>
      <w:pPr>
        <w:spacing w:after="160"/>
        <w:ind w:left="480" w:hanging="480"/>
        <w:jc w:val="both"/>
      </w:pPr>
      <w:r>
        <w:rPr>
          <w:rFonts w:ascii="Garamond" w:cs="Garamond" w:eastAsia="Garamond" w:hAnsi="Garamond"/>
          <w:sz w:val="22"/>
          <w:szCs w:val="22"/>
        </w:rPr>
        <w:t xml:space="preserve">Legislatura de la Provincia de Buenos Aires. (2024). Ley N.º 15.391 (Ley Impositiva).</w:t>
      </w:r>
    </w:p>
    <w:p>
      <w:pPr>
        <w:spacing w:after="160"/>
        <w:ind w:left="480" w:hanging="480"/>
        <w:jc w:val="both"/>
      </w:pPr>
      <w:r>
        <w:rPr>
          <w:rFonts w:ascii="Garamond" w:cs="Garamond" w:eastAsia="Garamond" w:hAnsi="Garamond"/>
          <w:sz w:val="22"/>
          <w:szCs w:val="22"/>
        </w:rPr>
        <w:t xml:space="preserve">Poder Legislativo de la Provincia de Córdoba. (2021). Código Tributario Provincial, artículos 113 bis y 197 (según Ley Impositiva Anual).</w:t>
      </w:r>
    </w:p>
    <w:p>
      <w:pPr>
        <w:spacing w:after="160"/>
        <w:ind w:left="480" w:hanging="480"/>
        <w:jc w:val="both"/>
      </w:pPr>
      <w:r>
        <w:rPr>
          <w:rFonts w:ascii="Garamond" w:cs="Garamond" w:eastAsia="Garamond" w:hAnsi="Garamond"/>
          <w:sz w:val="22"/>
          <w:szCs w:val="22"/>
        </w:rPr>
        <w:t xml:space="preserve">Zocaro, M. (2021). Criptomonedas y el Impuesto sobre los Ingresos Brutos en la Provincia de Córdoba. Centro de Estudios en Administración Tributaria (CEAT), Universidad de Buenos Aires.</w:t>
      </w:r>
    </w:p>
    <w:p>
      <w:r>
        <w:br w:type="page"/>
      </w:r>
    </w:p>
    <w:p>
      <w:pPr>
        <w:pStyle w:val="Heading1"/>
        <w:pBdr>
          <w:bottom w:val="single" w:color="9C7A2E" w:sz="8" w:space="6"/>
        </w:pBdr>
        <w:spacing w:after="240" w:before="480"/>
      </w:pPr>
      <w:r>
        <w:rPr>
          <w:rFonts w:ascii="Garamond" w:cs="Garamond" w:eastAsia="Garamond" w:hAnsi="Garamond"/>
          <w:b/>
          <w:bCs/>
          <w:color w:val="10233F"/>
          <w:sz w:val="34"/>
          <w:szCs w:val="34"/>
        </w:rPr>
        <w:t xml:space="preserve">Capítulo 30</w:t>
      </w:r>
    </w:p>
    <w:p>
      <w:pPr>
        <w:spacing w:after="400"/>
      </w:pPr>
      <w:r>
        <w:rPr>
          <w:rFonts w:ascii="Garamond" w:cs="Garamond" w:eastAsia="Garamond" w:hAnsi="Garamond"/>
          <w:b/>
          <w:bCs/>
          <w:color w:val="9C7A2E"/>
          <w:sz w:val="40"/>
          <w:szCs w:val="40"/>
        </w:rPr>
        <w:t xml:space="preserve">Tributación internacional comparada</w:t>
      </w:r>
    </w:p>
    <w:p>
      <w:pPr>
        <w:pStyle w:val="Heading2"/>
        <w:spacing w:after="180" w:before="360"/>
      </w:pPr>
      <w:r>
        <w:rPr>
          <w:rFonts w:ascii="Garamond" w:cs="Garamond" w:eastAsia="Garamond" w:hAnsi="Garamond"/>
          <w:b/>
          <w:bCs/>
          <w:color w:val="10233F"/>
          <w:sz w:val="28"/>
          <w:szCs w:val="28"/>
        </w:rPr>
        <w:t xml:space="preserve">30.1. Introducción: por qué la comparación internacional importa</w:t>
      </w:r>
    </w:p>
    <w:p>
      <w:pPr>
        <w:spacing w:after="160" w:line="300"/>
        <w:jc w:val="both"/>
      </w:pPr>
      <w:r>
        <w:rPr>
          <w:rFonts w:ascii="Garamond" w:cs="Garamond" w:eastAsia="Garamond" w:hAnsi="Garamond"/>
          <w:sz w:val="24"/>
          <w:szCs w:val="24"/>
        </w:rPr>
        <w:t xml:space="preserve">Los Capítulos 26 a 29 de esta obra desarrollaron, con el detalle normativo correspondiente, el régimen tributario argentino aplicable a Bitcoin. Este capítulo cierra la Parte V de la obra con una perspectiva comparada, que resulta indispensable por dos razones concretas. La primera es de índole profesional inmediata: la naturaleza no territorial de Bitcoin, desarrollada extensamente en la Parte I de esta obra, determina que un número creciente de contribuyentes argentinos opere a través de exchanges radicados en el exterior, o evalúe, en el marco de una planificación patrimonial legítima, el traslado de su residencia fiscal hacia jurisdicciones con regímenes más favorables, decisiones que exigen del profesional contable un conocimiento comparado mínimo de las principales alternativas disponibles. La segunda razón es de índole sistémica: el régimen de intercambio automático de información que se consolida a partir del Crypto-Asset Reporting Framework (CARF) de la OCDE, desarrollado en la sección 26.9 de esta obra, reduce progresivamente el margen de arbitraje regulatorio no transparente, sin eliminar, sin embargo, la legitimidad de la planificación fiscal internacional realizada dentro del marco de la ley.</w:t>
      </w:r>
    </w:p>
    <w:p>
      <w:pPr>
        <w:pStyle w:val="Heading2"/>
        <w:spacing w:after="180" w:before="360"/>
      </w:pPr>
      <w:r>
        <w:rPr>
          <w:rFonts w:ascii="Garamond" w:cs="Garamond" w:eastAsia="Garamond" w:hAnsi="Garamond"/>
          <w:b/>
          <w:bCs/>
          <w:color w:val="10233F"/>
          <w:sz w:val="28"/>
          <w:szCs w:val="28"/>
        </w:rPr>
        <w:t xml:space="preserve">30.2. Estados Unidos: propiedad, tramos de tenencia y el criptocanje gravado</w:t>
      </w:r>
    </w:p>
    <w:p>
      <w:pPr>
        <w:spacing w:after="160" w:line="300"/>
        <w:jc w:val="both"/>
      </w:pPr>
      <w:r>
        <w:rPr>
          <w:rFonts w:ascii="Garamond" w:cs="Garamond" w:eastAsia="Garamond" w:hAnsi="Garamond"/>
          <w:sz w:val="24"/>
          <w:szCs w:val="24"/>
        </w:rPr>
        <w:t xml:space="preserve">El Internal Revenue Service (IRS) estadounidense, ya mencionado en el Capítulo 8 de esta obra, calificó a Bitcoin como «propiedad» (property) mediante el Aviso 2014-21, sujeto en consecuencia al régimen general de ganancias y pérdidas de capital aplicable a la enajenación de bienes, con una distinción de tramos de tenencia de relevancia práctica considerable: las ganancias derivadas de la enajenación de Bitcoin mantenido por un plazo igual o inferior a doce meses (short-term) tributan a las alícuotas progresivas del impuesto a la renta ordinaria, sensiblemente más elevadas, mientras que las ganancias derivadas de tenencias superiores a ese plazo (long-term) tributan a alícuotas preferenciales reducidas, de entre el 0% y el 20% según el nivel de ingresos del contribuyente.</w:t>
      </w:r>
    </w:p>
    <w:p>
      <w:pPr>
        <w:spacing w:after="160" w:line="300"/>
        <w:jc w:val="both"/>
      </w:pPr>
      <w:r>
        <w:rPr>
          <w:rFonts w:ascii="Garamond" w:cs="Garamond" w:eastAsia="Garamond" w:hAnsi="Garamond"/>
          <w:sz w:val="24"/>
          <w:szCs w:val="24"/>
        </w:rPr>
        <w:t xml:space="preserve">A diferencia del criterio francés que se desarrollará en la sección 30.3 de este capítulo, el régimen estadounidense considera al intercambio directo de una criptomoneda por otra —por ejemplo, Bitcoin por Ethereum, sin conversión intermedia a dólares— como un evento de realización plenamente gravado, en la medida en que ese intercambio constituye, a los fines fiscales, una enajenación del bien entregado y una adquisición del bien recibido, criterio que exige al contribuyente un seguimiento pormenorizado de la totalidad de sus operaciones de canje entre criptoactivos, y no únicamente de sus conversiones a moneda fiduciaria.</w:t>
      </w:r>
    </w:p>
    <w:p>
      <w:pPr>
        <w:pStyle w:val="Heading2"/>
        <w:spacing w:after="180" w:before="360"/>
      </w:pPr>
      <w:r>
        <w:rPr>
          <w:rFonts w:ascii="Garamond" w:cs="Garamond" w:eastAsia="Garamond" w:hAnsi="Garamond"/>
          <w:b/>
          <w:bCs/>
          <w:color w:val="10233F"/>
          <w:sz w:val="28"/>
          <w:szCs w:val="28"/>
        </w:rPr>
        <w:t xml:space="preserve">30.3. Unión Europea: armonización regulatoria sin armonización tributaria</w:t>
      </w:r>
    </w:p>
    <w:p>
      <w:pPr>
        <w:spacing w:after="160" w:line="300"/>
        <w:jc w:val="both"/>
      </w:pPr>
      <w:r>
        <w:rPr>
          <w:rFonts w:ascii="Garamond" w:cs="Garamond" w:eastAsia="Garamond" w:hAnsi="Garamond"/>
          <w:sz w:val="24"/>
          <w:szCs w:val="24"/>
        </w:rPr>
        <w:t xml:space="preserve">Corresponde señalar, como precisión conceptual de particular relevancia, que el Reglamento MiCA desarrollado en el Capítulo 9 de esta obra armoniza el régimen regulatorio de los criptoactivos en el mercado único europeo, pero no armoniza, en absoluto, su tratamiento tributario, materia que permanece, dentro de la Unión Europea, en la esfera de competencia soberana de cada Estado miembro, generando una heterogeneidad tributaria intraeuropea que contrasta con la uniformidad regulatoria alcanzada por MiCA, y que ilustra, en el plano supranacional, una tensión estructuralmente análoga a la desarrollada en el Capítulo 29 de esta obra entre la uniformidad de los tributos nacionales argentinos y la heterogeneidad de los tributos provinciales.</w:t>
      </w:r>
    </w:p>
    <w:p>
      <w:pPr>
        <w:spacing w:after="160" w:line="300"/>
        <w:jc w:val="both"/>
      </w:pPr>
      <w:r>
        <w:rPr>
          <w:rFonts w:ascii="Garamond" w:cs="Garamond" w:eastAsia="Garamond" w:hAnsi="Garamond"/>
          <w:sz w:val="24"/>
          <w:szCs w:val="24"/>
        </w:rPr>
        <w:t xml:space="preserve">Alemania constituye, dentro de ese mosaico europeo, el ejemplo paradigmático de un régimen favorable a la tenencia de largo plazo: el artículo 23 de la Ley del Impuesto sobre la Renta (Einkommensteuergesetz, EStG) exime íntegramente de tributación las ganancias derivadas de la enajenación de Bitcoin mantenido por un plazo superior a doce meses, con independencia de la magnitud de la ganancia, mientras que las ganancias derivadas de tenencias inferiores a ese plazo tributan a la alícuota marginal del impuesto a la renta del contribuyente, con una franquicia mínima anual exenta de aplicación acotada. Portugal, que hasta el año 2023 constituía uno de los regímenes más favorables de Europa —con exención total de las ganancias de capital derivadas de criptoactivos, sin distinción de plazo de tenencia—, modificó sustancialmente ese criterio a partir del 1 de enero de ese año, estableciendo una alícuota fija del 28% para las ganancias derivadas de tenencias inferiores a 365 días, mientras preserva la exención para las tenencias superiores a ese plazo, en un criterio de similitud estructural considerable con el régimen alemán desarrollado precedentemente.</w:t>
      </w:r>
    </w:p>
    <w:p>
      <w:pPr>
        <w:spacing w:after="160" w:line="300"/>
        <w:jc w:val="both"/>
      </w:pPr>
      <w:r>
        <w:rPr>
          <w:rFonts w:ascii="Garamond" w:cs="Garamond" w:eastAsia="Garamond" w:hAnsi="Garamond"/>
          <w:sz w:val="24"/>
          <w:szCs w:val="24"/>
        </w:rPr>
        <w:t xml:space="preserve">Francia, por su parte, adopta un criterio diferenciado de particular interés técnico: los intercambios directos entre criptoactivos (crypto-a-crypto), a diferencia del criterio estadounidense desarrollado en la sección 30.2, no constituyen un evento de realización gravado, difiriéndose la tributación hasta el momento en que el contribuyente efectivamente convierte sus criptoactivos a moneda fiduciaria de curso legal, momento en el cual resulta aplicable una alícuota proporcional única (el denominado Prélèvement Forfaitaire Unique) del 30% sobre la ganancia acumulada, criterio que simplifica sustancialmente el seguimiento fiscal de las operaciones de rotación de cartera entre distintos criptoactivos que no involucran, en ningún momento intermedio, su conversión a moneda de curso legal.</w:t>
      </w:r>
    </w:p>
    <w:p>
      <w:pPr>
        <w:pStyle w:val="Heading2"/>
        <w:spacing w:after="180" w:before="360"/>
      </w:pPr>
      <w:r>
        <w:rPr>
          <w:rFonts w:ascii="Garamond" w:cs="Garamond" w:eastAsia="Garamond" w:hAnsi="Garamond"/>
          <w:b/>
          <w:bCs/>
          <w:color w:val="10233F"/>
          <w:sz w:val="28"/>
          <w:szCs w:val="28"/>
        </w:rPr>
        <w:t xml:space="preserve">30.4. El Salvador: exención total como política de Estado</w:t>
      </w:r>
    </w:p>
    <w:p>
      <w:pPr>
        <w:spacing w:after="160" w:line="300"/>
        <w:jc w:val="both"/>
      </w:pPr>
      <w:r>
        <w:rPr>
          <w:rFonts w:ascii="Garamond" w:cs="Garamond" w:eastAsia="Garamond" w:hAnsi="Garamond"/>
          <w:sz w:val="24"/>
          <w:szCs w:val="24"/>
        </w:rPr>
        <w:t xml:space="preserve">El Salvador, cuya condición de primer Estado del mundo en adoptar a Bitcoin como moneda de curso legal fue desarrollada extensamente en el Capítulo 2 de esta obra, estableció, mediante el artículo 5 de su Ley Bitcoin, la exención expresa de toda ganancia de capital derivada del intercambio de Bitcoin, tanto para residentes cuanto para inversores extranjeros, constituyendo, en consecuencia, el régimen más favorable entre las jurisdicciones relevadas en este capítulo, en coherencia con la política de Estado explícita de posicionar al país como polo de atracción de capital e inversión vinculada a Bitcoin, política que, según se desarrolló en el Capítulo 2, ha sido objeto de reparos formales por parte de organismos financieros internacionales, sin que ello hubiera determinado, a la fecha de esta edición, una reversión de la política fiscal descrita en esta sección.</w:t>
      </w:r>
    </w:p>
    <w:p>
      <w:pPr>
        <w:pStyle w:val="Heading2"/>
        <w:spacing w:after="180" w:before="360"/>
      </w:pPr>
      <w:r>
        <w:rPr>
          <w:rFonts w:ascii="Garamond" w:cs="Garamond" w:eastAsia="Garamond" w:hAnsi="Garamond"/>
          <w:b/>
          <w:bCs/>
          <w:color w:val="10233F"/>
          <w:sz w:val="28"/>
          <w:szCs w:val="28"/>
        </w:rPr>
        <w:t xml:space="preserve">30.5. Panorama de otras jurisdicciones relevantes</w:t>
      </w:r>
    </w:p>
    <w:p>
      <w:pPr>
        <w:spacing w:after="160" w:line="300"/>
        <w:jc w:val="both"/>
      </w:pPr>
      <w:r>
        <w:rPr>
          <w:rFonts w:ascii="Garamond" w:cs="Garamond" w:eastAsia="Garamond" w:hAnsi="Garamond"/>
          <w:sz w:val="24"/>
          <w:szCs w:val="24"/>
        </w:rPr>
        <w:t xml:space="preserve">Un conjunto adicional de jurisdicciones completa el panorama comparado que resulta de utilidad para la práctica profesional argentina. Emiratos Árabes Unidos y Singapur no aplican, con carácter general, impuesto a las ganancias de capital sobre las operaciones de inversión privada en criptoactivos, aunque sí sujetan a imposición societaria a la actividad desarrollada de manera habitual y profesional bajo estructuras corporativas. Suiza, sin gravar con carácter general las ganancias de capital de los inversores privados sobre criptoactivos, sujeta en cambio la tenencia a su impuesto patrimonial cantonal (Vermögenssteuer), en un criterio de mayor cercanía conceptual con el Impuesto sobre los Bienes Personales argentino desarrollado en el Capítulo 28 de esta obra que con el criterio de exención plena de otras jurisdicciones. En el extremo opuesto del espectro comparado, el Reino Unido aplica el impuesto a las ganancias de capital con carácter general y sin distinción de plazo de tenencia, sobre una franquicia anual exenta de magnitud reducida y decreciente en los últimos ejercicios fiscales, mientras que Japón califica a las ganancias derivadas de criptoactivos como «renta miscelánea» sujeta a las alícuotas progresivas combinadas (nacional y local) del impuesto a la renta, que pueden alcanzar hasta el 55% para los contribuyentes de mayores ingresos, constituyendo uno de los regímenes tributarios más gravosos entre las jurisdicciones desarrolladas relevadas por esta obra.</w:t>
      </w:r>
    </w:p>
    <w:p>
      <w:pPr>
        <w:pStyle w:val="Heading2"/>
        <w:spacing w:after="180" w:before="360"/>
      </w:pPr>
      <w:r>
        <w:rPr>
          <w:rFonts w:ascii="Garamond" w:cs="Garamond" w:eastAsia="Garamond" w:hAnsi="Garamond"/>
          <w:b/>
          <w:bCs/>
          <w:color w:val="10233F"/>
          <w:sz w:val="28"/>
          <w:szCs w:val="28"/>
        </w:rPr>
        <w:t xml:space="preserve">30.6. Reflexión de cierre: la posición relativa del régimen argentino</w:t>
      </w:r>
    </w:p>
    <w:p>
      <w:pPr>
        <w:spacing w:after="160" w:line="300"/>
        <w:jc w:val="both"/>
      </w:pPr>
      <w:r>
        <w:rPr>
          <w:rFonts w:ascii="Garamond" w:cs="Garamond" w:eastAsia="Garamond" w:hAnsi="Garamond"/>
          <w:sz w:val="24"/>
          <w:szCs w:val="24"/>
        </w:rPr>
        <w:t xml:space="preserve">El relevamiento comparado desarrollado en este capítulo permite situar al régimen tributario argentino, desarrollado extensamente en los Capítulos 26 a 29 de esta obra, dentro de un espectro internacional considerablemente heterogéneo. Las alícuotas del 5% y del 15% del régimen cedular argentino para personas humanas, desarrolladas en el Capítulo 26, resultan sensiblemente más moderadas que el régimen progresivo japonés o que las alícuotas marginales aplicables en el Reino Unido a tenencias de corto plazo, y no distan sustancialmente, en su magnitud nominal, de la alícuota proporcional francesa desarrollada en la sección 30.3 de este capítulo. La ausencia, sin embargo, de un beneficio de exención por tenencia de largo plazo análogo al alemán o al portugués constituye, en opinión de esta obra, la divergencia de mayor relevancia práctica y la principal oportunidad de mejora normativa que el legislador argentino podría evaluar hacia el futuro, en la medida en que un régimen de esa naturaleza incentivaría precisamente el comportamiento de acumulación de largo plazo que, como se desarrolló extensamente en el Capítulo 2 de esta obra al tratar la adopción institucional de Bitcoin, caracteriza a los tenedores de mayor sofisticación financiera y de menor propensión a la especulación de corto plazo.</w:t>
      </w:r>
    </w:p>
    <w:p>
      <w:pPr>
        <w:pStyle w:val="Heading2"/>
        <w:spacing w:after="180" w:before="360"/>
      </w:pPr>
      <w:r>
        <w:rPr>
          <w:rFonts w:ascii="Garamond" w:cs="Garamond" w:eastAsia="Garamond" w:hAnsi="Garamond"/>
          <w:b/>
          <w:bCs/>
          <w:color w:val="10233F"/>
          <w:sz w:val="28"/>
          <w:szCs w:val="28"/>
        </w:rPr>
        <w:t xml:space="preserve">30.7. Síntesis del capítulo y cierre de la Parte V</w:t>
      </w:r>
    </w:p>
    <w:p>
      <w:pPr>
        <w:spacing w:after="160" w:line="300"/>
        <w:jc w:val="both"/>
      </w:pPr>
      <w:r>
        <w:rPr>
          <w:rFonts w:ascii="Garamond" w:cs="Garamond" w:eastAsia="Garamond" w:hAnsi="Garamond"/>
          <w:sz w:val="24"/>
          <w:szCs w:val="24"/>
        </w:rPr>
        <w:t xml:space="preserve">Este capítulo desarrolló un panorama comparado de la tributación internacional de Bitcoin, contrastando el criterio estadounidense de tramos de tenencia con criptocanje gravado, la heterogeneidad intraeuropea pese a la armonización regulatoria de MiCA —con Alemania y Portugal como ejemplos de regímenes favorables a la tenencia de largo plazo, y Francia con su diferimiento hasta la conversión a moneda fiduciaria—, la exención plena adoptada por El Salvador como política de Estado, y el panorama de jurisdicciones adicionales que exhiben tratamientos sustancialmente más favorables o más gravosos que el régimen argentino. Con este capítulo se completa la totalidad de la Parte V de esta obra, dedicada a la tributación de Bitcoin. La Parte VI, que se inicia con el Capítulo 31, traslada el análisis hacia la auditoría y el control interno de las tenencias de Bitcoin, completando el recorrido profesional integral que esta obra se propuso desde su prefacio.</w:t>
      </w:r>
    </w:p>
    <w:p>
      <w:r>
        <w:br w:type="page"/>
      </w:r>
    </w:p>
    <w:p>
      <w:pPr>
        <w:pStyle w:val="Heading2"/>
        <w:spacing w:after="180" w:before="360"/>
      </w:pPr>
      <w:r>
        <w:rPr>
          <w:rFonts w:ascii="Garamond" w:cs="Garamond" w:eastAsia="Garamond" w:hAnsi="Garamond"/>
          <w:b/>
          <w:bCs/>
          <w:color w:val="10233F"/>
          <w:sz w:val="28"/>
          <w:szCs w:val="28"/>
        </w:rPr>
        <w:t xml:space="preserve">Referencias bibliográficas del Capítulo 30</w:t>
      </w:r>
    </w:p>
    <w:p>
      <w:pPr>
        <w:spacing w:after="160"/>
        <w:ind w:left="480" w:hanging="480"/>
        <w:jc w:val="both"/>
      </w:pPr>
      <w:r>
        <w:rPr>
          <w:rFonts w:ascii="Garamond" w:cs="Garamond" w:eastAsia="Garamond" w:hAnsi="Garamond"/>
          <w:sz w:val="22"/>
          <w:szCs w:val="22"/>
        </w:rPr>
        <w:t xml:space="preserve">Asamblea Legislativa de El Salvador. (2021). Ley Bitcoin, artículo 5.</w:t>
      </w:r>
    </w:p>
    <w:p>
      <w:pPr>
        <w:spacing w:after="160"/>
        <w:ind w:left="480" w:hanging="480"/>
        <w:jc w:val="both"/>
      </w:pPr>
      <w:r>
        <w:rPr>
          <w:rFonts w:ascii="Garamond" w:cs="Garamond" w:eastAsia="Garamond" w:hAnsi="Garamond"/>
          <w:sz w:val="22"/>
          <w:szCs w:val="22"/>
        </w:rPr>
        <w:t xml:space="preserve">Bundesministerium der Finanzen (Alemania). Einkommensteuergesetz (EStG), artículo 23.</w:t>
      </w:r>
    </w:p>
    <w:p>
      <w:pPr>
        <w:spacing w:after="160"/>
        <w:ind w:left="480" w:hanging="480"/>
        <w:jc w:val="both"/>
      </w:pPr>
      <w:r>
        <w:rPr>
          <w:rFonts w:ascii="Garamond" w:cs="Garamond" w:eastAsia="Garamond" w:hAnsi="Garamond"/>
          <w:sz w:val="22"/>
          <w:szCs w:val="22"/>
        </w:rPr>
        <w:t xml:space="preserve">Código General de Impuestos de Francia (Code général des impôts), régimen del Prélèvement Forfaitaire Unique aplicable a criptoactivos.</w:t>
      </w:r>
    </w:p>
    <w:p>
      <w:pPr>
        <w:spacing w:after="160"/>
        <w:ind w:left="480" w:hanging="480"/>
        <w:jc w:val="both"/>
      </w:pPr>
      <w:r>
        <w:rPr>
          <w:rFonts w:ascii="Garamond" w:cs="Garamond" w:eastAsia="Garamond" w:hAnsi="Garamond"/>
          <w:sz w:val="22"/>
          <w:szCs w:val="22"/>
        </w:rPr>
        <w:t xml:space="preserve">Internal Revenue Service. (2014). Notice 2014-21: IRS virtual currency guidance. U.S. Department of the Treasury.</w:t>
      </w:r>
    </w:p>
    <w:p>
      <w:pPr>
        <w:spacing w:after="160"/>
        <w:ind w:left="480" w:hanging="480"/>
        <w:jc w:val="both"/>
      </w:pPr>
      <w:r>
        <w:rPr>
          <w:rFonts w:ascii="Garamond" w:cs="Garamond" w:eastAsia="Garamond" w:hAnsi="Garamond"/>
          <w:sz w:val="22"/>
          <w:szCs w:val="22"/>
        </w:rPr>
        <w:t xml:space="preserve">Organización para la Cooperación y el Desarrollo Económico. (2022). Crypto-Asset Reporting Framework (CARF).</w:t>
      </w:r>
    </w:p>
    <w:p>
      <w:pPr>
        <w:spacing w:after="160"/>
        <w:ind w:left="480" w:hanging="480"/>
        <w:jc w:val="both"/>
      </w:pPr>
      <w:r>
        <w:rPr>
          <w:rFonts w:ascii="Garamond" w:cs="Garamond" w:eastAsia="Garamond" w:hAnsi="Garamond"/>
          <w:sz w:val="22"/>
          <w:szCs w:val="22"/>
        </w:rPr>
        <w:t xml:space="preserve">República Portuguesa, Autoridade Tributária e Aduaneira. (2023). Regime fiscal dos ativos digitais (Orçamento do Estado 2023).</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color w:val="888888"/>
        <w:sz w:val="16"/>
        <w:szCs w:val="16"/>
      </w:rPr>
      <w:t xml:space="preserve">Bitcoin para Contadores — D. E. Beltramo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e242738afaa8e441add3b243ebc76810f44d95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para Contadores</dc:title>
  <dc:creator>Diego Eduardo Beltramo</dc:creator>
  <cp:lastModifiedBy>Un-named</cp:lastModifiedBy>
  <cp:revision>1</cp:revision>
  <dcterms:created xsi:type="dcterms:W3CDTF">2026-08-08T14:56:29.464Z</dcterms:created>
  <dcterms:modified xsi:type="dcterms:W3CDTF">2026-08-08T14:56:29.475Z</dcterms:modified>
</cp:coreProperties>
</file>

<file path=docProps/custom.xml><?xml version="1.0" encoding="utf-8"?>
<Properties xmlns="http://schemas.openxmlformats.org/officeDocument/2006/custom-properties" xmlns:vt="http://schemas.openxmlformats.org/officeDocument/2006/docPropsVTypes"/>
</file>