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A1A40"/>
          <w:sz w:val="72"/>
          <w:szCs w:val="72"/>
        </w:rPr>
        <w:t xml:space="preserve">COGNIBOOST</w:t>
      </w:r>
    </w:p>
    <w:p>
      <w:pPr>
        <w:spacing w:before="120" w:after="1440"/>
        <w:jc w:val="center"/>
      </w:pPr>
      <w:r>
        <w:rPr>
          <w:color w:val="4A5568"/>
          <w:sz w:val="32"/>
          <w:szCs w:val="32"/>
        </w:rPr>
        <w:t xml:space="preserve">Manual de Marca 2026</w:t>
      </w:r>
    </w:p>
    <w:p>
      <w:pPr>
        <w:spacing w:before="480"/>
        <w:jc w:val="center"/>
      </w:pPr>
      <w:r>
        <w:rPr>
          <w:i/>
          <w:iCs/>
          <w:color w:val="667EEA"/>
          <w:sz w:val="28"/>
          <w:szCs w:val="28"/>
        </w:rPr>
        <w:t xml:space="preserve">Eleva Tu Potencial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p>
      <w:pPr>
        <w:spacing w:before="120"/>
      </w:pPr>
      <w:r>
        <w:t xml:space="preserve">1. Visión y Estrategia de Marca</w:t>
      </w:r>
    </w:p>
    <w:p>
      <w:pPr>
        <w:spacing w:before="60"/>
      </w:pPr>
      <w:r>
        <w:t xml:space="preserve">2. Sistema de Logo</w:t>
      </w:r>
    </w:p>
    <w:p>
      <w:pPr>
        <w:spacing w:before="60"/>
      </w:pPr>
      <w:r>
        <w:t xml:space="preserve">3. Paleta de Colores</w:t>
      </w:r>
    </w:p>
    <w:p>
      <w:pPr>
        <w:spacing w:before="60"/>
      </w:pPr>
      <w:r>
        <w:t xml:space="preserve">4. Tipografía</w:t>
      </w:r>
    </w:p>
    <w:p>
      <w:pPr>
        <w:spacing w:before="60"/>
      </w:pPr>
      <w:r>
        <w:t xml:space="preserve">5. Voz y Tono de Marca</w:t>
      </w:r>
    </w:p>
    <w:p>
      <w:pPr>
        <w:spacing w:before="60"/>
      </w:pPr>
      <w:r>
        <w:t xml:space="preserve">6. Lineamientos de Redes Sociales</w:t>
      </w:r>
    </w:p>
    <w:p>
      <w:pPr>
        <w:spacing w:before="60"/>
      </w:pPr>
      <w:r>
        <w:t xml:space="preserve">7. Diseño de Email Marketing</w:t>
      </w:r>
    </w:p>
    <w:p>
      <w:pPr>
        <w:spacing w:before="60" w:after="480"/>
      </w:pPr>
      <w:r>
        <w:t xml:space="preserve">8. Estrategia de Marketing</w:t>
      </w:r>
    </w:p>
    <w:p>
      <w:r>
        <w:br w:type="page"/>
      </w:r>
    </w:p>
    <w:p>
      <w:pPr>
        <w:pStyle w:val="Heading1"/>
      </w:pPr>
      <w:r>
        <w:t xml:space="preserve">Visión y Estrategia de Marca</w:t>
      </w:r>
    </w:p>
    <w:p>
      <w:pPr>
        <w:pStyle w:val="Heading2"/>
      </w:pPr>
      <w:r>
        <w:t xml:space="preserve">Declaración de Visión</w:t>
      </w:r>
    </w:p>
    <w:p>
      <w:pPr>
        <w:spacing w:before="120" w:after="240"/>
      </w:pPr>
      <w:r>
        <w:rPr>
          <w:i/>
          <w:iCs/>
        </w:rPr>
        <w:t xml:space="preserve">CogniBoost existe para democratizar el crecimiento profesional haciendo que el aprendizaje de clase mundial sea accesible, práctico y transformador para adultos que trabajan. Creemos que cada hito profesional comienza con el conocimiento correcto en el momento correcto.</w:t>
      </w:r>
    </w:p>
    <w:p>
      <w:pPr>
        <w:pStyle w:val="Heading2"/>
      </w:pPr>
      <w:r>
        <w:t xml:space="preserve">Declaración de Posicionamiento</w:t>
      </w:r>
    </w:p>
    <w:p>
      <w:pPr>
        <w:spacing w:before="120" w:after="120"/>
      </w:pPr>
      <w:r>
        <w:t xml:space="preserve">Para profesionales ambiciosos que buscan avance profesional, CogniBoost es la plataforma de aprendizaje para adultos que ofrece educación orientada a resultados diseñada para aplicación en el mundo real. A diferencia de universidades tradicionales o cursos en línea pasivos, combinamos instrucción experta con marcos prácticos y responsabilidad comunitaria para acelerar el crecimiento profesional.</w:t>
      </w:r>
    </w:p>
    <w:p>
      <w:pPr>
        <w:pStyle w:val="Heading2"/>
      </w:pPr>
      <w:r>
        <w:t xml:space="preserve">Demografía Objetivo</w:t>
      </w:r>
    </w:p>
    <w:p>
      <w:pPr>
        <w:pStyle w:val="ListParagraph"/>
        <w:numPr>
          <w:ilvl w:val="0"/>
          <w:numId w:val="2"/>
        </w:numPr>
      </w:pPr>
      <w:r>
        <w:t xml:space="preserve">Edad: 25-50 años</w:t>
      </w:r>
    </w:p>
    <w:p>
      <w:pPr>
        <w:pStyle w:val="ListParagraph"/>
        <w:numPr>
          <w:ilvl w:val="0"/>
          <w:numId w:val="2"/>
        </w:numPr>
      </w:pPr>
      <w:r>
        <w:t xml:space="preserve">Ocupación: Profesionales de nivel medio, emprendedores, personas en transición de carrera</w:t>
      </w:r>
    </w:p>
    <w:p>
      <w:pPr>
        <w:pStyle w:val="ListParagraph"/>
        <w:numPr>
          <w:ilvl w:val="0"/>
          <w:numId w:val="2"/>
        </w:numPr>
      </w:pPr>
      <w:r>
        <w:t xml:space="preserve">Ingreso: $15K-$45K USD anuales (mercado LATAM)</w:t>
      </w:r>
    </w:p>
    <w:p>
      <w:pPr>
        <w:pStyle w:val="ListParagraph"/>
        <w:numPr>
          <w:ilvl w:val="0"/>
          <w:numId w:val="2"/>
        </w:numPr>
      </w:pPr>
      <w:r>
        <w:t xml:space="preserve">Educación: Título universitario o experiencia laboral equivalente</w:t>
      </w:r>
    </w:p>
    <w:p>
      <w:pPr>
        <w:pStyle w:val="ListParagraph"/>
        <w:numPr>
          <w:ilvl w:val="0"/>
          <w:numId w:val="2"/>
        </w:numPr>
      </w:pPr>
      <w:r>
        <w:t xml:space="preserve">Idioma: Hispanohablantes nativos buscando habilidades globales</w:t>
      </w:r>
    </w:p>
    <w:p>
      <w:pPr>
        <w:pStyle w:val="ListParagraph"/>
        <w:numPr>
          <w:ilvl w:val="0"/>
          <w:numId w:val="2"/>
        </w:numPr>
      </w:pPr>
      <w:r>
        <w:t xml:space="preserve">Psicografía: Mentalidad de crecimiento, limitados en tiempo, orientados a resultados, valoran habilidades prácticas sobre credenciales</w:t>
      </w:r>
    </w:p>
    <w:p>
      <w:pPr>
        <w:pStyle w:val="Heading2"/>
      </w:pPr>
      <w:r>
        <w:t xml:space="preserve">Panorama Competitivo</w:t>
      </w:r>
    </w:p>
    <w:p>
      <w:pPr>
        <w:spacing w:before="120" w:after="120"/>
      </w:pPr>
      <w:r>
        <w:t xml:space="preserve">Competidores principales: Coursera, edX, Udacity, LinkedIn Learning, Platzi, Crehana. CogniBoost se diferencia a través de aprendizaje basado en cohortes, profesionales expertos (no académicos), y enfoque en resultados profesionales para el mercado hispanohablante.</w:t>
      </w:r>
    </w:p>
    <w:p>
      <w:r>
        <w:br w:type="page"/>
      </w:r>
    </w:p>
    <w:p>
      <w:pPr>
        <w:pStyle w:val="Heading1"/>
      </w:pPr>
      <w:r>
        <w:t xml:space="preserve">Sistema de Logo</w:t>
      </w:r>
    </w:p>
    <w:p>
      <w:pPr>
        <w:pStyle w:val="Heading2"/>
      </w:pPr>
      <w:r>
        <w:t xml:space="preserve">Logo Principal</w:t>
      </w:r>
    </w:p>
    <w:p>
      <w:pPr>
        <w:spacing w:before="120" w:after="120"/>
      </w:pPr>
      <w:r>
        <w:t xml:space="preserve">Logotipo: COGNIBOOST en tipografía sans-serif personalizada con ángulo ascendente sutil en la 'T' final sugiriendo crecimiento y elevación.</w:t>
      </w:r>
    </w:p>
    <w:p>
      <w:pPr>
        <w:pStyle w:val="Heading3"/>
      </w:pPr>
      <w:r>
        <w:t xml:space="preserve">Construcción del Logo</w:t>
      </w:r>
    </w:p>
    <w:p>
      <w:pPr>
        <w:pStyle w:val="ListParagraph"/>
        <w:numPr>
          <w:ilvl w:val="0"/>
          <w:numId w:val="2"/>
        </w:numPr>
      </w:pPr>
      <w:r>
        <w:t xml:space="preserve">Tipografía: Inter Display modificado (peso bold)</w:t>
      </w:r>
    </w:p>
    <w:p>
      <w:pPr>
        <w:pStyle w:val="ListParagraph"/>
        <w:numPr>
          <w:ilvl w:val="0"/>
          <w:numId w:val="2"/>
        </w:numPr>
      </w:pPr>
      <w:r>
        <w:t xml:space="preserve">Símbolo: Escaleras ascendentes abstractas integradas en la primera 'C' representando aprendizaje progresivo</w:t>
      </w:r>
    </w:p>
    <w:p>
      <w:pPr>
        <w:pStyle w:val="ListParagraph"/>
        <w:numPr>
          <w:ilvl w:val="0"/>
          <w:numId w:val="2"/>
        </w:numPr>
      </w:pPr>
      <w:r>
        <w:t xml:space="preserve">Color: Azul marino primario (#1A1A40) o aplicación en degradado</w:t>
      </w:r>
    </w:p>
    <w:p>
      <w:pPr>
        <w:pStyle w:val="Heading3"/>
      </w:pPr>
      <w:r>
        <w:t xml:space="preserve">Variaciones del Logo</w:t>
      </w:r>
    </w:p>
    <w:p>
      <w:pPr>
        <w:pStyle w:val="ListParagraph"/>
        <w:numPr>
          <w:ilvl w:val="0"/>
          <w:numId w:val="2"/>
        </w:numPr>
      </w:pPr>
      <w:r>
        <w:t xml:space="preserve">Lockup horizontal completo (uso principal)</w:t>
      </w:r>
    </w:p>
    <w:p>
      <w:pPr>
        <w:pStyle w:val="ListParagraph"/>
        <w:numPr>
          <w:ilvl w:val="0"/>
          <w:numId w:val="2"/>
        </w:numPr>
      </w:pPr>
      <w:r>
        <w:t xml:space="preserve">Versión vertical apilada (aplicaciones cuadradas)</w:t>
      </w:r>
    </w:p>
    <w:p>
      <w:pPr>
        <w:pStyle w:val="ListParagraph"/>
        <w:numPr>
          <w:ilvl w:val="0"/>
          <w:numId w:val="2"/>
        </w:numPr>
      </w:pPr>
      <w:r>
        <w:t xml:space="preserve">Marca de símbolo únicamente (íconos de app, favicons)</w:t>
      </w:r>
    </w:p>
    <w:p>
      <w:pPr>
        <w:pStyle w:val="ListParagraph"/>
        <w:numPr>
          <w:ilvl w:val="0"/>
          <w:numId w:val="2"/>
        </w:numPr>
      </w:pPr>
      <w:r>
        <w:t xml:space="preserve">Versión blanca invertida (fondos oscuros)</w:t>
      </w:r>
    </w:p>
    <w:p>
      <w:pPr>
        <w:pStyle w:val="Heading3"/>
      </w:pPr>
      <w:r>
        <w:t xml:space="preserve">Espacio Libre y Tamaño Mínimo</w:t>
      </w:r>
    </w:p>
    <w:p>
      <w:pPr>
        <w:pStyle w:val="ListParagraph"/>
        <w:numPr>
          <w:ilvl w:val="0"/>
          <w:numId w:val="2"/>
        </w:numPr>
      </w:pPr>
      <w:r>
        <w:t xml:space="preserve">Espacio libre: Mínimo 0.5x la altura de la 'C' en todos los lados</w:t>
      </w:r>
    </w:p>
    <w:p>
      <w:pPr>
        <w:pStyle w:val="ListParagraph"/>
        <w:numPr>
          <w:ilvl w:val="0"/>
          <w:numId w:val="2"/>
        </w:numPr>
      </w:pPr>
      <w:r>
        <w:t xml:space="preserve">Ancho mínimo: 120px digital, 1 pulgada impreso</w:t>
      </w:r>
    </w:p>
    <w:p>
      <w:pPr>
        <w:pStyle w:val="ListParagraph"/>
        <w:numPr>
          <w:ilvl w:val="0"/>
          <w:numId w:val="2"/>
        </w:numPr>
      </w:pPr>
      <w:r>
        <w:t xml:space="preserve">Nunca estirar, rotar o agregar efectos al logo</w:t>
      </w:r>
    </w:p>
    <w:p>
      <w:r>
        <w:br w:type="page"/>
      </w:r>
    </w:p>
    <w:p>
      <w:pPr>
        <w:pStyle w:val="Heading1"/>
      </w:pPr>
      <w:r>
        <w:t xml:space="preserve">Paleta de Colores</w:t>
      </w:r>
    </w:p>
    <w:p>
      <w:pPr>
        <w:pStyle w:val="Heading2"/>
      </w:pPr>
      <w:r>
        <w:t xml:space="preserve">Colores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4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Azul Marino</w:t>
            </w:r>
          </w:p>
        </w:tc>
        <w:tc>
          <w:tcPr>
            <w:tcW w:type="dxa" w:w="2340"/>
            <w:shd w:fill="667EE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Púrpura Eléctrico</w:t>
            </w:r>
          </w:p>
        </w:tc>
        <w:tc>
          <w:tcPr>
            <w:tcW w:type="dxa" w:w="2340"/>
            <w:shd w:fill="4FD1C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1A1A40"/>
              </w:rPr>
              <w:t xml:space="preserve">Turquesa</w:t>
            </w:r>
          </w:p>
        </w:tc>
        <w:tc>
          <w:tcPr>
            <w:tcW w:type="dxa" w:w="2340"/>
            <w:shd w:fill="F6AD5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1A1A40"/>
              </w:rPr>
              <w:t xml:space="preserve">Naranja Energía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#1A1A40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#667EEA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#4FD1C5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#F6AD55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RGB: 26, 26, 64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RGB: 102, 126, 234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RGB: 79, 209, 197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RGB: 246, 173, 85</w:t>
            </w:r>
          </w:p>
        </w:tc>
      </w:tr>
    </w:tbl>
    <w:p>
      <w:pPr>
        <w:pStyle w:val="Heading2"/>
        <w:spacing w:before="360"/>
      </w:pPr>
      <w:r>
        <w:t xml:space="preserve">Colores Neutros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02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Carbón</w:t>
            </w:r>
          </w:p>
        </w:tc>
        <w:tc>
          <w:tcPr>
            <w:tcW w:type="dxa" w:w="3120"/>
            <w:shd w:fill="71809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Gris Pizarra</w:t>
            </w:r>
          </w:p>
        </w:tc>
        <w:tc>
          <w:tcPr>
            <w:tcW w:type="dxa" w:w="3120"/>
            <w:shd w:fill="F7FAF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1A1A40"/>
              </w:rPr>
              <w:t xml:space="preserve">Blanco Fresco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#1A202C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#718096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#F7FAFC</w:t>
            </w:r>
          </w:p>
        </w:tc>
      </w:tr>
    </w:tbl>
    <w:p>
      <w:pPr>
        <w:pStyle w:val="Heading3"/>
        <w:spacing w:before="360"/>
      </w:pPr>
      <w:r>
        <w:t xml:space="preserve">Guía de Uso de Colores</w:t>
      </w:r>
    </w:p>
    <w:p>
      <w:pPr>
        <w:pStyle w:val="ListParagraph"/>
        <w:numPr>
          <w:ilvl w:val="0"/>
          <w:numId w:val="2"/>
        </w:numPr>
      </w:pPr>
      <w:r>
        <w:t xml:space="preserve">Azul Marino (#1A1A40): Color de marca principal, titulares, botones, mensajes clave</w:t>
      </w:r>
    </w:p>
    <w:p>
      <w:pPr>
        <w:pStyle w:val="ListParagraph"/>
        <w:numPr>
          <w:ilvl w:val="0"/>
          <w:numId w:val="2"/>
        </w:numPr>
      </w:pPr>
      <w:r>
        <w:t xml:space="preserve">Púrpura Eléctrico (#667EEA): CTAs, enlaces, indicadores de progreso, overlays degradados</w:t>
      </w:r>
    </w:p>
    <w:p>
      <w:pPr>
        <w:pStyle w:val="ListParagraph"/>
        <w:numPr>
          <w:ilvl w:val="0"/>
          <w:numId w:val="2"/>
        </w:numPr>
      </w:pPr>
      <w:r>
        <w:t xml:space="preserve">Turquesa (#4FD1C5): Estados de éxito, insignias de completado, destacados</w:t>
      </w:r>
    </w:p>
    <w:p>
      <w:pPr>
        <w:pStyle w:val="ListParagraph"/>
        <w:numPr>
          <w:ilvl w:val="0"/>
          <w:numId w:val="2"/>
        </w:numPr>
      </w:pPr>
      <w:r>
        <w:t xml:space="preserve">Naranja Energía (#F6AD55): Elementos de urgencia, contenido destacado, notificaciones</w:t>
      </w:r>
    </w:p>
    <w:p>
      <w:pPr>
        <w:pStyle w:val="ListParagraph"/>
        <w:numPr>
          <w:ilvl w:val="0"/>
          <w:numId w:val="2"/>
        </w:numPr>
      </w:pPr>
      <w:r>
        <w:t xml:space="preserve">Regla 60-30-10: 60% Marino/Blanco, 30% Púrpura, 10% Turquesa/Naranja acentos</w:t>
      </w:r>
    </w:p>
    <w:p>
      <w:r>
        <w:br w:type="page"/>
      </w:r>
    </w:p>
    <w:p>
      <w:pPr>
        <w:pStyle w:val="Heading1"/>
      </w:pPr>
      <w:r>
        <w:t xml:space="preserve">Tipografía</w:t>
      </w:r>
    </w:p>
    <w:p>
      <w:pPr>
        <w:pStyle w:val="Heading2"/>
      </w:pPr>
      <w:r>
        <w:t xml:space="preserve">Tipografía Principal: Inter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Titulares y UI: Inter Bold (700)</w:t>
      </w:r>
    </w:p>
    <w:p>
      <w:pPr>
        <w:pStyle w:val="ListParagraph"/>
        <w:numPr>
          <w:ilvl w:val="0"/>
          <w:numId w:val="2"/>
        </w:numPr>
      </w:pPr>
      <w:r>
        <w:t xml:space="preserve">Subtítulos: Inter SemiBold (600)</w:t>
      </w:r>
    </w:p>
    <w:p>
      <w:pPr>
        <w:pStyle w:val="ListParagraph"/>
        <w:numPr>
          <w:ilvl w:val="0"/>
          <w:numId w:val="2"/>
        </w:numPr>
      </w:pPr>
      <w:r>
        <w:t xml:space="preserve">Cuerpo: Inter Regular (400)</w:t>
      </w:r>
    </w:p>
    <w:p>
      <w:pPr>
        <w:pStyle w:val="ListParagraph"/>
        <w:numPr>
          <w:ilvl w:val="0"/>
          <w:numId w:val="2"/>
        </w:numPr>
      </w:pPr>
      <w:r>
        <w:t xml:space="preserve">Leyendas: Inter Medium (500)</w:t>
      </w:r>
    </w:p>
    <w:p>
      <w:pPr>
        <w:pStyle w:val="Heading2"/>
        <w:spacing w:before="360"/>
      </w:pPr>
      <w:r>
        <w:t xml:space="preserve">Tipografía Secundaria: Lora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Propósito: Contenido editorial, testimonios, lectura larga</w:t>
      </w:r>
    </w:p>
    <w:p>
      <w:pPr>
        <w:pStyle w:val="ListParagraph"/>
        <w:numPr>
          <w:ilvl w:val="0"/>
          <w:numId w:val="2"/>
        </w:numPr>
      </w:pPr>
      <w:r>
        <w:t xml:space="preserve">Pesos: Regular (400), Italic, Bold (700)</w:t>
      </w:r>
    </w:p>
    <w:p>
      <w:pPr>
        <w:pStyle w:val="Heading3"/>
        <w:spacing w:before="360"/>
      </w:pPr>
      <w:r>
        <w:t xml:space="preserve">Escala Tipográfica</w:t>
      </w:r>
    </w:p>
    <w:p>
      <w:pPr>
        <w:pStyle w:val="ListParagraph"/>
        <w:numPr>
          <w:ilvl w:val="0"/>
          <w:numId w:val="2"/>
        </w:numPr>
      </w:pPr>
      <w:r>
        <w:t xml:space="preserve">H1: 48px/1.2, Inter Bold</w:t>
      </w:r>
    </w:p>
    <w:p>
      <w:pPr>
        <w:pStyle w:val="ListParagraph"/>
        <w:numPr>
          <w:ilvl w:val="0"/>
          <w:numId w:val="2"/>
        </w:numPr>
      </w:pPr>
      <w:r>
        <w:t xml:space="preserve">H2: 36px/1.3, Inter Bold</w:t>
      </w:r>
    </w:p>
    <w:p>
      <w:pPr>
        <w:pStyle w:val="ListParagraph"/>
        <w:numPr>
          <w:ilvl w:val="0"/>
          <w:numId w:val="2"/>
        </w:numPr>
      </w:pPr>
      <w:r>
        <w:t xml:space="preserve">H3: 28px/1.4, Inter SemiBold</w:t>
      </w:r>
    </w:p>
    <w:p>
      <w:pPr>
        <w:pStyle w:val="ListParagraph"/>
        <w:numPr>
          <w:ilvl w:val="0"/>
          <w:numId w:val="2"/>
        </w:numPr>
      </w:pPr>
      <w:r>
        <w:t xml:space="preserve">H4: 20px/1.5, Inter SemiBold</w:t>
      </w:r>
    </w:p>
    <w:p>
      <w:pPr>
        <w:pStyle w:val="ListParagraph"/>
        <w:numPr>
          <w:ilvl w:val="0"/>
          <w:numId w:val="2"/>
        </w:numPr>
      </w:pPr>
      <w:r>
        <w:t xml:space="preserve">Cuerpo: 16px/1.6, Inter Regular</w:t>
      </w:r>
    </w:p>
    <w:p>
      <w:pPr>
        <w:pStyle w:val="ListParagraph"/>
        <w:numPr>
          <w:ilvl w:val="0"/>
          <w:numId w:val="2"/>
        </w:numPr>
      </w:pPr>
      <w:r>
        <w:t xml:space="preserve">Pequeño: 14px/1.5, Inter Regular</w:t>
      </w:r>
    </w:p>
    <w:p>
      <w:pPr>
        <w:pStyle w:val="ListParagraph"/>
        <w:numPr>
          <w:ilvl w:val="0"/>
          <w:numId w:val="2"/>
        </w:numPr>
      </w:pPr>
      <w:r>
        <w:t xml:space="preserve">Leyenda: 12px/1.4, Inter Medium</w:t>
      </w:r>
    </w:p>
    <w:p>
      <w:r>
        <w:br w:type="page"/>
      </w:r>
    </w:p>
    <w:p>
      <w:pPr>
        <w:pStyle w:val="Heading1"/>
      </w:pPr>
      <w:r>
        <w:t xml:space="preserve">Voz y Tono de Marca</w:t>
      </w:r>
    </w:p>
    <w:p>
      <w:pPr>
        <w:pStyle w:val="Heading2"/>
      </w:pPr>
      <w:r>
        <w:t xml:space="preserve">Atributos de Voz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Confiado pero no arrogante</w:t>
      </w:r>
    </w:p>
    <w:p>
      <w:pPr>
        <w:pStyle w:val="ListParagraph"/>
        <w:numPr>
          <w:ilvl w:val="0"/>
          <w:numId w:val="2"/>
        </w:numPr>
      </w:pPr>
      <w:r>
        <w:t xml:space="preserve">Orientado a la acción y práctico</w:t>
      </w:r>
    </w:p>
    <w:p>
      <w:pPr>
        <w:pStyle w:val="ListParagraph"/>
        <w:numPr>
          <w:ilvl w:val="0"/>
          <w:numId w:val="2"/>
        </w:numPr>
      </w:pPr>
      <w:r>
        <w:t xml:space="preserve">Empoderante pero realista</w:t>
      </w:r>
    </w:p>
    <w:p>
      <w:pPr>
        <w:pStyle w:val="ListParagraph"/>
        <w:numPr>
          <w:ilvl w:val="0"/>
          <w:numId w:val="2"/>
        </w:numPr>
      </w:pPr>
      <w:r>
        <w:t xml:space="preserve">Directo y transparente</w:t>
      </w:r>
    </w:p>
    <w:p>
      <w:pPr>
        <w:pStyle w:val="ListParagraph"/>
        <w:numPr>
          <w:ilvl w:val="0"/>
          <w:numId w:val="2"/>
        </w:numPr>
      </w:pPr>
      <w:r>
        <w:t xml:space="preserve">Aspiracional basado en capacidad</w:t>
      </w:r>
    </w:p>
    <w:p>
      <w:pPr>
        <w:pStyle w:val="ListParagraph"/>
        <w:numPr>
          <w:ilvl w:val="0"/>
          <w:numId w:val="2"/>
        </w:numPr>
      </w:pPr>
      <w:r>
        <w:t xml:space="preserve">Cercano y accesible (tú, no usted)</w:t>
      </w:r>
    </w:p>
    <w:p>
      <w:pPr>
        <w:pStyle w:val="Heading2"/>
        <w:spacing w:before="360"/>
      </w:pPr>
      <w:r>
        <w:t xml:space="preserve">Guías de Tono</w:t>
      </w:r>
    </w:p>
    <w:p>
      <w:pPr>
        <w:spacing w:before="120"/>
      </w:pPr>
      <w:r>
        <w:rPr>
          <w:b/>
          <w:bCs/>
        </w:rPr>
        <w:t xml:space="preserve">Marketing y Adquisición:</w:t>
      </w:r>
    </w:p>
    <w:p>
      <w:pPr>
        <w:spacing w:after="120"/>
      </w:pPr>
      <w:r>
        <w:t xml:space="preserve">Audaz, enfocado en resultados, abordando puntos de dolor directamente. Enfatizar transformación y resultados profesionales.</w:t>
      </w:r>
    </w:p>
    <w:p>
      <w:r>
        <w:rPr>
          <w:b/>
          <w:bCs/>
        </w:rPr>
        <w:t xml:space="preserve">Contenido Educativo:</w:t>
      </w:r>
    </w:p>
    <w:p>
      <w:pPr>
        <w:spacing w:after="120"/>
      </w:pPr>
      <w:r>
        <w:t xml:space="preserve">Claro, estructurado, de apoyo. Dividir temas complejos en pasos accionables.</w:t>
      </w:r>
    </w:p>
    <w:p>
      <w:r>
        <w:rPr>
          <w:b/>
          <w:bCs/>
        </w:rPr>
        <w:t xml:space="preserve">Compromiso Comunitario:</w:t>
      </w:r>
    </w:p>
    <w:p>
      <w:pPr>
        <w:spacing w:after="120"/>
      </w:pPr>
      <w:r>
        <w:t xml:space="preserve">Colaborativo, alentador, celebrando victorias. Fomentar aprendizaje entre pares.</w:t>
      </w:r>
    </w:p>
    <w:p>
      <w:pPr>
        <w:pStyle w:val="Heading3"/>
        <w:spacing w:before="240"/>
      </w:pPr>
      <w:r>
        <w:t xml:space="preserve">Lenguaje que Usamos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Avanza tu carrera → No 'cambia tu vida'</w:t>
      </w:r>
    </w:p>
    <w:p>
      <w:pPr>
        <w:pStyle w:val="ListParagraph"/>
        <w:numPr>
          <w:ilvl w:val="0"/>
          <w:numId w:val="2"/>
        </w:numPr>
      </w:pPr>
      <w:r>
        <w:t xml:space="preserve">Habilidades prácticas → No 'teoría' o 'certificación'</w:t>
      </w:r>
    </w:p>
    <w:p>
      <w:pPr>
        <w:pStyle w:val="ListParagraph"/>
        <w:numPr>
          <w:ilvl w:val="0"/>
          <w:numId w:val="2"/>
        </w:numPr>
      </w:pPr>
      <w:r>
        <w:t xml:space="preserve">Expertos profesionales → No 'profesores' o 'académicos'</w:t>
      </w:r>
    </w:p>
    <w:p>
      <w:pPr>
        <w:pStyle w:val="ListParagraph"/>
        <w:numPr>
          <w:ilvl w:val="0"/>
          <w:numId w:val="2"/>
        </w:numPr>
      </w:pPr>
      <w:r>
        <w:t xml:space="preserve">Aprendizaje en cohorte → No 'cursos a tu ritmo'</w:t>
      </w:r>
    </w:p>
    <w:p>
      <w:pPr>
        <w:pStyle w:val="ListParagraph"/>
        <w:numPr>
          <w:ilvl w:val="0"/>
          <w:numId w:val="2"/>
        </w:numPr>
      </w:pPr>
      <w:r>
        <w:t xml:space="preserve">Resultados profesionales → No 'certificados de finalización'</w:t>
      </w:r>
    </w:p>
    <w:p>
      <w:pPr>
        <w:pStyle w:val="ListParagraph"/>
        <w:numPr>
          <w:ilvl w:val="0"/>
          <w:numId w:val="2"/>
        </w:numPr>
      </w:pPr>
      <w:r>
        <w:t xml:space="preserve">Comunidad hispanohablante → No 'Latinoamérica' (muy amplio)</w:t>
      </w:r>
    </w:p>
    <w:p>
      <w:r>
        <w:br w:type="page"/>
      </w:r>
    </w:p>
    <w:p>
      <w:pPr>
        <w:pStyle w:val="Heading1"/>
      </w:pPr>
      <w:r>
        <w:t xml:space="preserve">Lineamientos de Redes Sociales</w:t>
      </w:r>
    </w:p>
    <w:p>
      <w:pPr>
        <w:pStyle w:val="Heading2"/>
      </w:pPr>
      <w:r>
        <w:t xml:space="preserve">Estándares Visuales</w:t>
      </w:r>
    </w:p>
    <w:p>
      <w:pPr>
        <w:pStyle w:val="ListParagraph"/>
        <w:numPr>
          <w:ilvl w:val="0"/>
          <w:numId w:val="2"/>
        </w:numPr>
      </w:pPr>
      <w:r>
        <w:t xml:space="preserve">Formato principal: Gráficos de citas, historias de éxito de estudiantes, desglose de habilidades</w:t>
      </w:r>
    </w:p>
    <w:p>
      <w:pPr>
        <w:pStyle w:val="ListParagraph"/>
        <w:numPr>
          <w:ilvl w:val="0"/>
          <w:numId w:val="2"/>
        </w:numPr>
      </w:pPr>
      <w:r>
        <w:t xml:space="preserve">Tratamiento de color: Fondos azul marino con destacados púrpura/turquesa</w:t>
      </w:r>
    </w:p>
    <w:p>
      <w:pPr>
        <w:pStyle w:val="ListParagraph"/>
        <w:numPr>
          <w:ilvl w:val="0"/>
          <w:numId w:val="2"/>
        </w:numPr>
      </w:pPr>
      <w:r>
        <w:t xml:space="preserve">Tipografía: Titulares grandes (Inter Bold), copia del cuerpo mínima</w:t>
      </w:r>
    </w:p>
    <w:p>
      <w:pPr>
        <w:pStyle w:val="ListParagraph"/>
        <w:numPr>
          <w:ilvl w:val="0"/>
          <w:numId w:val="2"/>
        </w:numPr>
      </w:pPr>
      <w:r>
        <w:t xml:space="preserve">Fotografía: Profesionales trabajando, oficinas modernas, diversidad LATAM</w:t>
      </w:r>
    </w:p>
    <w:p>
      <w:pPr>
        <w:pStyle w:val="ListParagraph"/>
        <w:numPr>
          <w:ilvl w:val="0"/>
          <w:numId w:val="2"/>
        </w:numPr>
      </w:pPr>
      <w:r>
        <w:t xml:space="preserve">Siempre incluir logo sutil (esquina inferior derecha)</w:t>
      </w:r>
    </w:p>
    <w:p>
      <w:pPr>
        <w:pStyle w:val="Heading2"/>
        <w:spacing w:before="360"/>
      </w:pPr>
      <w:r>
        <w:t xml:space="preserve">Formatos Específicos por Plataforma</w:t>
      </w:r>
    </w:p>
    <w:p>
      <w:pPr>
        <w:spacing w:before="120"/>
      </w:pPr>
      <w:r>
        <w:rPr>
          <w:b/>
          <w:bCs/>
        </w:rPr>
        <w:t xml:space="preserve">LinkedIn:</w:t>
      </w:r>
    </w:p>
    <w:p>
      <w:pPr>
        <w:pStyle w:val="ListParagraph"/>
        <w:numPr>
          <w:ilvl w:val="0"/>
          <w:numId w:val="2"/>
        </w:numPr>
      </w:pPr>
      <w:r>
        <w:t xml:space="preserve">Posts carrusel 1200x628px</w:t>
      </w:r>
    </w:p>
    <w:p>
      <w:pPr>
        <w:pStyle w:val="ListParagraph"/>
        <w:numPr>
          <w:ilvl w:val="0"/>
          <w:numId w:val="2"/>
        </w:numPr>
      </w:pPr>
      <w:r>
        <w:t xml:space="preserve">Consejos de desarrollo profesional, insights de industria, resultados de estudiantes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Frecuencia: 5x/semana</w:t>
      </w:r>
    </w:p>
    <w:p>
      <w:r>
        <w:rPr>
          <w:b/>
          <w:bCs/>
        </w:rPr>
        <w:t xml:space="preserve">Instagram:</w:t>
      </w:r>
    </w:p>
    <w:p>
      <w:pPr>
        <w:pStyle w:val="ListParagraph"/>
        <w:numPr>
          <w:ilvl w:val="0"/>
          <w:numId w:val="2"/>
        </w:numPr>
      </w:pPr>
      <w:r>
        <w:t xml:space="preserve">1080x1080px feed, 1080x1920px stories</w:t>
      </w:r>
    </w:p>
    <w:p>
      <w:pPr>
        <w:pStyle w:val="ListParagraph"/>
        <w:numPr>
          <w:ilvl w:val="0"/>
          <w:numId w:val="2"/>
        </w:numPr>
      </w:pPr>
      <w:r>
        <w:t xml:space="preserve">Detrás de escenas, consejos rápidos, destacados de estudiantes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Frecuencia: 3x/semana + stories diarias</w:t>
      </w:r>
    </w:p>
    <w:p>
      <w:r>
        <w:rPr>
          <w:b/>
          <w:bCs/>
        </w:rPr>
        <w:t xml:space="preserve">Twitter/X:</w:t>
      </w:r>
    </w:p>
    <w:p>
      <w:pPr>
        <w:pStyle w:val="ListParagraph"/>
        <w:numPr>
          <w:ilvl w:val="0"/>
          <w:numId w:val="2"/>
        </w:numPr>
      </w:pPr>
      <w:r>
        <w:t xml:space="preserve">1200x675px imágenes</w:t>
      </w:r>
    </w:p>
    <w:p>
      <w:pPr>
        <w:pStyle w:val="ListParagraph"/>
        <w:numPr>
          <w:ilvl w:val="0"/>
          <w:numId w:val="2"/>
        </w:numPr>
      </w:pPr>
      <w:r>
        <w:t xml:space="preserve">Noticias de industria, liderazgo de pensamiento, hilos de habilidades</w:t>
      </w:r>
    </w:p>
    <w:p>
      <w:pPr>
        <w:pStyle w:val="ListParagraph"/>
        <w:numPr>
          <w:ilvl w:val="0"/>
          <w:numId w:val="2"/>
        </w:numPr>
      </w:pPr>
      <w:r>
        <w:t xml:space="preserve">Frecuencia: Diaria + engagement</w:t>
      </w:r>
    </w:p>
    <w:p>
      <w:pPr>
        <w:pStyle w:val="Heading3"/>
        <w:spacing w:before="360"/>
      </w:pPr>
      <w:r>
        <w:t xml:space="preserve">Pilares de Contenido</w:t>
      </w:r>
    </w:p>
    <w:p>
      <w:pPr>
        <w:pStyle w:val="ListParagraph"/>
        <w:numPr>
          <w:ilvl w:val="0"/>
          <w:numId w:val="2"/>
        </w:numPr>
      </w:pPr>
      <w:r>
        <w:t xml:space="preserve">40% Educacional (consejos de habilidades, marcos, cómo hacer)</w:t>
      </w:r>
    </w:p>
    <w:p>
      <w:pPr>
        <w:pStyle w:val="ListParagraph"/>
        <w:numPr>
          <w:ilvl w:val="0"/>
          <w:numId w:val="2"/>
        </w:numPr>
      </w:pPr>
      <w:r>
        <w:t xml:space="preserve">30% Inspiracional (historias de éxito, victorias profesionales)</w:t>
      </w:r>
    </w:p>
    <w:p>
      <w:pPr>
        <w:pStyle w:val="ListParagraph"/>
        <w:numPr>
          <w:ilvl w:val="0"/>
          <w:numId w:val="2"/>
        </w:numPr>
      </w:pPr>
      <w:r>
        <w:t xml:space="preserve">20% Comunidad (destacados de estudiantes, discusiones)</w:t>
      </w:r>
    </w:p>
    <w:p>
      <w:pPr>
        <w:pStyle w:val="ListParagraph"/>
        <w:numPr>
          <w:ilvl w:val="0"/>
          <w:numId w:val="2"/>
        </w:numPr>
      </w:pPr>
      <w:r>
        <w:t xml:space="preserve">10% Promocional (lanzamientos de cursos, ofertas)</w:t>
      </w:r>
    </w:p>
    <w:p>
      <w:r>
        <w:br w:type="page"/>
      </w:r>
    </w:p>
    <w:p>
      <w:pPr>
        <w:pStyle w:val="Heading1"/>
      </w:pPr>
      <w:r>
        <w:t xml:space="preserve">Diseño de Email Marketing</w:t>
      </w:r>
    </w:p>
    <w:p>
      <w:pPr>
        <w:pStyle w:val="Heading2"/>
      </w:pPr>
      <w:r>
        <w:t xml:space="preserve">Estructura de Plantilla</w:t>
      </w:r>
    </w:p>
    <w:p>
      <w:pPr>
        <w:pStyle w:val="ListParagraph"/>
        <w:numPr>
          <w:ilvl w:val="0"/>
          <w:numId w:val="2"/>
        </w:numPr>
      </w:pPr>
      <w:r>
        <w:t xml:space="preserve">Ancho: Máximo 600px</w:t>
      </w:r>
    </w:p>
    <w:p>
      <w:pPr>
        <w:pStyle w:val="ListParagraph"/>
        <w:numPr>
          <w:ilvl w:val="0"/>
          <w:numId w:val="2"/>
        </w:numPr>
      </w:pPr>
      <w:r>
        <w:t xml:space="preserve">Header: Logo + tagline (80px altura)</w:t>
      </w:r>
    </w:p>
    <w:p>
      <w:pPr>
        <w:pStyle w:val="ListParagraph"/>
        <w:numPr>
          <w:ilvl w:val="0"/>
          <w:numId w:val="2"/>
        </w:numPr>
      </w:pPr>
      <w:r>
        <w:t xml:space="preserve">Sección hero: Imagen ancho completo o degradado (300px)</w:t>
      </w:r>
    </w:p>
    <w:p>
      <w:pPr>
        <w:pStyle w:val="ListParagraph"/>
        <w:numPr>
          <w:ilvl w:val="0"/>
          <w:numId w:val="2"/>
        </w:numPr>
      </w:pPr>
      <w:r>
        <w:t xml:space="preserve">Cuerpo: 40px padding, columna única, alineado a izquierda</w:t>
      </w:r>
    </w:p>
    <w:p>
      <w:pPr>
        <w:pStyle w:val="ListParagraph"/>
        <w:numPr>
          <w:ilvl w:val="0"/>
          <w:numId w:val="2"/>
        </w:numPr>
      </w:pPr>
      <w:r>
        <w:t xml:space="preserve">Botones CTA: 48px altura, fondo púrpura, texto blanco</w:t>
      </w:r>
    </w:p>
    <w:p>
      <w:pPr>
        <w:pStyle w:val="ListParagraph"/>
        <w:numPr>
          <w:ilvl w:val="0"/>
          <w:numId w:val="2"/>
        </w:numPr>
      </w:pPr>
      <w:r>
        <w:t xml:space="preserve">Footer: Íconos sociales, cancelar suscripción, dirección</w:t>
      </w:r>
    </w:p>
    <w:p>
      <w:pPr>
        <w:pStyle w:val="Heading2"/>
        <w:spacing w:before="360"/>
      </w:pPr>
      <w:r>
        <w:t xml:space="preserve">Tipos de Email</w:t>
      </w:r>
    </w:p>
    <w:p>
      <w:pPr>
        <w:spacing w:before="120"/>
      </w:pPr>
      <w:r>
        <w:rPr>
          <w:b/>
          <w:bCs/>
        </w:rPr>
        <w:t xml:space="preserve">Serie de Bienvenida (3 emails):</w:t>
      </w:r>
    </w:p>
    <w:p>
      <w:pPr>
        <w:pStyle w:val="ListParagraph"/>
        <w:numPr>
          <w:ilvl w:val="0"/>
          <w:numId w:val="2"/>
        </w:numPr>
      </w:pPr>
      <w:r>
        <w:t xml:space="preserve">Email 1: Bienvenida + resumen de plataforma + primera acción</w:t>
      </w:r>
    </w:p>
    <w:p>
      <w:pPr>
        <w:pStyle w:val="ListParagraph"/>
        <w:numPr>
          <w:ilvl w:val="0"/>
          <w:numId w:val="2"/>
        </w:numPr>
      </w:pPr>
      <w:r>
        <w:t xml:space="preserve">Email 2: Cómo elegir tu primer curso + historia de éxito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 3: Conoce tu cohorte + características de comunidad</w:t>
      </w:r>
    </w:p>
    <w:p>
      <w:r>
        <w:rPr>
          <w:b/>
          <w:bCs/>
        </w:rPr>
        <w:t xml:space="preserve">Newsletter Semanal:</w:t>
      </w:r>
    </w:p>
    <w:p>
      <w:pPr>
        <w:pStyle w:val="ListParagraph"/>
        <w:numPr>
          <w:ilvl w:val="0"/>
          <w:numId w:val="2"/>
        </w:numPr>
      </w:pPr>
      <w:r>
        <w:t xml:space="preserve">Asunto: Tendencia de industria o destacado de habilidad</w:t>
      </w:r>
    </w:p>
    <w:p>
      <w:pPr>
        <w:pStyle w:val="ListParagraph"/>
        <w:numPr>
          <w:ilvl w:val="0"/>
          <w:numId w:val="2"/>
        </w:numPr>
      </w:pPr>
      <w:r>
        <w:t xml:space="preserve">Contenido: 1 artículo destacado, 2-3 consejos rápidos, próximos cursos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CTA: Explorar cursos o unirse a discusión comunitaria</w:t>
      </w:r>
    </w:p>
    <w:p>
      <w:r>
        <w:rPr>
          <w:b/>
          <w:bCs/>
        </w:rPr>
        <w:t xml:space="preserve">Lanzamiento de Curso:</w:t>
      </w:r>
    </w:p>
    <w:p>
      <w:pPr>
        <w:pStyle w:val="ListParagraph"/>
        <w:numPr>
          <w:ilvl w:val="0"/>
          <w:numId w:val="2"/>
        </w:numPr>
      </w:pPr>
      <w:r>
        <w:t xml:space="preserve">Hero: Foto del instructor + título del curso</w:t>
      </w:r>
    </w:p>
    <w:p>
      <w:pPr>
        <w:pStyle w:val="ListParagraph"/>
        <w:numPr>
          <w:ilvl w:val="0"/>
          <w:numId w:val="2"/>
        </w:numPr>
      </w:pPr>
      <w:r>
        <w:t xml:space="preserve">Cuerpo: Declaración del problema → Solución → Qué aprenderás → Credenciales del instructor</w:t>
      </w:r>
    </w:p>
    <w:p>
      <w:pPr>
        <w:pStyle w:val="ListParagraph"/>
        <w:numPr>
          <w:ilvl w:val="0"/>
          <w:numId w:val="2"/>
        </w:numPr>
      </w:pPr>
      <w:r>
        <w:t xml:space="preserve">CTA: Reserva tu lugar (crear urgencia con tamaño cohorte/fecha límite)</w:t>
      </w:r>
    </w:p>
    <w:p>
      <w:pPr>
        <w:pStyle w:val="Heading3"/>
        <w:spacing w:before="360"/>
      </w:pPr>
      <w:r>
        <w:t xml:space="preserve">Guías de Diseño</w:t>
      </w:r>
    </w:p>
    <w:p>
      <w:pPr>
        <w:pStyle w:val="ListParagraph"/>
        <w:numPr>
          <w:ilvl w:val="0"/>
          <w:numId w:val="2"/>
        </w:numPr>
      </w:pPr>
      <w:r>
        <w:t xml:space="preserve">Titulares: 28px Inter Bold, Azul Marino</w:t>
      </w:r>
    </w:p>
    <w:p>
      <w:pPr>
        <w:pStyle w:val="ListParagraph"/>
        <w:numPr>
          <w:ilvl w:val="0"/>
          <w:numId w:val="2"/>
        </w:numPr>
      </w:pPr>
      <w:r>
        <w:t xml:space="preserve">Cuerpo: 16px Inter Regular, Carbón, 1.6 altura de línea</w:t>
      </w:r>
    </w:p>
    <w:p>
      <w:pPr>
        <w:pStyle w:val="ListParagraph"/>
        <w:numPr>
          <w:ilvl w:val="0"/>
          <w:numId w:val="2"/>
        </w:numPr>
      </w:pPr>
      <w:r>
        <w:t xml:space="preserve">Botones: 16px Inter SemiBold, 16px padding, 4px border-radius</w:t>
      </w:r>
    </w:p>
    <w:p>
      <w:pPr>
        <w:pStyle w:val="ListParagraph"/>
        <w:numPr>
          <w:ilvl w:val="0"/>
          <w:numId w:val="2"/>
        </w:numPr>
      </w:pPr>
      <w:r>
        <w:t xml:space="preserve">Espacio en blanco: Generoso (24px mínimo entre secciones)</w:t>
      </w:r>
    </w:p>
    <w:p>
      <w:pPr>
        <w:pStyle w:val="ListParagraph"/>
        <w:numPr>
          <w:ilvl w:val="0"/>
          <w:numId w:val="2"/>
        </w:numPr>
      </w:pPr>
      <w:r>
        <w:t xml:space="preserve">Móvil: Apilar todos elementos en columna única, aumentar objetivos táctiles a 44px</w:t>
      </w:r>
    </w:p>
    <w:p>
      <w:r>
        <w:br w:type="page"/>
      </w:r>
    </w:p>
    <w:p>
      <w:pPr>
        <w:pStyle w:val="Heading1"/>
      </w:pPr>
      <w:r>
        <w:t xml:space="preserve">Estrategia de Marketing</w:t>
      </w:r>
    </w:p>
    <w:p>
      <w:pPr>
        <w:pStyle w:val="Heading2"/>
      </w:pPr>
      <w:r>
        <w:t xml:space="preserve">Marco de Mensajería Central</w:t>
      </w:r>
    </w:p>
    <w:p>
      <w:pPr>
        <w:spacing w:before="120"/>
      </w:pPr>
      <w:r>
        <w:rPr>
          <w:b/>
          <w:bCs/>
        </w:rPr>
        <w:t xml:space="preserve">Gancho Principal:</w:t>
      </w:r>
    </w:p>
    <w:p>
      <w:pPr>
        <w:spacing w:after="240"/>
      </w:pPr>
      <w:r>
        <w:rPr>
          <w:i/>
          <w:iCs/>
        </w:rPr>
        <w:t xml:space="preserve">"Deja de coleccionar certificados. Empieza a construir carreras."</w:t>
      </w:r>
    </w:p>
    <w:p>
      <w:r>
        <w:rPr>
          <w:b/>
          <w:bCs/>
        </w:rPr>
        <w:t xml:space="preserve">Puntos de Apoyo:</w:t>
      </w:r>
    </w:p>
    <w:p>
      <w:pPr>
        <w:pStyle w:val="ListParagraph"/>
        <w:numPr>
          <w:ilvl w:val="0"/>
          <w:numId w:val="2"/>
        </w:numPr>
      </w:pPr>
      <w:r>
        <w:t xml:space="preserve">Aprende de profesionales, no de académicos</w:t>
      </w:r>
    </w:p>
    <w:p>
      <w:pPr>
        <w:pStyle w:val="ListParagraph"/>
        <w:numPr>
          <w:ilvl w:val="0"/>
          <w:numId w:val="2"/>
        </w:numPr>
      </w:pPr>
      <w:r>
        <w:t xml:space="preserve">Responsabilidad de cohorte &gt; procrastinación a tu ritmo</w:t>
      </w:r>
    </w:p>
    <w:p>
      <w:pPr>
        <w:pStyle w:val="ListParagraph"/>
        <w:numPr>
          <w:ilvl w:val="0"/>
          <w:numId w:val="2"/>
        </w:numPr>
      </w:pPr>
      <w:r>
        <w:t xml:space="preserve">Proyectos reales &gt; asignaciones teóricas</w:t>
      </w:r>
    </w:p>
    <w:p>
      <w:pPr>
        <w:pStyle w:val="ListParagraph"/>
        <w:numPr>
          <w:ilvl w:val="0"/>
          <w:numId w:val="2"/>
        </w:numPr>
      </w:pPr>
      <w:r>
        <w:t xml:space="preserve">Resultados profesionales &gt; tasas de finalización</w:t>
      </w:r>
    </w:p>
    <w:p>
      <w:pPr>
        <w:pStyle w:val="ListParagraph"/>
        <w:numPr>
          <w:ilvl w:val="0"/>
          <w:numId w:val="2"/>
        </w:numPr>
      </w:pPr>
      <w:r>
        <w:t xml:space="preserve">En español para hispanohablantes &gt; traducción automática</w:t>
      </w:r>
    </w:p>
    <w:p>
      <w:pPr>
        <w:pStyle w:val="Heading2"/>
        <w:spacing w:before="360"/>
      </w:pPr>
      <w:r>
        <w:t xml:space="preserve">Canales de Adquisición</w:t>
      </w:r>
    </w:p>
    <w:p>
      <w:pPr>
        <w:spacing w:before="120"/>
      </w:pPr>
      <w:r>
        <w:rPr>
          <w:b/>
          <w:bCs/>
        </w:rPr>
        <w:t xml:space="preserve">1. Publicidad en LinkedIn (Primario - 40%):</w:t>
      </w:r>
    </w:p>
    <w:p>
      <w:pPr>
        <w:pStyle w:val="ListParagraph"/>
        <w:numPr>
          <w:ilvl w:val="0"/>
          <w:numId w:val="2"/>
        </w:numPr>
      </w:pPr>
      <w:r>
        <w:t xml:space="preserve">Target: Títulos de trabajo, industrias, países LATAM</w:t>
      </w:r>
    </w:p>
    <w:p>
      <w:pPr>
        <w:pStyle w:val="ListParagraph"/>
        <w:numPr>
          <w:ilvl w:val="0"/>
          <w:numId w:val="2"/>
        </w:numPr>
      </w:pPr>
      <w:r>
        <w:t xml:space="preserve">Creativo: Anuncios carrusel mostrando transformaciones profesionales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Presupuesto: $15K/mes USD</w:t>
      </w:r>
    </w:p>
    <w:p>
      <w:r>
        <w:rPr>
          <w:b/>
          <w:bCs/>
        </w:rPr>
        <w:t xml:space="preserve">2. SEO y Marketing de Contenido (30%):</w:t>
      </w:r>
    </w:p>
    <w:p>
      <w:pPr>
        <w:pStyle w:val="ListParagraph"/>
        <w:numPr>
          <w:ilvl w:val="0"/>
          <w:numId w:val="2"/>
        </w:numPr>
      </w:pPr>
      <w:r>
        <w:t xml:space="preserve">Keywords: 'cómo convertirse en [rol]', 'mejores cursos de [habilidad]'</w:t>
      </w:r>
    </w:p>
    <w:p>
      <w:pPr>
        <w:pStyle w:val="ListParagraph"/>
        <w:numPr>
          <w:ilvl w:val="0"/>
          <w:numId w:val="2"/>
        </w:numPr>
      </w:pPr>
      <w:r>
        <w:t xml:space="preserve">Tipos de contenido: Guías de carrera, evaluaciones de habilidades, investigación salarial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Objetivo: Posicionar en keywords de desarrollo profesional para LATAM</w:t>
      </w:r>
    </w:p>
    <w:p>
      <w:r>
        <w:rPr>
          <w:b/>
          <w:bCs/>
        </w:rPr>
        <w:t xml:space="preserve">3. Red de Socios (20%):</w:t>
      </w:r>
    </w:p>
    <w:p>
      <w:pPr>
        <w:pStyle w:val="ListParagraph"/>
        <w:numPr>
          <w:ilvl w:val="0"/>
          <w:numId w:val="2"/>
        </w:numPr>
      </w:pPr>
      <w:r>
        <w:t xml:space="preserve">Coaches de carrera y consultores (modelo de afiliados)</w:t>
      </w:r>
    </w:p>
    <w:p>
      <w:pPr>
        <w:pStyle w:val="ListParagraph"/>
        <w:numPr>
          <w:ilvl w:val="0"/>
          <w:numId w:val="2"/>
        </w:numPr>
      </w:pPr>
      <w:r>
        <w:t xml:space="preserve">Asociaciones profesionales (cohortes co-branded)</w:t>
      </w:r>
    </w:p>
    <w:p>
      <w:pPr>
        <w:pStyle w:val="ListParagraph"/>
        <w:numPr>
          <w:ilvl w:val="0"/>
          <w:numId w:val="2"/>
        </w:numPr>
      </w:pPr>
      <w:r>
        <w:t xml:space="preserve">Departamentos L&amp;D corporativos (track B2B enterprise)</w:t>
      </w:r>
    </w:p>
    <w:p>
      <w:pPr>
        <w:pStyle w:val="Heading2"/>
        <w:spacing w:before="360"/>
      </w:pPr>
      <w:r>
        <w:t xml:space="preserve">Optimización de Conversión</w:t>
      </w:r>
    </w:p>
    <w:p>
      <w:pPr>
        <w:spacing w:before="120"/>
      </w:pPr>
      <w:r>
        <w:rPr>
          <w:b/>
          <w:bCs/>
        </w:rPr>
        <w:t xml:space="preserve">Elementos de Landing Page:</w:t>
      </w:r>
    </w:p>
    <w:p>
      <w:pPr>
        <w:pStyle w:val="ListParagraph"/>
        <w:numPr>
          <w:ilvl w:val="0"/>
          <w:numId w:val="2"/>
        </w:numPr>
      </w:pPr>
      <w:r>
        <w:t xml:space="preserve">Above fold: Titular del problema + video testimonial + CTA</w:t>
      </w:r>
    </w:p>
    <w:p>
      <w:pPr>
        <w:pStyle w:val="ListParagraph"/>
        <w:numPr>
          <w:ilvl w:val="0"/>
          <w:numId w:val="2"/>
        </w:numPr>
      </w:pPr>
      <w:r>
        <w:t xml:space="preserve">Señales de confianza: Datos de resultados, logos de empleadores, credenciales instructores</w:t>
      </w:r>
    </w:p>
    <w:p>
      <w:pPr>
        <w:pStyle w:val="ListParagraph"/>
        <w:numPr>
          <w:ilvl w:val="0"/>
          <w:numId w:val="2"/>
        </w:numPr>
      </w:pPr>
      <w:r>
        <w:t xml:space="preserve">Urgencia: Cuenta regresiva inicio cohorte, mensajería de cupos limitados</w:t>
      </w:r>
    </w:p>
    <w:p>
      <w:pPr>
        <w:pStyle w:val="ListParagraph"/>
        <w:numPr>
          <w:ilvl w:val="0"/>
          <w:numId w:val="2"/>
        </w:numPr>
      </w:pPr>
      <w:r>
        <w:t xml:space="preserve">Prueba social: Notificaciones de inscripciones recientes, tamaño de comunidad</w:t>
      </w:r>
    </w:p>
    <w:p>
      <w:pPr>
        <w:pStyle w:val="ListParagraph"/>
        <w:numPr>
          <w:ilvl w:val="0"/>
          <w:numId w:val="2"/>
        </w:numPr>
      </w:pPr>
      <w:r>
        <w:t xml:space="preserve">Sección FAQ: Abordar compromiso de tiempo, ROI, preocupaciones de garantía laboral</w:t>
      </w:r>
    </w:p>
    <w:p>
      <w:pPr>
        <w:spacing w:before="240"/>
      </w:pPr>
      <w:r>
        <w:rPr>
          <w:b/>
          <w:bCs/>
        </w:rPr>
        <w:t xml:space="preserve">Psicología de Precios:</w:t>
      </w:r>
    </w:p>
    <w:p>
      <w:pPr>
        <w:pStyle w:val="ListParagraph"/>
        <w:numPr>
          <w:ilvl w:val="0"/>
          <w:numId w:val="2"/>
        </w:numPr>
      </w:pPr>
      <w:r>
        <w:t xml:space="preserve">Enmarcar como inversión vs. gasto (comparar con bootcamps, programas MBA)</w:t>
      </w:r>
    </w:p>
    <w:p>
      <w:pPr>
        <w:pStyle w:val="ListParagraph"/>
        <w:numPr>
          <w:ilvl w:val="0"/>
          <w:numId w:val="2"/>
        </w:numPr>
      </w:pPr>
      <w:r>
        <w:t xml:space="preserve">Planes de pago: Cuotas mensuales para reducir barrera (adaptado a economías LATAM)</w:t>
      </w:r>
    </w:p>
    <w:p>
      <w:pPr>
        <w:pStyle w:val="ListParagraph"/>
        <w:numPr>
          <w:ilvl w:val="0"/>
          <w:numId w:val="2"/>
        </w:numPr>
      </w:pPr>
      <w:r>
        <w:t xml:space="preserve">Garantía: Completa primera semana, reembolso completo si no estás satisfecho</w:t>
      </w:r>
    </w:p>
    <w:p>
      <w:pPr>
        <w:pStyle w:val="Heading2"/>
        <w:spacing w:before="360"/>
      </w:pPr>
      <w:r>
        <w:t xml:space="preserve">Retención y Advocacy</w:t>
      </w:r>
    </w:p>
    <w:p>
      <w:pPr>
        <w:spacing w:before="120"/>
      </w:pPr>
      <w:r>
        <w:rPr>
          <w:b/>
          <w:bCs/>
        </w:rPr>
        <w:t xml:space="preserve">Engagement Comunitario:</w:t>
      </w:r>
    </w:p>
    <w:p>
      <w:pPr>
        <w:pStyle w:val="ListParagraph"/>
        <w:numPr>
          <w:ilvl w:val="0"/>
          <w:numId w:val="2"/>
        </w:numPr>
      </w:pPr>
      <w:r>
        <w:t xml:space="preserve">Q&amp;A en vivo semanal con instructores</w:t>
      </w:r>
    </w:p>
    <w:p>
      <w:pPr>
        <w:pStyle w:val="ListParagraph"/>
        <w:numPr>
          <w:ilvl w:val="0"/>
          <w:numId w:val="2"/>
        </w:numPr>
      </w:pPr>
      <w:r>
        <w:t xml:space="preserve">Pods de responsabilidad entre pares (3-5 estudiantes)</w:t>
      </w:r>
    </w:p>
    <w:p>
      <w:pPr>
        <w:pStyle w:val="ListParagraph"/>
        <w:numPr>
          <w:ilvl w:val="0"/>
          <w:numId w:val="2"/>
        </w:numPr>
      </w:pPr>
      <w:r>
        <w:t xml:space="preserve">Red de alumni con bolsa de trabajo exclusiva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Desafíos mensuales de habilidades con reconocimiento</w:t>
      </w:r>
    </w:p>
    <w:p>
      <w:r>
        <w:rPr>
          <w:b/>
          <w:bCs/>
        </w:rPr>
        <w:t xml:space="preserve">Programa de Referidos:</w:t>
      </w:r>
    </w:p>
    <w:p>
      <w:pPr>
        <w:pStyle w:val="ListParagraph"/>
        <w:numPr>
          <w:ilvl w:val="0"/>
          <w:numId w:val="2"/>
        </w:numPr>
      </w:pPr>
      <w:r>
        <w:t xml:space="preserve">Da $100, recibe $100 crédito (ambas partes)</w:t>
      </w:r>
    </w:p>
    <w:p>
      <w:pPr>
        <w:pStyle w:val="ListParagraph"/>
        <w:numPr>
          <w:ilvl w:val="0"/>
          <w:numId w:val="2"/>
        </w:numPr>
      </w:pPr>
      <w:r>
        <w:t xml:space="preserve">Referidos ilimitados, créditos se acumulan</w:t>
      </w:r>
    </w:p>
    <w:p>
      <w:pPr>
        <w:pStyle w:val="ListParagraph"/>
        <w:numPr>
          <w:ilvl w:val="0"/>
          <w:numId w:val="2"/>
        </w:numPr>
      </w:pPr>
      <w:r>
        <w:t xml:space="preserve">Estatus VIP con 5+ referidos (acceso anticipado, descuentos)</w:t>
      </w:r>
    </w:p>
    <w:p>
      <w:r>
        <w:br w:type="page"/>
      </w:r>
    </w:p>
    <w:p>
      <w:pPr>
        <w:pStyle w:val="Heading1"/>
      </w:pPr>
      <w:r>
        <w:t xml:space="preserve">Notas de Implementación</w:t>
      </w:r>
    </w:p>
    <w:p>
      <w:pPr>
        <w:spacing w:before="120" w:after="240"/>
      </w:pPr>
      <w:r>
        <w:t xml:space="preserve">Este rebrand transiciona de CogniMight.com (aprendizaje de inglés para niños) a CogniBoost.co (desarrollo profesional para adultos). El cambio reconoce la evolución de 'potencial de conocimiento' a 'elevación profesional' enfocado en el mercado hispanohablante.</w:t>
      </w:r>
    </w:p>
    <w:p>
      <w:pPr>
        <w:pStyle w:val="Heading2"/>
      </w:pPr>
      <w:r>
        <w:t xml:space="preserve">Elementos de Continuidad de Marca</w:t>
      </w:r>
    </w:p>
    <w:p>
      <w:pPr>
        <w:pStyle w:val="ListParagraph"/>
        <w:numPr>
          <w:ilvl w:val="0"/>
          <w:numId w:val="2"/>
        </w:numPr>
      </w:pPr>
      <w:r>
        <w:t xml:space="preserve">Prefijo 'Cogni' mantiene reconocimiento de nombre</w:t>
      </w:r>
    </w:p>
    <w:p>
      <w:pPr>
        <w:pStyle w:val="ListParagraph"/>
        <w:numPr>
          <w:ilvl w:val="0"/>
          <w:numId w:val="2"/>
        </w:numPr>
      </w:pPr>
      <w:r>
        <w:t xml:space="preserve">Enfoque comunitario se mantiene de la misión original</w:t>
      </w:r>
    </w:p>
    <w:p>
      <w:pPr>
        <w:pStyle w:val="ListParagraph"/>
        <w:numPr>
          <w:ilvl w:val="0"/>
          <w:numId w:val="2"/>
        </w:numPr>
      </w:pPr>
      <w:r>
        <w:t xml:space="preserve">Filosofía de aprendizaje práctico y accesible permanece central</w:t>
      </w:r>
    </w:p>
    <w:p>
      <w:pPr>
        <w:pStyle w:val="Heading2"/>
        <w:spacing w:before="360"/>
      </w:pPr>
      <w:r>
        <w:t xml:space="preserve">Checklist de Lanzamiento</w:t>
      </w:r>
    </w:p>
    <w:p>
      <w:pPr>
        <w:pStyle w:val="ListParagraph"/>
        <w:numPr>
          <w:ilvl w:val="0"/>
          <w:numId w:val="2"/>
        </w:numPr>
      </w:pPr>
      <w:r>
        <w:t xml:space="preserve">Rediseño de sitio web (cogniboost.co)</w:t>
      </w:r>
    </w:p>
    <w:p>
      <w:pPr>
        <w:pStyle w:val="ListParagraph"/>
        <w:numPr>
          <w:ilvl w:val="0"/>
          <w:numId w:val="2"/>
        </w:numPr>
      </w:pPr>
      <w:r>
        <w:t xml:space="preserve">Rebrand de cuentas de redes sociales</w:t>
      </w:r>
    </w:p>
    <w:p>
      <w:pPr>
        <w:pStyle w:val="ListParagraph"/>
        <w:numPr>
          <w:ilvl w:val="0"/>
          <w:numId w:val="2"/>
        </w:numPr>
      </w:pPr>
      <w:r>
        <w:t xml:space="preserve">Actualización de plantillas de email</w:t>
      </w:r>
    </w:p>
    <w:p>
      <w:pPr>
        <w:pStyle w:val="ListParagraph"/>
        <w:numPr>
          <w:ilvl w:val="0"/>
          <w:numId w:val="2"/>
        </w:numPr>
      </w:pPr>
      <w:r>
        <w:t xml:space="preserve">Creación de material de marketing</w:t>
      </w:r>
    </w:p>
    <w:p>
      <w:pPr>
        <w:pStyle w:val="ListParagraph"/>
        <w:numPr>
          <w:ilvl w:val="0"/>
          <w:numId w:val="2"/>
        </w:numPr>
      </w:pPr>
      <w:r>
        <w:t xml:space="preserve">Comunicación con socios/afiliados</w:t>
      </w:r>
    </w:p>
    <w:p>
      <w:pPr>
        <w:pStyle w:val="ListParagraph"/>
        <w:numPr>
          <w:ilvl w:val="0"/>
          <w:numId w:val="2"/>
        </w:numPr>
      </w:pPr>
      <w:r>
        <w:t xml:space="preserve">Comunicado de prensa + alcance a medios</w:t>
      </w:r>
    </w:p>
    <w:p>
      <w:pPr>
        <w:pStyle w:val="Heading2"/>
        <w:spacing w:before="360"/>
      </w:pPr>
      <w:r>
        <w:t xml:space="preserve">Adaptaciones para Mercado LATAM</w:t>
      </w:r>
    </w:p>
    <w:p>
      <w:pPr>
        <w:pStyle w:val="ListParagraph"/>
        <w:numPr>
          <w:ilvl w:val="0"/>
          <w:numId w:val="2"/>
        </w:numPr>
      </w:pPr>
      <w:r>
        <w:t xml:space="preserve">Precios en USD pero con planes de pago flexibles ($400-$800 por curso)</w:t>
      </w:r>
    </w:p>
    <w:p>
      <w:pPr>
        <w:pStyle w:val="ListParagraph"/>
        <w:numPr>
          <w:ilvl w:val="0"/>
          <w:numId w:val="2"/>
        </w:numPr>
      </w:pPr>
      <w:r>
        <w:t xml:space="preserve">Horarios de clases en vivo adaptados a zonas horarias LATAM</w:t>
      </w:r>
    </w:p>
    <w:p>
      <w:pPr>
        <w:pStyle w:val="ListParagraph"/>
        <w:numPr>
          <w:ilvl w:val="0"/>
          <w:numId w:val="2"/>
        </w:numPr>
      </w:pPr>
      <w:r>
        <w:t xml:space="preserve">Casos de estudio con profesionales de México, Colombia, Argentina, Chile</w:t>
      </w:r>
    </w:p>
    <w:p>
      <w:pPr>
        <w:pStyle w:val="ListParagraph"/>
        <w:numPr>
          <w:ilvl w:val="0"/>
          <w:numId w:val="2"/>
        </w:numPr>
      </w:pPr>
      <w:r>
        <w:t xml:space="preserve">Alianzas con universidades y empresas LATAM</w:t>
      </w:r>
    </w:p>
    <w:p>
      <w:pPr>
        <w:pStyle w:val="ListParagraph"/>
        <w:numPr>
          <w:ilvl w:val="0"/>
          <w:numId w:val="2"/>
        </w:numPr>
      </w:pPr>
      <w:r>
        <w:t xml:space="preserve">Contenido culturalmente relevante (ejemplos, referencias, contextos locales)</w:t>
      </w:r>
    </w:p>
    <w:p>
      <w:pPr>
        <w:spacing w:before="480"/>
        <w:jc w:val="center"/>
      </w:pPr>
      <w:r>
        <w:rPr>
          <w:sz w:val="32"/>
          <w:szCs w:val="32"/>
        </w:rPr>
        <w:t xml:space="preserve">—</w:t>
      </w:r>
    </w:p>
    <w:p>
      <w:pPr>
        <w:spacing w:before="120"/>
        <w:jc w:val="center"/>
      </w:pPr>
      <w:r>
        <w:rPr>
          <w:color w:val="718096"/>
          <w:sz w:val="20"/>
          <w:szCs w:val="20"/>
        </w:rPr>
        <w:t xml:space="preserve">Manual de Marca CogniBoost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4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A1A4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2026-01-18T17:35:45.316Z</dcterms:created>
  <dcterms:modified xsi:type="dcterms:W3CDTF">2026-01-18T17:35:45.317Z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