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微软雅黑" w:hAnsi="微软雅黑" w:eastAsia="微软雅黑"/>
          <w:b/>
          <w:color w:val="1F3A5F"/>
          <w:sz w:val="32"/>
        </w:rPr>
        <w:t>实验结果数据总表（检索版）</w:t>
      </w:r>
    </w:p>
    <w:p>
      <w:pPr>
        <w:spacing w:after="60"/>
        <w:jc w:val="center"/>
      </w:pPr>
      <w:r>
        <w:rPr>
          <w:rFonts w:ascii="微软雅黑" w:hAnsi="微软雅黑" w:eastAsia="微软雅黑"/>
          <w:b w:val="0"/>
          <w:sz w:val="18"/>
        </w:rPr>
        <w:t>2026-09-07 · 全部数字由源 json 程序化读取生成（无手抄）· 每节注明源文件</w:t>
      </w:r>
    </w:p>
    <w:p>
      <w:pPr>
        <w:spacing w:after="60"/>
        <w:jc w:val="center"/>
      </w:pPr>
      <w:r>
        <w:rPr>
          <w:rFonts w:ascii="微软雅黑" w:hAnsi="微软雅黑" w:eastAsia="微软雅黑"/>
          <w:b w:val="0"/>
          <w:sz w:val="18"/>
        </w:rPr>
        <w:t>协议缩写: sq=主协议(序列不相交1440/480/480, held-out test 480帧, COCO); msq=三模态v2(473/155/154); LLVIP(11025/1000/3463); old=旧开发协议(仅审计用)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3A5F"/>
          <w:sz w:val="26"/>
        </w:rPr>
        <w:t>1. 主协议 (sq) — 3 seed 全量/昼夜</w:t>
      </w:r>
    </w:p>
    <w:p>
      <w:pPr>
        <w:spacing w:after="60"/>
      </w:pPr>
      <w:r>
        <w:rPr>
          <w:rFonts w:ascii="微软雅黑" w:hAnsi="微软雅黑" w:eastAsia="微软雅黑"/>
          <w:b/>
          <w:sz w:val="18"/>
        </w:rPr>
        <w:t>表1 sq主协议全部评估数字 | 源: runs/rlivit_sq/eval_*.json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701"/>
            <w:shd w:val="clear"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模型</w:t>
            </w:r>
          </w:p>
        </w:tc>
        <w:tc>
          <w:tcPr>
            <w:tcW w:type="dxa" w:w="794"/>
            <w:shd w:val="clear"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seed</w:t>
            </w:r>
          </w:p>
        </w:tc>
        <w:tc>
          <w:tcPr>
            <w:tcW w:type="dxa" w:w="1701"/>
            <w:shd w:val="clear"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全量 mAP50</w:t>
            </w:r>
          </w:p>
        </w:tc>
        <w:tc>
          <w:tcPr>
            <w:tcW w:type="dxa" w:w="1814"/>
            <w:shd w:val="clear"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全量 mAP50-95</w:t>
            </w:r>
          </w:p>
        </w:tc>
        <w:tc>
          <w:tcPr>
            <w:tcW w:type="dxa" w:w="1474"/>
            <w:shd w:val="clear"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昼 mAP50</w:t>
            </w:r>
          </w:p>
        </w:tc>
        <w:tc>
          <w:tcPr>
            <w:tcW w:type="dxa" w:w="1474"/>
            <w:shd w:val="clear"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夜 mAP50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CONCAT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60.88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38.78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62.11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47.88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CONCAT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59.83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38.95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61.35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47.77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CONCAT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57.43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37.32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60.14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39.32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GBF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61.13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39.78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62.57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51.04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GBF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59.44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38.55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61.62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41.85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GBF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58.77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39.46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61.74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42.97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GSW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61.54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39.67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62.87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48.49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GSW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58.96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38.93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60.89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44.94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GSW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60.75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39.61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61.53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49.63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TBF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59.67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38.65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61.73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45.50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微软雅黑" w:hAnsi="微软雅黑" w:eastAsia="微软雅黑"/>
          <w:b w:val="0"/>
          <w:sz w:val="18"/>
        </w:rPr>
        <w:t>均值(3seed): concat 59.38/38.35 (夜45.0±4.9); GBF 59.78/39.26 (夜45.3±5.0); GSW 60.42/39.40 (夜47.7±2.4)。GBF−concat: +0.40/+0.91, 夜+0.3。注意: GSW逐seed排序混合(s1 mAP50 58.96&lt;GBF 59.44; s0 mAP50-95 39.67&lt;GBF 39.78), 不得写"每seed每指标全胜"。唯一真源=eval_*.json(COCO口径), summary_sq.json为训练期val口径不可混用。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3A5F"/>
          <w:sz w:val="26"/>
        </w:rPr>
        <w:t>2. 每类 AP50 (sq, seed0, 全量 test)</w:t>
      </w:r>
    </w:p>
    <w:p>
      <w:pPr>
        <w:spacing w:after="60"/>
      </w:pPr>
      <w:r>
        <w:rPr>
          <w:rFonts w:ascii="微软雅黑" w:hAnsi="微软雅黑" w:eastAsia="微软雅黑"/>
          <w:b/>
          <w:sz w:val="18"/>
        </w:rPr>
        <w:t>表2 每类AP50 | 源: eval_sq-{4ch,4ch-tbf,4ch-gsw,4ch-gbf}_s0.json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2268"/>
            <w:shd w:val="clear"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类别</w:t>
            </w:r>
          </w:p>
        </w:tc>
        <w:tc>
          <w:tcPr>
            <w:tcW w:type="dxa" w:w="1361"/>
            <w:shd w:val="clear"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concat</w:t>
            </w:r>
          </w:p>
        </w:tc>
        <w:tc>
          <w:tcPr>
            <w:tcW w:type="dxa" w:w="1361"/>
            <w:shd w:val="clear"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TBF</w:t>
            </w:r>
          </w:p>
        </w:tc>
        <w:tc>
          <w:tcPr>
            <w:tcW w:type="dxa" w:w="1361"/>
            <w:shd w:val="clear"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GSW</w:t>
            </w:r>
          </w:p>
        </w:tc>
        <w:tc>
          <w:tcPr>
            <w:tcW w:type="dxa" w:w="1361"/>
            <w:shd w:val="clear"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GBF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Pedestrian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65.77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67.29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68.11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67.93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Car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80.11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80.76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81.45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80.82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Cyclist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57.45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57.82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59.29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59.14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Motorcycle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41.06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37.85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39.34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38.67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Truck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61.43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58.76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60.74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59.09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Bus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56.19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50.13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58.85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58.26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Tramway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64.13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65.06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62.99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63.99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1F3A5F"/>
          <w:sz w:val="26"/>
        </w:rPr>
        <w:t>3. 序列级 bootstrap (sq, seed0 ckpt)</w:t>
      </w:r>
    </w:p>
    <w:p>
      <w:pPr>
        <w:spacing w:after="60"/>
      </w:pPr>
      <w:r>
        <w:rPr>
          <w:rFonts w:ascii="微软雅黑" w:hAnsi="微软雅黑" w:eastAsia="微软雅黑"/>
          <w:b/>
          <w:sz w:val="18"/>
        </w:rPr>
        <w:t>表3 bootstrap (3000次AP50/1000次AP, 40序列有放回重采样, 固定seed0 ckpt对) | 源: bootstrap_seq.json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2608"/>
            <w:shd w:val="clear"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对比</w:t>
            </w:r>
          </w:p>
        </w:tc>
        <w:tc>
          <w:tcPr>
            <w:tcW w:type="dxa" w:w="1474"/>
            <w:shd w:val="clear"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ΔmAP50 均值</w:t>
            </w:r>
          </w:p>
        </w:tc>
        <w:tc>
          <w:tcPr>
            <w:tcW w:type="dxa" w:w="1701"/>
            <w:shd w:val="clear"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95% CI</w:t>
            </w:r>
          </w:p>
        </w:tc>
        <w:tc>
          <w:tcPr>
            <w:tcW w:type="dxa" w:w="1474"/>
            <w:shd w:val="clear"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ΔmAP50-95 均值</w:t>
            </w:r>
          </w:p>
        </w:tc>
        <w:tc>
          <w:tcPr>
            <w:tcW w:type="dxa" w:w="1701"/>
            <w:shd w:val="clear"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95% CI</w:t>
            </w:r>
          </w:p>
        </w:tc>
        <w:tc>
          <w:tcPr>
            <w:tcW w:type="dxa" w:w="1020"/>
            <w:shd w:val="clear"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正比例</w:t>
            </w:r>
          </w:p>
        </w:tc>
      </w:tr>
      <w:tr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concat_vs_gbf_full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0.37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[-0.0083, 0.017]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[0.0017, 0.0202]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73.0%</w:t>
            </w:r>
          </w:p>
        </w:tc>
      </w:tr>
      <w:tr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concat_vs_gbf_night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3.98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[0.0019, 0.0913]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3.87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[0.0069, 0.0778]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99.0%</w:t>
            </w:r>
          </w:p>
        </w:tc>
      </w:tr>
      <w:tr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concat_vs_gsw_full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0.56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[-0.0071, 0.0173]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0.84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[0.0007, 0.0164]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82.5%</w:t>
            </w:r>
          </w:p>
        </w:tc>
      </w:tr>
      <w:tr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depth_4ch_vs_5ch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1.82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[-0.026, 0.0691]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0.52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[-0.0133, 0.0265]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76.7%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1F3A5F"/>
          <w:sz w:val="26"/>
        </w:rPr>
        <w:t>4. 同配方晚融合 (rgb-only + ir-only → NMS)</w:t>
      </w:r>
    </w:p>
    <w:p>
      <w:pPr>
        <w:spacing w:after="60"/>
      </w:pPr>
      <w:r>
        <w:rPr>
          <w:rFonts w:ascii="微软雅黑" w:hAnsi="微软雅黑" w:eastAsia="微软雅黑"/>
          <w:b/>
          <w:sz w:val="18"/>
        </w:rPr>
        <w:t>表4 晚融合 | 源: eval_late_sq-rgb{0,1}_sq-ir{0,1}.json; 组件: sq-rgb s0 56.73 / sq-ir s0 41.07。matched-seed对照: GSW夜 48.49/44.94, 晚融合夜均值55.83 → +9.1pp (统一matched seeds口径)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134"/>
            <w:shd w:val="clear"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seed</w:t>
            </w:r>
          </w:p>
        </w:tc>
        <w:tc>
          <w:tcPr>
            <w:tcW w:type="dxa" w:w="1814"/>
            <w:shd w:val="clear"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全量 mAP50</w:t>
            </w:r>
          </w:p>
        </w:tc>
        <w:tc>
          <w:tcPr>
            <w:tcW w:type="dxa" w:w="1814"/>
            <w:shd w:val="clear"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全量 mAP50-95</w:t>
            </w:r>
          </w:p>
        </w:tc>
        <w:tc>
          <w:tcPr>
            <w:tcW w:type="dxa" w:w="1474"/>
            <w:shd w:val="clear"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昼 mAP50</w:t>
            </w:r>
          </w:p>
        </w:tc>
        <w:tc>
          <w:tcPr>
            <w:tcW w:type="dxa" w:w="1474"/>
            <w:shd w:val="clear"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夜 mAP50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58.87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38.12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61.03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54.32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58.42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37.00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60.00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57.34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1F3A5F"/>
          <w:sz w:val="26"/>
        </w:rPr>
        <w:t>5. 三模态 v2 (msq)</w:t>
      </w:r>
    </w:p>
    <w:p>
      <w:pPr>
        <w:spacing w:after="60"/>
      </w:pPr>
      <w:r>
        <w:rPr>
          <w:rFonts w:ascii="微软雅黑" w:hAnsi="微软雅黑" w:eastAsia="微软雅黑"/>
          <w:b/>
          <w:sz w:val="18"/>
        </w:rPr>
        <w:t>表5 msq全部结果 | 源: runs/rlivit_msq/summary.json; matched Δ(5ch−4ch): s0 +1.29 / s1 −0.82 / s2 +1.03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608"/>
            <w:shd w:val="clear"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模型</w:t>
            </w:r>
          </w:p>
        </w:tc>
        <w:tc>
          <w:tcPr>
            <w:tcW w:type="dxa" w:w="907"/>
            <w:shd w:val="clear"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seed</w:t>
            </w:r>
          </w:p>
        </w:tc>
        <w:tc>
          <w:tcPr>
            <w:tcW w:type="dxa" w:w="1361"/>
            <w:shd w:val="clear"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mAP50</w:t>
            </w:r>
          </w:p>
        </w:tc>
        <w:tc>
          <w:tcPr>
            <w:tcW w:type="dxa" w:w="1474"/>
            <w:shd w:val="clear"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mAP50-95</w:t>
            </w:r>
          </w:p>
        </w:tc>
      </w:tr>
      <w:tr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msq-4ch-gbf_s0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0.3933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0.2213</w:t>
            </w:r>
          </w:p>
        </w:tc>
      </w:tr>
      <w:tr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msq-4ch_s0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0.3773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0.2132</w:t>
            </w:r>
          </w:p>
        </w:tc>
      </w:tr>
      <w:tr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msq-4ch_s1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0.3942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0.2002</w:t>
            </w:r>
          </w:p>
        </w:tc>
      </w:tr>
      <w:tr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msq-4ch_s2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0.388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0.2074</w:t>
            </w:r>
          </w:p>
        </w:tc>
      </w:tr>
      <w:tr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msq-5ch-gbf_s0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0.3949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0.2185</w:t>
            </w:r>
          </w:p>
        </w:tc>
      </w:tr>
      <w:tr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msq-5ch-gbf_s1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0.3964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0.2135</w:t>
            </w:r>
          </w:p>
        </w:tc>
      </w:tr>
      <w:tr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msq-5ch-tbf_s0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0.3998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0.2213</w:t>
            </w:r>
          </w:p>
        </w:tc>
      </w:tr>
      <w:tr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msq-5ch_s0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0.3902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0.2138</w:t>
            </w:r>
          </w:p>
        </w:tc>
      </w:tr>
      <w:tr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msq-5ch_s1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0.386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0.2189</w:t>
            </w:r>
          </w:p>
        </w:tc>
      </w:tr>
      <w:tr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msq-5ch_s2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0.3983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0.2169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微软雅黑" w:hAnsi="微软雅黑" w:eastAsia="微软雅黑"/>
          <w:b w:val="0"/>
          <w:sz w:val="18"/>
        </w:rPr>
        <w:t>msq bootstrap (seed0): ΔAP50 +1.8 [−2.4, +6.9] | 源: bootstrap_seq.json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3A5F"/>
          <w:sz w:val="26"/>
        </w:rPr>
        <w:t>6. LLVIP (完整 3463 held-out test)</w:t>
      </w:r>
    </w:p>
    <w:p>
      <w:pPr>
        <w:spacing w:after="60"/>
      </w:pPr>
      <w:r>
        <w:rPr>
          <w:rFonts w:ascii="微软雅黑" w:hAnsi="微软雅黑" w:eastAsia="微软雅黑"/>
          <w:b/>
          <w:sz w:val="18"/>
        </w:rPr>
        <w:t>表6 LLVIP | 源: runs/llvip_v2/summary.json; 均值: concat 95.23/58.79, GBF 95.09/59.78 (Δ −0.14/+0.99)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2268"/>
            <w:shd w:val="clear"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模型</w:t>
            </w:r>
          </w:p>
        </w:tc>
        <w:tc>
          <w:tcPr>
            <w:tcW w:type="dxa" w:w="907"/>
            <w:shd w:val="clear"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seed</w:t>
            </w:r>
          </w:p>
        </w:tc>
        <w:tc>
          <w:tcPr>
            <w:tcW w:type="dxa" w:w="1587"/>
            <w:shd w:val="clear"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test mAP50</w:t>
            </w:r>
          </w:p>
        </w:tc>
        <w:tc>
          <w:tcPr>
            <w:tcW w:type="dxa" w:w="1701"/>
            <w:shd w:val="clear"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test mAP50-95</w:t>
            </w:r>
          </w:p>
        </w:tc>
        <w:tc>
          <w:tcPr>
            <w:tcW w:type="dxa" w:w="1474"/>
            <w:shd w:val="clear"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dev mAP50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llvip-concat_s0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0.9486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0.5843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0.9846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llvip-concat_s1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0.956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0.5914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0.9853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llvip-gbf_s0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0.9461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0.5881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0.9856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llvip-gbf_s1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0.9556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0.6074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0.9869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1F3A5F"/>
          <w:sz w:val="26"/>
        </w:rPr>
        <w:t>7. 效率</w:t>
      </w:r>
    </w:p>
    <w:p>
      <w:pPr>
        <w:spacing w:after="60"/>
      </w:pPr>
      <w:r>
        <w:rPr>
          <w:rFonts w:ascii="微软雅黑" w:hAnsi="微软雅黑" w:eastAsia="微软雅黑"/>
          <w:b/>
          <w:sz w:val="18"/>
        </w:rPr>
        <w:t>表7 效率 | 源: runs/rlivit/efficiency.json (前向FPS/FLOPs), runs/rlivit_sq/eff_v2.json (端到端) + gsw_latency.json (GSW实测); 门控手动MACs 9.8M (thop对自定义门控计数不可靠667M)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2494"/>
            <w:shd w:val="clear"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指标</w:t>
            </w:r>
          </w:p>
        </w:tc>
        <w:tc>
          <w:tcPr>
            <w:tcW w:type="dxa" w:w="1701"/>
            <w:shd w:val="clear"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concat</w:t>
            </w:r>
          </w:p>
        </w:tc>
        <w:tc>
          <w:tcPr>
            <w:tcW w:type="dxa" w:w="1701"/>
            <w:shd w:val="clear"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GSW</w:t>
            </w:r>
          </w:p>
        </w:tc>
        <w:tc>
          <w:tcPr>
            <w:tcW w:type="dxa" w:w="1928"/>
            <w:shd w:val="clear"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GBF</w:t>
            </w:r>
          </w:p>
        </w:tc>
        <w:tc>
          <w:tcPr>
            <w:tcW w:type="dxa" w:w="1474"/>
            <w:shd w:val="clear"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晚融合</w:t>
            </w:r>
          </w:p>
        </w:tc>
      </w:tr>
      <w:tr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参数量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2,591,349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2,602,757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2,607,893 (+0.64%)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≈2×</w:t>
            </w:r>
          </w:p>
        </w:tc>
      </w:tr>
      <w:tr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前向 FPS (fp16, bs1)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95.2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91.1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84.9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端到端 ms 中位/均值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36.5 / 59.5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36.4 / 61.7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37.7 / 39.1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 / 76.6</w:t>
            </w:r>
          </w:p>
        </w:tc>
      </w:tr>
      <w:tr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FLOPs (thop, provisional)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3.24G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3.54G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3.54G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1F3A5F"/>
          <w:sz w:val="26"/>
        </w:rPr>
        <w:t>8. 定性分层 (夜间168帧, 一对一匹配, conf0.25, IoU0.5)</w:t>
      </w:r>
    </w:p>
    <w:p>
      <w:pPr>
        <w:spacing w:after="60"/>
      </w:pPr>
      <w:r>
        <w:rPr>
          <w:rFonts w:ascii="微软雅黑" w:hAnsi="微软雅黑" w:eastAsia="微软雅黑"/>
          <w:b/>
          <w:sz w:val="18"/>
        </w:rPr>
        <w:t>表8 定性四态(含率与支持数) | 源: runs/rlivit_sq/qual_breakdown.json; 夜间168帧, conf0.25, IoU0.5, 一对一贪心匹配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587"/>
            <w:shd w:val="clear"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分层</w:t>
            </w:r>
          </w:p>
        </w:tc>
        <w:tc>
          <w:tcPr>
            <w:tcW w:type="dxa" w:w="1587"/>
            <w:shd w:val="clear"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improved(FN→TP)</w:t>
            </w:r>
          </w:p>
        </w:tc>
        <w:tc>
          <w:tcPr>
            <w:tcW w:type="dxa" w:w="1474"/>
            <w:shd w:val="clear"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degraded(TP→FN)</w:t>
            </w:r>
          </w:p>
        </w:tc>
        <w:tc>
          <w:tcPr>
            <w:tcW w:type="dxa" w:w="1587"/>
            <w:shd w:val="clear"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unchanged(TP→TP)</w:t>
            </w:r>
          </w:p>
        </w:tc>
        <w:tc>
          <w:tcPr>
            <w:tcW w:type="dxa" w:w="1587"/>
            <w:shd w:val="clear"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both_missed(FN→FN)</w:t>
            </w:r>
          </w:p>
        </w:tc>
        <w:tc>
          <w:tcPr>
            <w:tcW w:type="dxa" w:w="794"/>
            <w:shd w:val="clear"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n_gt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全部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144 (5.6%)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70 (2.7%)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1749 (67.9%)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613 (23.8%)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2576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Pedestrian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78 (7.9%)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38 (3.8%)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546 (55.1%)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329 (33.2%)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991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Car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58 (4.2%)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27 (2.0%)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1096 (80.3%)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183 (13.4%)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1364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Cyclist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 (4.7%)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 (2.3%)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83 (48.3%)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77 (44.8%)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172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small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141 (6.0%)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68 (2.9%)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1532 (65.3%)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605 (25.8%)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2346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medium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 (1.6%)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 (0.8%)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119 (94.4%)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 (3.2%)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126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large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 (1.0%)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 (1.0%)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98 (94.2%)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 (3.9%)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104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1F3A5F"/>
          <w:sz w:val="26"/>
        </w:rPr>
        <w:t>9. 旧开发协议对照 (仅审计用, 不进入主表)</w:t>
      </w:r>
    </w:p>
    <w:p>
      <w:pPr>
        <w:spacing w:after="60"/>
      </w:pPr>
      <w:r>
        <w:rPr>
          <w:rFonts w:ascii="微软雅黑" w:hAnsi="微软雅黑" w:eastAsia="微软雅黑"/>
          <w:b/>
          <w:sz w:val="18"/>
        </w:rPr>
        <w:t>表9 旧协议 | 源: runs/rlivit/ 历史summary与子集json; 旧协议序列本身无重叠(160/40官方), 但报告分区同时参与checkpoint selection; 因新旧协议还改变了训练集规模、组成与reporting sequences, 结果差异不能仅归因于checkpoint selection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041"/>
            <w:shd w:val="clear"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模型</w:t>
            </w:r>
          </w:p>
        </w:tc>
        <w:tc>
          <w:tcPr>
            <w:tcW w:type="dxa" w:w="2381"/>
            <w:shd w:val="clear"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全量 mAP50 (s0/s1)</w:t>
            </w:r>
          </w:p>
        </w:tc>
        <w:tc>
          <w:tcPr>
            <w:tcW w:type="dxa" w:w="2381"/>
            <w:shd w:val="clear"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夜 mAP50 (s0/s1)</w:t>
            </w:r>
          </w:p>
        </w:tc>
      </w:tr>
      <w:tr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concat (old)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58.92 / 57.52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47.45 / 47.28</w:t>
            </w:r>
          </w:p>
        </w:tc>
      </w:tr>
      <w:tr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GBF (old)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61.20 / 60.46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54.34 / 57.26</w:t>
            </w:r>
          </w:p>
        </w:tc>
      </w:tr>
      <w:tr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GBF−concat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+2.28 / +2.94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+6.89 / +9.98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1F3A5F"/>
          <w:sz w:val="26"/>
        </w:rPr>
        <w:t>10. 数据资产索引 (每个数字的检索路径)</w:t>
      </w:r>
    </w:p>
    <w:p>
      <w:pPr>
        <w:spacing w:after="60"/>
      </w:pPr>
      <w:r>
        <w:rPr>
          <w:rFonts w:ascii="微软雅黑" w:hAnsi="微软雅黑" w:eastAsia="微软雅黑"/>
          <w:b w:val="0"/>
          <w:sz w:val="18"/>
        </w:rPr>
        <w:t>• 主协议全指标+每类: runs/rlivit_sq/eval_{sq-4ch,sq-4ch-tbf,sq-4ch-gsw,sq-4ch-gbf}_s{0,1,2}.json</w:t>
      </w:r>
    </w:p>
    <w:p>
      <w:pPr>
        <w:spacing w:after="60"/>
      </w:pPr>
      <w:r>
        <w:rPr>
          <w:rFonts w:ascii="微软雅黑" w:hAnsi="微软雅黑" w:eastAsia="微软雅黑"/>
          <w:b w:val="0"/>
          <w:sz w:val="18"/>
        </w:rPr>
        <w:t>• 主协议训练期记录: runs/rlivit_sq/summary_sq.json (含ultralytics val口径数字与per-class)</w:t>
      </w:r>
    </w:p>
    <w:p>
      <w:pPr>
        <w:spacing w:after="60"/>
      </w:pPr>
      <w:r>
        <w:rPr>
          <w:rFonts w:ascii="微软雅黑" w:hAnsi="微软雅黑" w:eastAsia="微软雅黑"/>
          <w:b w:val="0"/>
          <w:sz w:val="18"/>
        </w:rPr>
        <w:t>• 预测原始dets: runs/rlivit_sq/dets_*.json (conf0.001全部框, 可重算任何阈值)</w:t>
      </w:r>
    </w:p>
    <w:p>
      <w:pPr>
        <w:spacing w:after="60"/>
      </w:pPr>
      <w:r>
        <w:rPr>
          <w:rFonts w:ascii="微软雅黑" w:hAnsi="微软雅黑" w:eastAsia="微软雅黑"/>
          <w:b w:val="0"/>
          <w:sz w:val="18"/>
        </w:rPr>
        <w:t>• bootstrap: runs/rlivit_sq/bootstrap_seq.json</w:t>
      </w:r>
    </w:p>
    <w:p>
      <w:pPr>
        <w:spacing w:after="60"/>
      </w:pPr>
      <w:r>
        <w:rPr>
          <w:rFonts w:ascii="微软雅黑" w:hAnsi="微软雅黑" w:eastAsia="微软雅黑"/>
          <w:b w:val="0"/>
          <w:sz w:val="18"/>
        </w:rPr>
        <w:t>• 晚融合: runs/rlivit_sq/eval_late_sq-rgb{s}_sq-ir{s}.json</w:t>
      </w:r>
    </w:p>
    <w:p>
      <w:pPr>
        <w:spacing w:after="60"/>
      </w:pPr>
      <w:r>
        <w:rPr>
          <w:rFonts w:ascii="微软雅黑" w:hAnsi="微软雅黑" w:eastAsia="微软雅黑"/>
          <w:b w:val="0"/>
          <w:sz w:val="18"/>
        </w:rPr>
        <w:t>• 定性: runs/rlivit_sq/qual_report.json + qual_breakdown.json</w:t>
      </w:r>
    </w:p>
    <w:p>
      <w:pPr>
        <w:spacing w:after="60"/>
      </w:pPr>
      <w:r>
        <w:rPr>
          <w:rFonts w:ascii="微软雅黑" w:hAnsi="微软雅黑" w:eastAsia="微软雅黑"/>
          <w:b w:val="0"/>
          <w:sz w:val="18"/>
        </w:rPr>
        <w:t>• 效率: runs/rlivit_sq/eff_v2.json + runs/rlivit/efficiency.json</w:t>
      </w:r>
    </w:p>
    <w:p>
      <w:pPr>
        <w:spacing w:after="60"/>
      </w:pPr>
      <w:r>
        <w:rPr>
          <w:rFonts w:ascii="微软雅黑" w:hAnsi="微软雅黑" w:eastAsia="微软雅黑"/>
          <w:b w:val="0"/>
          <w:sz w:val="18"/>
        </w:rPr>
        <w:t>• 三模态: runs/rlivit_msq/summary.json + dets_msq-*.json + rlivit_multi_sq/build_stats.json</w:t>
      </w:r>
    </w:p>
    <w:p>
      <w:pPr>
        <w:spacing w:after="60"/>
      </w:pPr>
      <w:r>
        <w:rPr>
          <w:rFonts w:ascii="微软雅黑" w:hAnsi="微软雅黑" w:eastAsia="微软雅黑"/>
          <w:b w:val="0"/>
          <w:sz w:val="18"/>
        </w:rPr>
        <w:t>• LLVIP: runs/llvip_v2/summary.json</w:t>
      </w:r>
    </w:p>
    <w:p>
      <w:pPr>
        <w:spacing w:after="60"/>
      </w:pPr>
      <w:r>
        <w:rPr>
          <w:rFonts w:ascii="微软雅黑" w:hAnsi="微软雅黑" w:eastAsia="微软雅黑"/>
          <w:b w:val="0"/>
          <w:sz w:val="18"/>
        </w:rPr>
        <w:t>• 划分与审计: rlivit_sq/{manifest.csv,split_report.json}, rlivit_multi_sq/manifest.csv, LLVIP dev_manifest.csv</w:t>
      </w:r>
    </w:p>
    <w:p>
      <w:pPr>
        <w:spacing w:after="60"/>
      </w:pPr>
      <w:r>
        <w:rPr>
          <w:rFonts w:ascii="微软雅黑" w:hAnsi="微软雅黑" w:eastAsia="微软雅黑"/>
          <w:b w:val="0"/>
          <w:sz w:val="18"/>
        </w:rPr>
        <w:t>• 归档: paper/protocol_archive.json (环境/命令/ckpt哈希/selected epoch)</w:t>
      </w:r>
    </w:p>
    <w:p>
      <w:pPr>
        <w:spacing w:after="60"/>
      </w:pPr>
      <w:r>
        <w:rPr>
          <w:rFonts w:ascii="微软雅黑" w:hAnsi="微软雅黑" w:eastAsia="微软雅黑"/>
          <w:b w:val="0"/>
          <w:sz w:val="18"/>
        </w:rPr>
        <w:t>• 协议审计与证据: paper/证据恢复_D1-D6.md</w:t>
      </w:r>
    </w:p>
    <w:p>
      <w:pPr>
        <w:spacing w:after="60"/>
      </w:pPr>
      <w:r>
        <w:rPr>
          <w:rFonts w:ascii="微软雅黑" w:hAnsi="微软雅黑" w:eastAsia="微软雅黑"/>
          <w:b w:val="0"/>
          <w:sz w:val="18"/>
        </w:rPr>
        <w:t>• 论文口径汇总: paper/最终结果报告_20260907.md</w:t>
      </w:r>
    </w:p>
    <w:sectPr w:rsidR="00FC693F" w:rsidRPr="0006063C" w:rsidSect="00034616">
      <w:pgSz w:w="11906" w:h="16838"/>
      <w:pgMar w:top="1440" w:right="1020" w:bottom="144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