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MEMORANDUM</w:t>
      </w:r>
    </w:p>
    <w:p>
      <w:r>
        <w:rPr>
          <w:b/>
        </w:rPr>
        <w:t>TO:</w:t>
      </w:r>
      <w:r>
        <w:tab/>
        <w:t>Office of Fleet and Asset Management (OFAM)</w:t>
      </w:r>
    </w:p>
    <w:p>
      <w:r>
        <w:rPr>
          <w:b/>
        </w:rPr>
        <w:t>FROM:</w:t>
      </w:r>
      <w:r>
        <w:tab/>
        <w:t>Dana Whitfield, Fleet Coordinator, Department of Coastal Surveys</w:t>
      </w:r>
    </w:p>
    <w:p>
      <w:r>
        <w:rPr>
          <w:b/>
        </w:rPr>
        <w:t>DATE:</w:t>
      </w:r>
      <w:r>
        <w:tab/>
        <w:t>March 4, 2026</w:t>
      </w:r>
    </w:p>
    <w:p>
      <w:r>
        <w:rPr>
          <w:b/>
        </w:rPr>
        <w:t>SUBJECT:</w:t>
      </w:r>
      <w:r>
        <w:tab/>
        <w:t>Fleet Acquisition Plan – Request for Two Replacement Field Vehicles</w:t>
      </w:r>
    </w:p>
    <w:p>
      <w:pPr>
        <w:pStyle w:val="Heading1"/>
      </w:pPr>
      <w:r>
        <w:t>Background</w:t>
      </w:r>
    </w:p>
    <w:p>
      <w:r>
        <w:t xml:space="preserve">The Department of Coastal Surveys (DCS) requests approval to replace two </w:t>
      </w:r>
      <w:r>
        <w:rPr>
          <w:i/>
        </w:rPr>
        <w:t>2011 Ford Ranger</w:t>
      </w:r>
      <w:r>
        <w:t xml:space="preserve"> pickup trucks that have exceeded their useful life. Both vehicles is used daily by survey crews traveling to remote shoreline monitoring stations.</w:t>
      </w:r>
    </w:p>
    <w:p>
      <w:pPr>
        <w:pStyle w:val="Heading1"/>
      </w:pPr>
      <w:r>
        <w:t>Justification</w:t>
      </w:r>
    </w:p>
    <w:p>
      <w:r>
        <w:t xml:space="preserve">The department’s current fleet averaged </w:t>
      </w:r>
      <w:r>
        <w:rPr>
          <w:b/>
        </w:rPr>
        <w:t>8,200 miles</w:t>
      </w:r>
      <w:r>
        <w:t xml:space="preserve"> per vehicle last fiscal year, which we believe demonstrates “high utilization” of the existing fleet.</w:t>
      </w:r>
    </w:p>
    <w:p>
      <w:r>
        <w:t>The replacement vehicles will be gasoline-powered because charging infrastructure is not available at all monitoring stations. An exemption from the ZEV mandate is therefore requested.</w:t>
      </w:r>
    </w:p>
    <w:p>
      <w:r>
        <w:t xml:space="preserve">Additional detail is available on the </w:t>
      </w:r>
      <w:hyperlink r:id="rId9">
        <w:r>
          <w:rPr>
            <w:color w:val="0563C1"/>
            <w:u w:val="single"/>
          </w:rPr>
          <w:t>DCS fleet page</w:t>
        </w:r>
      </w:hyperlink>
      <w:r>
        <w:t>. Funding has been identified in the current budget.</w:t>
      </w:r>
    </w:p>
    <w:p>
      <w:pPr>
        <w:pStyle w:val="Heading1"/>
      </w:pPr>
      <w:r>
        <w:t>Vehicle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Model year</w:t>
            </w:r>
          </w:p>
        </w:tc>
        <w:tc>
          <w:tcPr>
            <w:tcW w:type="dxa" w:w="2880"/>
          </w:tcPr>
          <w:p>
            <w:r>
              <w:t>Annual miles</w:t>
            </w:r>
          </w:p>
        </w:tc>
      </w:tr>
      <w:tr>
        <w:tc>
          <w:tcPr>
            <w:tcW w:type="dxa" w:w="2880"/>
          </w:tcPr>
          <w:p>
            <w:r>
              <w:t>DCS-0142</w:t>
            </w:r>
          </w:p>
        </w:tc>
        <w:tc>
          <w:tcPr>
            <w:tcW w:type="dxa" w:w="2880"/>
          </w:tcPr>
          <w:p>
            <w:r>
              <w:t>2011</w:t>
            </w:r>
          </w:p>
        </w:tc>
        <w:tc>
          <w:tcPr>
            <w:tcW w:type="dxa" w:w="2880"/>
          </w:tcPr>
          <w:p>
            <w:r>
              <w:t>7,950</w:t>
            </w:r>
          </w:p>
        </w:tc>
      </w:tr>
      <w:tr>
        <w:tc>
          <w:tcPr>
            <w:tcW w:type="dxa" w:w="2880"/>
          </w:tcPr>
          <w:p>
            <w:r>
              <w:t>DCS-0178</w:t>
            </w:r>
          </w:p>
        </w:tc>
        <w:tc>
          <w:tcPr>
            <w:tcW w:type="dxa" w:w="2880"/>
          </w:tcPr>
          <w:p>
            <w:r>
              <w:t>2011</w:t>
            </w:r>
          </w:p>
        </w:tc>
        <w:tc>
          <w:tcPr>
            <w:tcW w:type="dxa" w:w="2880"/>
          </w:tcPr>
          <w:p>
            <w:r>
              <w:t>8,450</w:t>
            </w:r>
          </w:p>
        </w:tc>
      </w:tr>
    </w:tbl>
    <w:p>
      <w:r>
        <w:t>Please contact the fleet coordinator with any questions regarding this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dcs-fle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