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60"/>
        </w:rPr>
        <w:t>ELIZABETH LOFTUS</w:t>
      </w:r>
    </w:p>
    <w:p>
      <w:pPr>
        <w:jc w:val="center"/>
      </w:pPr>
      <w:r>
        <w:rPr>
          <w:b/>
          <w:sz w:val="40"/>
        </w:rPr>
        <w:t>Memoria reconstructiva y el</w:t>
        <w:br/>
        <w:t>“Efecto Mandela Corporativo”</w:t>
      </w:r>
    </w:p>
    <w:p/>
    <w:p>
      <w:pPr>
        <w:jc w:val="center"/>
      </w:pPr>
      <w:r>
        <w:rPr>
          <w:i/>
          <w:sz w:val="26"/>
        </w:rPr>
        <w:t>Por qué el cerebro puede alterar recuerdos y por qué las organizaciones necesitan acuerdos auditados por escrito</w:t>
      </w:r>
    </w:p>
    <w:p/>
    <w:p>
      <w:pPr>
        <w:jc w:val="center"/>
      </w:pPr>
      <w:r>
        <w:rPr>
          <w:sz w:val="20"/>
        </w:rPr>
        <w:t>CREAR PODER SIN LÍMITES</w:t>
      </w:r>
    </w:p>
    <w:p>
      <w:pPr>
        <w:jc w:val="center"/>
      </w:pPr>
      <w:r>
        <w:rPr>
          <w:sz w:val="20"/>
        </w:rPr>
        <w:t>Documento de formación y cultura operativa</w:t>
      </w:r>
    </w:p>
    <w:p>
      <w:pPr>
        <w:jc w:val="center"/>
      </w:pPr>
      <w:r>
        <w:rPr>
          <w:sz w:val="20"/>
        </w:rPr>
        <w:t>Versión 1.0 • Septiembre 2026</w:t>
      </w:r>
    </w:p>
    <w:p>
      <w:r>
        <w:br w:type="page"/>
      </w:r>
    </w:p>
    <w:p>
      <w:pPr>
        <w:pStyle w:val="Heading1"/>
      </w:pPr>
      <w:r>
        <w:t>1. Resumen ejecutivo</w:t>
      </w:r>
    </w:p>
    <w:p>
      <w:pPr>
        <w:spacing w:after="120" w:line="259" w:lineRule="auto"/>
      </w:pPr>
      <w:r>
        <w:t>Las personas no recuerdan los acontecimientos como si reprodujeran una grabación almacenada en un disco duro. La memoria humana es reconstructiva: al recuperar un episodio, el cerebro utiliza información almacenada, conocimientos previos, contexto, expectativas y nueva información para reconstruir una representación del pasado. Esta característica hace posible aprender, generalizar y adaptarse, pero también abre la puerta a errores y distorsiones.</w:t>
      </w:r>
    </w:p>
    <w:p>
      <w:pPr>
        <w:spacing w:after="120" w:line="259" w:lineRule="auto"/>
      </w:pPr>
      <w:r>
        <w:t>Elizabeth Loftus y una amplia literatura posterior demostraron experimentalmente que la información presentada después de un acontecimiento puede influir en lo que las personas posteriormente reportan recordar. Este fenómeno se conoce como efecto de desinformación o misinformation effect. La investigación muestra además que una persona puede estar sinceramente convencida de un recuerdo incorrecto; una memoria falsa no equivale automáticamente a una mentira.</w:t>
      </w:r>
    </w:p>
    <w:p>
      <w:pPr>
        <w:spacing w:after="120" w:line="259" w:lineRule="auto"/>
      </w:pPr>
      <w:r>
        <w:t>En una organización, esta vulnerabilidad tiene una consecuencia práctica enorme: cuando una decisión, instrucción, fecha, promesa, cambio o responsabilidad queda solamente en conversaciones, audios, chats dispersos o recuerdos individuales, con el paso del tiempo pueden aparecer versiones incompatibles del mismo hecho.</w:t>
      </w:r>
    </w:p>
    <w:tbl>
      <w:tblPr>
        <w:tblW w:type="auto" w:w="0"/>
        <w:jc w:val="center"/>
        <w:tblLook w:firstColumn="1" w:firstRow="1" w:lastColumn="0" w:lastRow="0" w:noHBand="0" w:noVBand="1" w:val="04A0"/>
      </w:tblPr>
      <w:tblGrid>
        <w:gridCol w:w="9936"/>
      </w:tblGrid>
      <w:tr>
        <w:tc>
          <w:tcPr>
            <w:tcW w:type="dxa" w:w="9936"/>
            <w:vAlign w:val="center"/>
            <w:shd w:fill="EDEDED"/>
          </w:tcPr>
          <w:p>
            <w:r/>
            <w:r>
              <w:rPr>
                <w:b/>
                <w:sz w:val="22"/>
              </w:rPr>
              <w:t>PRINCIPIO OPERATIVO</w:t>
              <w:br/>
            </w:r>
            <w:r>
              <w:rPr>
                <w:sz w:val="20"/>
              </w:rPr>
              <w:t>La memoria sirve para coordinar personas; el registro escrito sirve para coordinar la organización.</w:t>
            </w:r>
          </w:p>
        </w:tc>
      </w:tr>
    </w:tbl>
    <w:p/>
    <w:p>
      <w:pPr>
        <w:spacing w:after="120" w:line="259" w:lineRule="auto"/>
      </w:pPr>
      <w:r>
        <w:t>El término “Efecto Mandela Corporativo” se utiliza en este documento como una metáfora operativa, no como una categoría científica establecida. Describe una situación en la que varias personas comparten una versión aparentemente segura de “lo que se acordó”, aunque esa versión no coincide con el registro verificable. La explicación científica más cercana se encuentra en los fenómenos de memoria reconstructiva, desinformación, errores de atribución de fuente, conformidad de memoria y actualización posterior de recuerdos.</w:t>
      </w:r>
    </w:p>
    <w:p>
      <w:pPr>
        <w:spacing w:after="120" w:line="259" w:lineRule="auto"/>
      </w:pPr>
      <w:r>
        <w:t>La solución no consiste en desconfiar de las personas. Consiste en diseñar sistemas que no obliguen a la memoria humana a funcionar como sistema oficial de registro.</w:t>
      </w:r>
    </w:p>
    <w:p>
      <w:pPr>
        <w:pStyle w:val="Heading1"/>
      </w:pPr>
      <w:r>
        <w:t>2. Objetivos del documento</w:t>
      </w:r>
    </w:p>
    <w:p>
      <w:pPr>
        <w:pStyle w:val="ListBullet"/>
        <w:spacing w:after="60"/>
      </w:pPr>
      <w:r>
        <w:t>Comprender, en lenguaje corporativo, qué significa que la memoria sea reconstructiva.</w:t>
      </w:r>
    </w:p>
    <w:p>
      <w:pPr>
        <w:pStyle w:val="ListBullet"/>
        <w:spacing w:after="60"/>
      </w:pPr>
      <w:r>
        <w:t>Conocer la contribución de Elizabeth Loftus al estudio de la memoria y la desinformación.</w:t>
      </w:r>
    </w:p>
    <w:p>
      <w:pPr>
        <w:pStyle w:val="ListBullet"/>
        <w:spacing w:after="60"/>
      </w:pPr>
      <w:r>
        <w:t>Entender por qué personas honestas pueden recordar de forma diferente un mismo acontecimiento.</w:t>
      </w:r>
    </w:p>
    <w:p>
      <w:pPr>
        <w:pStyle w:val="ListBullet"/>
        <w:spacing w:after="60"/>
      </w:pPr>
      <w:r>
        <w:t>Traducir estos hallazgos a riesgos concretos de coordinación, liderazgo y operaciones.</w:t>
      </w:r>
    </w:p>
    <w:p>
      <w:pPr>
        <w:pStyle w:val="ListBullet"/>
        <w:spacing w:after="60"/>
      </w:pPr>
      <w:r>
        <w:t>Definir un protocolo de acuerdos escritos, confirmaciones, cambios y cierres.</w:t>
      </w:r>
    </w:p>
    <w:p>
      <w:pPr>
        <w:pStyle w:val="ListBullet"/>
        <w:spacing w:after="60"/>
      </w:pPr>
      <w:r>
        <w:t>Crear una cultura de trazabilidad: quién decidió, qué decidió, cuándo, con qué alcance y cuál es la versión vigente.</w:t>
      </w:r>
    </w:p>
    <w:p>
      <w:r>
        <w:br w:type="page"/>
      </w:r>
    </w:p>
    <w:p>
      <w:pPr>
        <w:pStyle w:val="Heading1"/>
      </w:pPr>
      <w:r>
        <w:t>3. Elizabeth Loftus: qué aportó a la comprensión de la memoria</w:t>
      </w:r>
    </w:p>
    <w:p>
      <w:pPr>
        <w:spacing w:after="120" w:line="259" w:lineRule="auto"/>
      </w:pPr>
      <w:r>
        <w:t>Elizabeth F. Loftus es una de las investigadoras más influyentes en el estudio de la memoria humana, especialmente en relación con recuerdos de testigos, sugestión y desinformación. Su trabajo ayudó a demostrar que recordar no es simplemente recuperar una copia intacta del pasado.</w:t>
      </w:r>
    </w:p>
    <w:p>
      <w:pPr>
        <w:spacing w:after="120" w:line="259" w:lineRule="auto"/>
      </w:pPr>
      <w:r>
        <w:t>Una de las líneas centrales de su investigación examinó qué ocurre cuando una persona observa un acontecimiento y posteriormente recibe información incorrecta o sugestiva sobre ese mismo acontecimiento. En el paradigma clásico de desinformación, la secuencia suele incluir tres fases: primero se presenta el evento original; después aparece información posterior que puede ser engañosa; finalmente se evalúa la memoria del evento original. Una parte de los participantes incorpora elementos de la información posterior a su recuerdo del acontecimiento. citeturn0search0turn0search4</w:t>
      </w:r>
    </w:p>
    <w:p>
      <w:pPr>
        <w:spacing w:after="120" w:line="259" w:lineRule="auto"/>
      </w:pPr>
      <w:r>
        <w:t>Un ejemplo clásico utilizó accidentes automovilísticos y preguntas posteriores que describían detalles de forma diferente. La investigación de Loftus y colaboradores mostró que la manera en que se formula una pregunta puede influir en los recuerdos reportados, incluso respecto de detalles que no estaban presentes en el material original. citeturn0search4turn0search9</w:t>
      </w:r>
    </w:p>
    <w:p>
      <w:pPr>
        <w:spacing w:after="120" w:line="259" w:lineRule="auto"/>
      </w:pPr>
      <w:r>
        <w:t>La literatura posterior ha discutido distintos mecanismos que pueden explicar el fenómeno. Una explicación importante es el error de monitoreo de fuente: una persona puede recordar un detalle pero equivocarse al identificar de dónde obtuvo esa información, atribuyéndola al acontecimiento original cuando en realidad provino de una conversación, pregunta, mensaje o descripción posterior. citeturn0search0turn0search2</w:t>
      </w:r>
    </w:p>
    <w:p>
      <w:pPr>
        <w:pStyle w:val="Heading1"/>
      </w:pPr>
      <w:r>
        <w:t>4. Qué significa “memoria reconstructiva”</w:t>
      </w:r>
    </w:p>
    <w:p>
      <w:pPr>
        <w:spacing w:after="120" w:line="259" w:lineRule="auto"/>
      </w:pPr>
      <w:r>
        <w:t>La memoria reconstructiva significa que el recuerdo se construye durante la recuperación. No implica que toda memoria sea falsa ni que el cerebro invente deliberadamente. Significa que recordar es un proceso dinámico en el que se combinan rastros del acontecimiento con información contextual y conocimiento posterior.</w:t>
      </w:r>
    </w:p>
    <w:p>
      <w:pPr>
        <w:spacing w:after="120" w:line="259" w:lineRule="auto"/>
      </w:pPr>
      <w:r>
        <w:t>Una revisión de la literatura describe la memoria como un proceso dinámico y constructivo susceptible a sesgos, distorsiones y errores durante la codificación, consolidación y recuperación. citeturn0search1turn0search3</w:t>
      </w:r>
    </w:p>
    <w:p>
      <w:pPr>
        <w:spacing w:after="120" w:line="259" w:lineRule="auto"/>
      </w:pPr>
      <w:r>
        <w:t>En términos sencillos: el cerebro no necesita conservar cada detalle de cada conversación para funcionar. Necesita construir una representación suficientemente útil para navegar el mundo. Esa eficiencia tiene un costo: cuando el detalle exacto importa, el recuerdo puede no ser una fuente perfecta de precisión.</w:t>
      </w:r>
    </w:p>
    <w:tbl>
      <w:tblPr>
        <w:tblW w:type="auto" w:w="0"/>
        <w:jc w:val="center"/>
        <w:tblLook w:firstColumn="1" w:firstRow="1" w:lastColumn="0" w:lastRow="0" w:noHBand="0" w:noVBand="1" w:val="04A0"/>
      </w:tblPr>
      <w:tblGrid>
        <w:gridCol w:w="9936"/>
      </w:tblGrid>
      <w:tr>
        <w:tc>
          <w:tcPr>
            <w:tcW w:type="dxa" w:w="9936"/>
            <w:vAlign w:val="center"/>
            <w:shd w:fill="EDEDED"/>
          </w:tcPr>
          <w:p>
            <w:r/>
            <w:r>
              <w:rPr>
                <w:b/>
                <w:sz w:val="22"/>
              </w:rPr>
              <w:t>NO CONFUNDIR</w:t>
              <w:br/>
            </w:r>
            <w:r>
              <w:rPr>
                <w:sz w:val="20"/>
              </w:rPr>
              <w:t>Memoria incorrecta ≠ mentira. Una persona puede expresar con seguridad algo que recuerda sinceramente y que, sin embargo, no coincide con el registro objetivo.</w:t>
            </w:r>
          </w:p>
        </w:tc>
      </w:tr>
    </w:tbl>
    <w:p/>
    <w:p>
      <w:pPr>
        <w:pStyle w:val="Heading1"/>
      </w:pPr>
      <w:r>
        <w:t>5. El efecto de desinformación</w:t>
      </w:r>
    </w:p>
    <w:p>
      <w:pPr>
        <w:spacing w:after="120" w:line="259" w:lineRule="auto"/>
      </w:pPr>
      <w:r>
        <w:t>El efecto de desinformación ocurre cuando información posterior a un evento influye en el recuerdo de ese evento. La información posterior puede llegar mediante una pregunta, una conversación, un informe, una versión de otra persona, una publicación o cualquier otro canal que modifique lo que la persona considera que ocurrió. citeturn0search2turn0search5</w:t>
      </w:r>
    </w:p>
    <w:p>
      <w:pPr>
        <w:spacing w:after="120" w:line="259" w:lineRule="auto"/>
      </w:pPr>
      <w:r>
        <w:t>La investigación también muestra que la vulnerabilidad no depende exclusivamente de que alguien quiera engañar. La información puede ser incorporada o confundida con el recuerdo por procesos normales de atribución de fuente y reconstrucción. citeturn0search0turn0search5</w:t>
      </w:r>
    </w:p>
    <w:p>
      <w:pPr>
        <w:spacing w:after="120" w:line="259" w:lineRule="auto"/>
      </w:pPr>
      <w:r>
        <w:t>Esto es especialmente importante en operaciones: cuanto más tiempo pasa entre el evento y la reconstrucción del hecho, y cuanto más conversaciones posteriores existen, mayor puede ser la cantidad de información que rodea al recuerdo original. La literatura identifica el tiempo transcurrido y la exposición a información posterior como variables relevantes. citeturn0search2</w:t>
      </w:r>
    </w:p>
    <w:p>
      <w:r>
        <w:br w:type="page"/>
      </w:r>
    </w:p>
    <w:p>
      <w:pPr>
        <w:pStyle w:val="Heading1"/>
      </w:pPr>
      <w:r>
        <w:t>6. “Efecto Mandela Corporativo”: definición operativa</w:t>
      </w:r>
    </w:p>
    <w:tbl>
      <w:tblPr>
        <w:tblW w:type="auto" w:w="0"/>
        <w:jc w:val="center"/>
        <w:tblLook w:firstColumn="1" w:firstRow="1" w:lastColumn="0" w:lastRow="0" w:noHBand="0" w:noVBand="1" w:val="04A0"/>
      </w:tblPr>
      <w:tblGrid>
        <w:gridCol w:w="9936"/>
      </w:tblGrid>
      <w:tr>
        <w:tc>
          <w:tcPr>
            <w:tcW w:type="dxa" w:w="9936"/>
            <w:vAlign w:val="center"/>
            <w:shd w:fill="EDEDED"/>
          </w:tcPr>
          <w:p>
            <w:r/>
            <w:r>
              <w:rPr>
                <w:b/>
                <w:sz w:val="22"/>
              </w:rPr>
              <w:t>DEFINICIÓN DE TRABAJO</w:t>
              <w:br/>
            </w:r>
            <w:r>
              <w:rPr>
                <w:sz w:val="20"/>
              </w:rPr>
              <w:t>Fenómeno operativo en el que dos o más personas recuerdan o reportan de manera diferente un mismo acuerdo, instrucción o acontecimiento, y cada una puede estar genuinamente convencida de que su versión es correcta.</w:t>
            </w:r>
          </w:p>
        </w:tc>
      </w:tr>
    </w:tbl>
    <w:p/>
    <w:p>
      <w:pPr>
        <w:spacing w:after="120" w:line="259" w:lineRule="auto"/>
      </w:pPr>
      <w:r>
        <w:t>El nombre es deliberadamente metafórico. El “Efecto Mandela” popular describe discrepancias colectivas entre lo que muchas personas creen recordar y lo que muestran los registros. En este documento, “Efecto Mandela Corporativo” no se presenta como diagnóstico psicológico ni como término académico de Elizabeth Loftus.</w:t>
      </w:r>
    </w:p>
    <w:p>
      <w:pPr>
        <w:spacing w:after="120" w:line="259" w:lineRule="auto"/>
      </w:pPr>
      <w:r>
        <w:t>Para una organización, la pregunta útil no es “¿quién recuerda mejor?”, sino “¿cuál es la evidencia contemporánea y verificable del acuerdo?”.</w:t>
      </w:r>
    </w:p>
    <w:p>
      <w:pPr>
        <w:pStyle w:val="Heading1"/>
      </w:pPr>
      <w:r>
        <w:t>7. Cómo se produce en una organización</w:t>
      </w:r>
    </w:p>
    <w:tbl>
      <w:tblPr>
        <w:tblW w:type="auto" w:w="0"/>
        <w:jc w:val="center"/>
        <w:tblLook w:firstColumn="1" w:firstRow="1" w:lastColumn="0" w:lastRow="0" w:noHBand="0" w:noVBand="1" w:val="04A0"/>
      </w:tblPr>
      <w:tblGrid>
        <w:gridCol w:w="2484"/>
        <w:gridCol w:w="2484"/>
        <w:gridCol w:w="2484"/>
        <w:gridCol w:w="2484"/>
      </w:tblGrid>
      <w:tr>
        <w:tc>
          <w:tcPr>
            <w:tcW w:type="dxa" w:w="2484"/>
          </w:tcPr>
          <w:p>
            <w:r>
              <w:t>Etapa</w:t>
            </w:r>
          </w:p>
        </w:tc>
        <w:tc>
          <w:tcPr>
            <w:tcW w:type="dxa" w:w="2484"/>
          </w:tcPr>
          <w:p>
            <w:r>
              <w:t>Qué ocurre</w:t>
            </w:r>
          </w:p>
        </w:tc>
        <w:tc>
          <w:tcPr>
            <w:tcW w:type="dxa" w:w="2484"/>
          </w:tcPr>
          <w:p>
            <w:r>
              <w:t>Riesgo</w:t>
            </w:r>
          </w:p>
        </w:tc>
        <w:tc>
          <w:tcPr>
            <w:tcW w:type="dxa" w:w="2484"/>
          </w:tcPr>
          <w:p>
            <w:r>
              <w:t>Control</w:t>
            </w:r>
          </w:p>
        </w:tc>
      </w:tr>
      <w:tr>
        <w:tc>
          <w:tcPr>
            <w:tcW w:type="dxa" w:w="2484"/>
          </w:tcPr>
          <w:p>
            <w:r>
              <w:t>1. Acuerdo inicial</w:t>
            </w:r>
          </w:p>
        </w:tc>
        <w:tc>
          <w:tcPr>
            <w:tcW w:type="dxa" w:w="2484"/>
          </w:tcPr>
          <w:p>
            <w:r>
              <w:t>Se conversa y se toma una decisión.</w:t>
            </w:r>
          </w:p>
        </w:tc>
        <w:tc>
          <w:tcPr>
            <w:tcW w:type="dxa" w:w="2484"/>
          </w:tcPr>
          <w:p>
            <w:r>
              <w:t>La decisión queda en memoria o en canales dispersos.</w:t>
            </w:r>
          </w:p>
        </w:tc>
        <w:tc>
          <w:tcPr>
            <w:tcW w:type="dxa" w:w="2484"/>
          </w:tcPr>
          <w:p>
            <w:r>
              <w:t>Registrar el acuerdo inmediatamente.</w:t>
            </w:r>
          </w:p>
        </w:tc>
      </w:tr>
      <w:tr>
        <w:tc>
          <w:tcPr>
            <w:tcW w:type="dxa" w:w="2484"/>
          </w:tcPr>
          <w:p>
            <w:r>
              <w:t>2. Reinterpretación</w:t>
            </w:r>
          </w:p>
        </w:tc>
        <w:tc>
          <w:tcPr>
            <w:tcW w:type="dxa" w:w="2484"/>
          </w:tcPr>
          <w:p>
            <w:r>
              <w:t>Cada persona conecta la decisión con su contexto y expectativas.</w:t>
            </w:r>
          </w:p>
        </w:tc>
        <w:tc>
          <w:tcPr>
            <w:tcW w:type="dxa" w:w="2484"/>
          </w:tcPr>
          <w:p>
            <w:r>
              <w:t>Aparecen pequeñas diferencias.</w:t>
            </w:r>
          </w:p>
        </w:tc>
        <w:tc>
          <w:tcPr>
            <w:tcW w:type="dxa" w:w="2484"/>
          </w:tcPr>
          <w:p>
            <w:r>
              <w:t>Especificar alcance, responsable y fecha.</w:t>
            </w:r>
          </w:p>
        </w:tc>
      </w:tr>
      <w:tr>
        <w:tc>
          <w:tcPr>
            <w:tcW w:type="dxa" w:w="2484"/>
          </w:tcPr>
          <w:p>
            <w:r>
              <w:t>3. Información posterior</w:t>
            </w:r>
          </w:p>
        </w:tc>
        <w:tc>
          <w:tcPr>
            <w:tcW w:type="dxa" w:w="2484"/>
          </w:tcPr>
          <w:p>
            <w:r>
              <w:t>Se envían mensajes, cambios, audios o nuevas instrucciones.</w:t>
            </w:r>
          </w:p>
        </w:tc>
        <w:tc>
          <w:tcPr>
            <w:tcW w:type="dxa" w:w="2484"/>
          </w:tcPr>
          <w:p>
            <w:r>
              <w:t>Se mezcla lo nuevo con lo anterior.</w:t>
            </w:r>
          </w:p>
        </w:tc>
        <w:tc>
          <w:tcPr>
            <w:tcW w:type="dxa" w:w="2484"/>
          </w:tcPr>
          <w:p>
            <w:r>
              <w:t>Registrar cada cambio como nueva versión.</w:t>
            </w:r>
          </w:p>
        </w:tc>
      </w:tr>
      <w:tr>
        <w:tc>
          <w:tcPr>
            <w:tcW w:type="dxa" w:w="2484"/>
          </w:tcPr>
          <w:p>
            <w:r>
              <w:t>4. Repetición</w:t>
            </w:r>
          </w:p>
        </w:tc>
        <w:tc>
          <w:tcPr>
            <w:tcW w:type="dxa" w:w="2484"/>
          </w:tcPr>
          <w:p>
            <w:r>
              <w:t>El equipo vuelve a contar lo ocurrido.</w:t>
            </w:r>
          </w:p>
        </w:tc>
        <w:tc>
          <w:tcPr>
            <w:tcW w:type="dxa" w:w="2484"/>
          </w:tcPr>
          <w:p>
            <w:r>
              <w:t>La versión narrada gana familiaridad.</w:t>
            </w:r>
          </w:p>
        </w:tc>
        <w:tc>
          <w:tcPr>
            <w:tcW w:type="dxa" w:w="2484"/>
          </w:tcPr>
          <w:p>
            <w:r>
              <w:t>Volver siempre al registro fuente.</w:t>
            </w:r>
          </w:p>
        </w:tc>
      </w:tr>
      <w:tr>
        <w:tc>
          <w:tcPr>
            <w:tcW w:type="dxa" w:w="2484"/>
          </w:tcPr>
          <w:p>
            <w:r>
              <w:t>5. Conflicto</w:t>
            </w:r>
          </w:p>
        </w:tc>
        <w:tc>
          <w:tcPr>
            <w:tcW w:type="dxa" w:w="2484"/>
          </w:tcPr>
          <w:p>
            <w:r>
              <w:t>Aparecen dos versiones incompatibles.</w:t>
            </w:r>
          </w:p>
        </w:tc>
        <w:tc>
          <w:tcPr>
            <w:tcW w:type="dxa" w:w="2484"/>
          </w:tcPr>
          <w:p>
            <w:r>
              <w:t>Se personaliza el problema: “tú dijiste / yo entendí”.</w:t>
            </w:r>
          </w:p>
        </w:tc>
        <w:tc>
          <w:tcPr>
            <w:tcW w:type="dxa" w:w="2484"/>
          </w:tcPr>
          <w:p>
            <w:r>
              <w:t>Resolver con evidencia y trazabilidad.</w:t>
            </w:r>
          </w:p>
        </w:tc>
      </w:tr>
    </w:tbl>
    <w:p>
      <w:pPr>
        <w:pStyle w:val="Heading2"/>
      </w:pPr>
      <w:r>
        <w:t>8. Ejemplos de “Mandela corporativo”</w:t>
      </w:r>
    </w:p>
    <w:p>
      <w:pPr>
        <w:pStyle w:val="ListBullet"/>
        <w:spacing w:after="60"/>
      </w:pPr>
      <w:r>
        <w:t>Fecha: “Habíamos acordado que era el viernes.” / “No, era el sábado.”</w:t>
      </w:r>
    </w:p>
    <w:p>
      <w:pPr>
        <w:pStyle w:val="ListBullet"/>
        <w:spacing w:after="60"/>
      </w:pPr>
      <w:r>
        <w:t>Responsable: “Yo entendí que Joyce lo hacía.” / “Yo entendí que lo hacía Diana.”</w:t>
      </w:r>
    </w:p>
    <w:p>
      <w:pPr>
        <w:pStyle w:val="ListBullet"/>
        <w:spacing w:after="60"/>
      </w:pPr>
      <w:r>
        <w:t>Condición: “Se había confirmado asistencia.” / “Solo había mostrado interés.”</w:t>
      </w:r>
    </w:p>
    <w:p>
      <w:pPr>
        <w:pStyle w:val="ListBullet"/>
        <w:spacing w:after="60"/>
      </w:pPr>
      <w:r>
        <w:t>Cambio: “La nueva instrucción reemplazaba la anterior.” / “Era solo una sugerencia.”</w:t>
      </w:r>
    </w:p>
    <w:p>
      <w:pPr>
        <w:pStyle w:val="ListBullet"/>
        <w:spacing w:after="60"/>
      </w:pPr>
      <w:r>
        <w:t>Alcance: “Esto aplicaba a todo el equipo.” / “Solo aplicaba a un caso.”</w:t>
      </w:r>
    </w:p>
    <w:p>
      <w:pPr>
        <w:pStyle w:val="ListBullet"/>
        <w:spacing w:after="60"/>
      </w:pPr>
      <w:r>
        <w:t>Promesa: “Se había garantizado.” / “Se dijo que se iba a intentar.”</w:t>
      </w:r>
    </w:p>
    <w:p>
      <w:r>
        <w:br w:type="page"/>
      </w:r>
    </w:p>
    <w:p>
      <w:pPr>
        <w:pStyle w:val="Heading1"/>
      </w:pPr>
      <w:r>
        <w:t>9. Por qué esto importa especialmente en CREAR Poder Sin Límites</w:t>
      </w:r>
    </w:p>
    <w:p>
      <w:pPr>
        <w:spacing w:after="120" w:line="259" w:lineRule="auto"/>
      </w:pPr>
      <w:r>
        <w:t>En una operación de entrenamientos, la coordinación depende de múltiples personas, fechas, sedes, confirmaciones, responsabilidades y cambios. El sistema puede involucrar gerencia, coordinación, managers, capitanes, aliados, entrenadores y equipos de apoyo. Cuando muchas personas necesitan actuar sobre una misma información, la precisión del registro deja de ser un asunto administrativo menor y se convierte en una condición de ejecución.</w:t>
      </w:r>
    </w:p>
    <w:p>
      <w:pPr>
        <w:spacing w:after="120" w:line="259" w:lineRule="auto"/>
      </w:pPr>
      <w:r>
        <w:t>Los mensajes de confirmación de C1 muestran precisamente la utilidad de separar información operativa por bloques. Por ejemplo, el material utilizado para C1 E28 contiene un mensaje específico para confirmar participación, con una respuesta inequívoca (“CONFIRMO MI ASISTENCIA”), y mensajes separados para lugar, fechas, horarios y condiciones. fileciteturn0file0L15-L26 fileciteturn0file0L30-L49</w:t>
      </w:r>
    </w:p>
    <w:p>
      <w:pPr>
        <w:spacing w:after="120" w:line="259" w:lineRule="auto"/>
      </w:pPr>
      <w:r>
        <w:t>Este diseño reduce ambigüedad porque convierte una conversación abierta en una acción verificable: una persona recibe la condición, responde con una fórmula definida y la organización puede conservar esa respuesta como evidencia de la confirmación. El objetivo no es “ganarle” a la memoria, sino reducir la cantidad de información que debe ser reconstruida posteriormente.</w:t>
      </w:r>
    </w:p>
    <w:p>
      <w:pPr>
        <w:spacing w:after="120" w:line="259" w:lineRule="auto"/>
      </w:pPr>
      <w:r>
        <w:t>También es útil separar condiciones generales de la información logística. En el material de C1 E28, puntualidad, asistencia completa, participación y otras condiciones aparecen en un bloque específico. fileciteturn0file0L53-L62</w:t>
      </w:r>
    </w:p>
    <w:p>
      <w:pPr>
        <w:pStyle w:val="Heading1"/>
      </w:pPr>
      <w:r>
        <w:t>10. La regla corporativa de oro</w:t>
      </w:r>
    </w:p>
    <w:tbl>
      <w:tblPr>
        <w:tblW w:type="auto" w:w="0"/>
        <w:jc w:val="center"/>
        <w:tblLook w:firstColumn="1" w:firstRow="1" w:lastColumn="0" w:lastRow="0" w:noHBand="0" w:noVBand="1" w:val="04A0"/>
      </w:tblPr>
      <w:tblGrid>
        <w:gridCol w:w="9936"/>
      </w:tblGrid>
      <w:tr>
        <w:tc>
          <w:tcPr>
            <w:tcW w:type="dxa" w:w="9936"/>
            <w:vAlign w:val="center"/>
            <w:shd w:fill="EDEDED"/>
          </w:tcPr>
          <w:p>
            <w:r/>
            <w:r>
              <w:rPr>
                <w:b/>
                <w:sz w:val="22"/>
              </w:rPr>
              <w:t>REGLA</w:t>
              <w:br/>
            </w:r>
            <w:r>
              <w:rPr>
                <w:sz w:val="20"/>
              </w:rPr>
              <w:t>Si un dato puede producir una decisión, un gasto, una obligación, una expectativa, un cambio de agenda, una asignación de responsabilidad o un conflicto posterior, no debe depender exclusivamente de la memoria.</w:t>
            </w:r>
          </w:p>
        </w:tc>
      </w:tr>
    </w:tbl>
    <w:p/>
    <w:p>
      <w:pPr>
        <w:spacing w:after="120" w:line="259" w:lineRule="auto"/>
      </w:pPr>
      <w:r>
        <w:t>La conversación puede iniciar el acuerdo. El registro debe cerrarlo.</w:t>
      </w:r>
    </w:p>
    <w:p>
      <w:pPr>
        <w:pStyle w:val="Heading2"/>
      </w:pPr>
      <w:r>
        <w:t>11. Qué debe quedar por escrito</w:t>
      </w:r>
    </w:p>
    <w:p>
      <w:pPr>
        <w:pStyle w:val="ListBullet"/>
        <w:spacing w:after="60"/>
      </w:pPr>
      <w:r>
        <w:t>Qué se decidió.</w:t>
      </w:r>
    </w:p>
    <w:p>
      <w:pPr>
        <w:pStyle w:val="ListBullet"/>
        <w:spacing w:after="60"/>
      </w:pPr>
      <w:r>
        <w:t>Quién decide o autoriza.</w:t>
      </w:r>
    </w:p>
    <w:p>
      <w:pPr>
        <w:pStyle w:val="ListBullet"/>
        <w:spacing w:after="60"/>
      </w:pPr>
      <w:r>
        <w:t>Quién ejecuta.</w:t>
      </w:r>
    </w:p>
    <w:p>
      <w:pPr>
        <w:pStyle w:val="ListBullet"/>
        <w:spacing w:after="60"/>
      </w:pPr>
      <w:r>
        <w:t>A quién aplica.</w:t>
      </w:r>
    </w:p>
    <w:p>
      <w:pPr>
        <w:pStyle w:val="ListBullet"/>
        <w:spacing w:after="60"/>
      </w:pPr>
      <w:r>
        <w:t>Fecha y hora del acuerdo.</w:t>
      </w:r>
    </w:p>
    <w:p>
      <w:pPr>
        <w:pStyle w:val="ListBullet"/>
        <w:spacing w:after="60"/>
      </w:pPr>
      <w:r>
        <w:t>Fecha efectiva de ejecución.</w:t>
      </w:r>
    </w:p>
    <w:p>
      <w:pPr>
        <w:pStyle w:val="ListBullet"/>
        <w:spacing w:after="60"/>
      </w:pPr>
      <w:r>
        <w:t>Condiciones o excepciones.</w:t>
      </w:r>
    </w:p>
    <w:p>
      <w:pPr>
        <w:pStyle w:val="ListBullet"/>
        <w:spacing w:after="60"/>
      </w:pPr>
      <w:r>
        <w:t>Recursos o presupuesto comprometido, cuando corresponda.</w:t>
      </w:r>
    </w:p>
    <w:p>
      <w:pPr>
        <w:pStyle w:val="ListBullet"/>
        <w:spacing w:after="60"/>
      </w:pPr>
      <w:r>
        <w:t>Canal o documento que constituye la fuente oficial.</w:t>
      </w:r>
    </w:p>
    <w:p>
      <w:pPr>
        <w:pStyle w:val="ListBullet"/>
        <w:spacing w:after="60"/>
      </w:pPr>
      <w:r>
        <w:t>Versión vigente y, cuando haya cambios, referencia a la versión anterior.</w:t>
      </w:r>
    </w:p>
    <w:p>
      <w:pPr>
        <w:pStyle w:val="ListBullet"/>
        <w:spacing w:after="60"/>
      </w:pPr>
      <w:r>
        <w:t>Confirmación de las personas responsables.</w:t>
      </w:r>
    </w:p>
    <w:p>
      <w:pPr>
        <w:pStyle w:val="Heading2"/>
      </w:pPr>
      <w:r>
        <w:t>12. Qué NO es suficiente como control</w:t>
      </w:r>
    </w:p>
    <w:p>
      <w:pPr>
        <w:pStyle w:val="ListBullet"/>
        <w:spacing w:after="60"/>
      </w:pPr>
      <w:r>
        <w:t>“Todos lo saben.”</w:t>
      </w:r>
    </w:p>
    <w:p>
      <w:pPr>
        <w:pStyle w:val="ListBullet"/>
        <w:spacing w:after="60"/>
      </w:pPr>
      <w:r>
        <w:t>“Lo hablamos en la reunión.”</w:t>
      </w:r>
    </w:p>
    <w:p>
      <w:pPr>
        <w:pStyle w:val="ListBullet"/>
        <w:spacing w:after="60"/>
      </w:pPr>
      <w:r>
        <w:t>“Yo tengo claro que fue así.”</w:t>
      </w:r>
    </w:p>
    <w:p>
      <w:pPr>
        <w:pStyle w:val="ListBullet"/>
        <w:spacing w:after="60"/>
      </w:pPr>
      <w:r>
        <w:t>“Ella estaba presente.”</w:t>
      </w:r>
    </w:p>
    <w:p>
      <w:pPr>
        <w:pStyle w:val="ListBullet"/>
        <w:spacing w:after="60"/>
      </w:pPr>
      <w:r>
        <w:t>“Lo mandé por un audio.”</w:t>
      </w:r>
    </w:p>
    <w:p>
      <w:pPr>
        <w:pStyle w:val="ListBullet"/>
        <w:spacing w:after="60"/>
      </w:pPr>
      <w:r>
        <w:t>“Lo conversamos en el grupo.”</w:t>
      </w:r>
    </w:p>
    <w:p>
      <w:pPr>
        <w:pStyle w:val="ListBullet"/>
        <w:spacing w:after="60"/>
      </w:pPr>
      <w:r>
        <w:t>“Siempre se ha hecho así.”</w:t>
      </w:r>
    </w:p>
    <w:p>
      <w:pPr>
        <w:spacing w:after="120" w:line="259" w:lineRule="auto"/>
      </w:pPr>
      <w:r>
        <w:t>Estas frases pueden describir una realidad, pero no constituyen por sí mismas un sistema robusto de trazabilidad.</w:t>
      </w:r>
    </w:p>
    <w:p>
      <w:r>
        <w:br w:type="page"/>
      </w:r>
    </w:p>
    <w:p>
      <w:pPr>
        <w:pStyle w:val="Heading1"/>
      </w:pPr>
      <w:r>
        <w:t>13. Protocolo corporativo de acuerdos auditables</w:t>
      </w:r>
    </w:p>
    <w:p>
      <w:pPr>
        <w:spacing w:after="120" w:line="259" w:lineRule="auto"/>
      </w:pPr>
      <w:r>
        <w:t>Se propone el siguiente estándar para decisiones operativas relevantes.</w:t>
      </w:r>
    </w:p>
    <w:p>
      <w:pPr>
        <w:pStyle w:val="Heading2"/>
      </w:pPr>
      <w:r>
        <w:t>Paso 1 — DECIDIR</w:t>
      </w:r>
    </w:p>
    <w:p>
      <w:pPr>
        <w:spacing w:after="120" w:line="259" w:lineRule="auto"/>
      </w:pPr>
      <w:r>
        <w:t>La persona con autoridad toma o valida la decisión. Si la conversación ocurre verbalmente, debe existir posteriormente un registro escrito que la formalice.</w:t>
      </w:r>
    </w:p>
    <w:p>
      <w:pPr>
        <w:pStyle w:val="Heading2"/>
      </w:pPr>
      <w:r>
        <w:t>Paso 2 — DOCUMENTAR</w:t>
      </w:r>
    </w:p>
    <w:p>
      <w:pPr>
        <w:spacing w:after="120" w:line="259" w:lineRule="auto"/>
      </w:pPr>
      <w:r>
        <w:t>Registrar el acuerdo en un canal definido: acta, correo, sistema, documento compartido o mensaje formalizado, según el tipo de decisión.</w:t>
      </w:r>
    </w:p>
    <w:p>
      <w:pPr>
        <w:pStyle w:val="Heading2"/>
      </w:pPr>
      <w:r>
        <w:t>Paso 3 — ESPECIFICAR</w:t>
      </w:r>
    </w:p>
    <w:p>
      <w:pPr>
        <w:spacing w:after="120" w:line="259" w:lineRule="auto"/>
      </w:pPr>
      <w:r>
        <w:t>Eliminar palabras ambiguas. Sustituir “pronto”, “más tarde”, “como siempre”, “todos”, “algunos”, “aproximadamente” o “cuando se pueda” por datos concretos cuando esos datos sean relevantes para la ejecución.</w:t>
      </w:r>
    </w:p>
    <w:p>
      <w:pPr>
        <w:pStyle w:val="Heading2"/>
      </w:pPr>
      <w:r>
        <w:t>Paso 4 — CONFIRMAR</w:t>
      </w:r>
    </w:p>
    <w:p>
      <w:pPr>
        <w:spacing w:after="120" w:line="259" w:lineRule="auto"/>
      </w:pPr>
      <w:r>
        <w:t>La persona responsable debe confirmar que recibió y comprendió la instrucción. La confirmación no significa necesariamente “estoy de acuerdo”; significa “he recibido la instrucción y conozco qué debo hacer”, salvo que el proceso requiera aprobación.</w:t>
      </w:r>
    </w:p>
    <w:p>
      <w:pPr>
        <w:pStyle w:val="Heading2"/>
      </w:pPr>
      <w:r>
        <w:t>Paso 5 — EJECUTAR</w:t>
      </w:r>
    </w:p>
    <w:p>
      <w:pPr>
        <w:spacing w:after="120" w:line="259" w:lineRule="auto"/>
      </w:pPr>
      <w:r>
        <w:t>La acción se realiza conforme a la versión vigente del acuerdo.</w:t>
      </w:r>
    </w:p>
    <w:p>
      <w:pPr>
        <w:pStyle w:val="Heading2"/>
      </w:pPr>
      <w:r>
        <w:t>Paso 6 — CAMBIAR CON CONTROL</w:t>
      </w:r>
    </w:p>
    <w:p>
      <w:pPr>
        <w:spacing w:after="120" w:line="259" w:lineRule="auto"/>
      </w:pPr>
      <w:r>
        <w:t>Si cambia una condición, no se edita silenciosamente el pasado. Se registra un nuevo cambio con fecha, responsable, motivo y alcance.</w:t>
      </w:r>
    </w:p>
    <w:p>
      <w:pPr>
        <w:pStyle w:val="Heading2"/>
      </w:pPr>
      <w:r>
        <w:t>Paso 7 — CERRAR</w:t>
      </w:r>
    </w:p>
    <w:p>
      <w:pPr>
        <w:spacing w:after="120" w:line="259" w:lineRule="auto"/>
      </w:pPr>
      <w:r>
        <w:t>Una vez ejecutada la acción, se registra el resultado: completado, pendiente, no ejecutado, reprogramado o cancelado.</w:t>
      </w:r>
    </w:p>
    <w:p>
      <w:pPr>
        <w:pStyle w:val="Heading2"/>
      </w:pPr>
      <w:r>
        <w:t>14. Plantilla de acuerdo operativo</w:t>
      </w:r>
    </w:p>
    <w:p>
      <w:pPr>
        <w:spacing w:after="120" w:line="259" w:lineRule="auto"/>
      </w:pPr>
      <w:r>
        <w:t>ACUERDO / DECISIÓN: ________________________________________________</w:t>
      </w:r>
    </w:p>
    <w:p>
      <w:pPr>
        <w:spacing w:after="120" w:line="259" w:lineRule="auto"/>
      </w:pPr>
      <w:r>
        <w:t>Fecha y hora: ________________________________________________</w:t>
      </w:r>
    </w:p>
    <w:p>
      <w:pPr>
        <w:spacing w:after="120" w:line="259" w:lineRule="auto"/>
      </w:pPr>
      <w:r>
        <w:t>Responsable de decisión: ________________________________________________</w:t>
      </w:r>
    </w:p>
    <w:p>
      <w:pPr>
        <w:spacing w:after="120" w:line="259" w:lineRule="auto"/>
      </w:pPr>
      <w:r>
        <w:t>Responsable de ejecución: ________________________________________________</w:t>
      </w:r>
    </w:p>
    <w:p>
      <w:pPr>
        <w:spacing w:after="120" w:line="259" w:lineRule="auto"/>
      </w:pPr>
      <w:r>
        <w:t>Personas/equipos afectados: ________________________________________________</w:t>
      </w:r>
    </w:p>
    <w:p>
      <w:pPr>
        <w:spacing w:after="120" w:line="259" w:lineRule="auto"/>
      </w:pPr>
      <w:r>
        <w:t>Acción concreta: ________________________________________________</w:t>
      </w:r>
    </w:p>
    <w:p>
      <w:pPr>
        <w:spacing w:after="120" w:line="259" w:lineRule="auto"/>
      </w:pPr>
      <w:r>
        <w:t>Fecha límite: ________________________________________________</w:t>
      </w:r>
    </w:p>
    <w:p>
      <w:pPr>
        <w:spacing w:after="120" w:line="259" w:lineRule="auto"/>
      </w:pPr>
      <w:r>
        <w:t>Condiciones: ________________________________________________</w:t>
      </w:r>
    </w:p>
    <w:p>
      <w:pPr>
        <w:spacing w:after="120" w:line="259" w:lineRule="auto"/>
      </w:pPr>
      <w:r>
        <w:t>Recursos / presupuesto: ________________________________________________</w:t>
      </w:r>
    </w:p>
    <w:p>
      <w:pPr>
        <w:spacing w:after="120" w:line="259" w:lineRule="auto"/>
      </w:pPr>
      <w:r>
        <w:t>Evidencia esperada: ________________________________________________</w:t>
      </w:r>
    </w:p>
    <w:p>
      <w:pPr>
        <w:spacing w:after="120" w:line="259" w:lineRule="auto"/>
      </w:pPr>
      <w:r>
        <w:t>Canal o documento oficial: ________________________________________________</w:t>
      </w:r>
    </w:p>
    <w:p>
      <w:pPr>
        <w:spacing w:after="120" w:line="259" w:lineRule="auto"/>
      </w:pPr>
      <w:r>
        <w:t>Confirmación: ________________________________________________</w:t>
      </w:r>
    </w:p>
    <w:p>
      <w:pPr>
        <w:spacing w:after="120" w:line="259" w:lineRule="auto"/>
      </w:pPr>
      <w:r>
        <w:t>Cambios posteriores: ________________________________________________</w:t>
      </w:r>
    </w:p>
    <w:p>
      <w:pPr>
        <w:spacing w:after="120" w:line="259" w:lineRule="auto"/>
      </w:pPr>
      <w:r>
        <w:t>Cierre / resultado: ________________________________________________</w:t>
      </w:r>
    </w:p>
    <w:p>
      <w:pPr>
        <w:pStyle w:val="Heading2"/>
      </w:pPr>
      <w:r>
        <w:t>15. Plantilla para confirmar una instrucción</w:t>
      </w:r>
    </w:p>
    <w:p>
      <w:pPr>
        <w:spacing w:after="120" w:line="259" w:lineRule="auto"/>
      </w:pPr>
      <w:r>
        <w:t>“Confirmo recepción de la instrucción indicada en este mensaje. Entiendo que la acción es [acción], que corresponde a [responsable], con fecha límite [fecha/hora], y que aplica a [alcance]. Si existe alguna diferencia con lo anterior, la reportaré antes de ejecutar.”</w:t>
      </w:r>
    </w:p>
    <w:p>
      <w:r>
        <w:br w:type="page"/>
      </w:r>
    </w:p>
    <w:p>
      <w:pPr>
        <w:pStyle w:val="Heading1"/>
      </w:pPr>
      <w:r>
        <w:t>16. Auditoría: cómo resolver dos versiones diferentes</w:t>
      </w:r>
    </w:p>
    <w:p>
      <w:pPr>
        <w:spacing w:after="120" w:line="259" w:lineRule="auto"/>
      </w:pPr>
      <w:r>
        <w:t>Cuando aparecen dos recuerdos incompatibles, la organización no debe convertir inmediatamente la discrepancia en un juicio sobre la honestidad de las personas. Primero debe reconstruir la evidencia.</w:t>
      </w:r>
    </w:p>
    <w:p>
      <w:pPr>
        <w:pStyle w:val="ListNumber"/>
        <w:spacing w:after="60"/>
      </w:pPr>
      <w:r>
        <w:t>Identificar exactamente qué punto está en disputa. No discutir “todo el acuerdo”; aislar el dato: fecha, hora, responsable, condición, monto, alcance, etc.</w:t>
      </w:r>
    </w:p>
    <w:p>
      <w:pPr>
        <w:pStyle w:val="ListNumber"/>
        <w:spacing w:after="60"/>
      </w:pPr>
      <w:r>
        <w:t>Buscar el registro más cercano temporalmente al acontecimiento: acta, mensaje, correo, formulario, sistema o documento.</w:t>
      </w:r>
    </w:p>
    <w:p>
      <w:pPr>
        <w:pStyle w:val="ListNumber"/>
        <w:spacing w:after="60"/>
      </w:pPr>
      <w:r>
        <w:t>Verificar si hubo información posterior que pudiera haber cambiado la interpretación.</w:t>
      </w:r>
    </w:p>
    <w:p>
      <w:pPr>
        <w:pStyle w:val="ListNumber"/>
        <w:spacing w:after="60"/>
      </w:pPr>
      <w:r>
        <w:t>Determinar cuál era la versión vigente en el momento de ejecución.</w:t>
      </w:r>
    </w:p>
    <w:p>
      <w:pPr>
        <w:pStyle w:val="ListNumber"/>
        <w:spacing w:after="60"/>
      </w:pPr>
      <w:r>
        <w:t>Registrar la resolución y, si corresponde, actualizar el procedimiento para evitar la repetición.</w:t>
      </w:r>
    </w:p>
    <w:p>
      <w:pPr>
        <w:spacing w:after="120" w:line="259" w:lineRule="auto"/>
      </w:pPr>
      <w:r>
        <w:t>La evidencia posterior puede ser útil para reconstruir una secuencia, pero no debe confundirse con la prueba original de que algo fue acordado. El sistema debe distinguir entre “lo que alguien recuerda que se dijo” y “lo que quedó formalmente registrado en ese momento”.</w:t>
      </w:r>
    </w:p>
    <w:p>
      <w:pPr>
        <w:pStyle w:val="Heading2"/>
      </w:pPr>
      <w:r>
        <w:t>17. Jerarquía recomendada de evidencia operativa</w:t>
      </w:r>
    </w:p>
    <w:p>
      <w:pPr>
        <w:pStyle w:val="ListBullet"/>
        <w:spacing w:after="60"/>
      </w:pPr>
      <w:r>
        <w:t>Documento o sistema oficial con control de versión.</w:t>
      </w:r>
    </w:p>
    <w:p>
      <w:pPr>
        <w:pStyle w:val="ListBullet"/>
        <w:spacing w:after="60"/>
      </w:pPr>
      <w:r>
        <w:t>Acta o registro formal fechado.</w:t>
      </w:r>
    </w:p>
    <w:p>
      <w:pPr>
        <w:pStyle w:val="ListBullet"/>
        <w:spacing w:after="60"/>
      </w:pPr>
      <w:r>
        <w:t>Correo o mensaje formal con fecha y hora.</w:t>
      </w:r>
    </w:p>
    <w:p>
      <w:pPr>
        <w:pStyle w:val="ListBullet"/>
        <w:spacing w:after="60"/>
      </w:pPr>
      <w:r>
        <w:t>Confirmación explícita de la persona responsable.</w:t>
      </w:r>
    </w:p>
    <w:p>
      <w:pPr>
        <w:pStyle w:val="ListBullet"/>
        <w:spacing w:after="60"/>
      </w:pPr>
      <w:r>
        <w:t>Registro de ejecución: pago, asistencia, entrega, formulario, etc.</w:t>
      </w:r>
    </w:p>
    <w:p>
      <w:pPr>
        <w:pStyle w:val="ListBullet"/>
        <w:spacing w:after="60"/>
      </w:pPr>
      <w:r>
        <w:t>Capturas o evidencias secundarias.</w:t>
      </w:r>
    </w:p>
    <w:p>
      <w:pPr>
        <w:pStyle w:val="ListBullet"/>
        <w:spacing w:after="60"/>
      </w:pPr>
      <w:r>
        <w:t>Memoria verbal de los participantes.</w:t>
      </w:r>
    </w:p>
    <w:p>
      <w:pPr>
        <w:spacing w:after="120" w:line="259" w:lineRule="auto"/>
      </w:pPr>
      <w:r>
        <w:t>La jerarquía exacta puede adaptarse a los procesos legales, financieros o de protección de datos aplicables. El objetivo es operativo: cuanto mayor sea el impacto de una decisión, mayor debe ser su nivel de trazabilidad.</w:t>
      </w:r>
    </w:p>
    <w:p>
      <w:pPr>
        <w:pStyle w:val="Heading2"/>
      </w:pPr>
      <w:r>
        <w:t>18. Matriz de riesgo: cuándo exigir registro reforzado</w:t>
      </w:r>
    </w:p>
    <w:tbl>
      <w:tblPr>
        <w:tblW w:type="auto" w:w="0"/>
        <w:tblLook w:firstColumn="1" w:firstRow="1" w:lastColumn="0" w:lastRow="0" w:noHBand="0" w:noVBand="1" w:val="04A0"/>
      </w:tblPr>
      <w:tblGrid>
        <w:gridCol w:w="3312"/>
        <w:gridCol w:w="3312"/>
        <w:gridCol w:w="3312"/>
      </w:tblGrid>
      <w:tr>
        <w:tc>
          <w:tcPr>
            <w:tcW w:type="dxa" w:w="3312"/>
          </w:tcPr>
          <w:p>
            <w:r>
              <w:t>Tipo de decisión</w:t>
            </w:r>
          </w:p>
        </w:tc>
        <w:tc>
          <w:tcPr>
            <w:tcW w:type="dxa" w:w="3312"/>
          </w:tcPr>
          <w:p>
            <w:r>
              <w:t>Riesgo si se recuerda mal</w:t>
            </w:r>
          </w:p>
        </w:tc>
        <w:tc>
          <w:tcPr>
            <w:tcW w:type="dxa" w:w="3312"/>
          </w:tcPr>
          <w:p>
            <w:r>
              <w:t>Control mínimo</w:t>
            </w:r>
          </w:p>
        </w:tc>
      </w:tr>
      <w:tr>
        <w:tc>
          <w:tcPr>
            <w:tcW w:type="dxa" w:w="3312"/>
          </w:tcPr>
          <w:p>
            <w:r>
              <w:t>Horario / sede / fecha</w:t>
            </w:r>
          </w:p>
        </w:tc>
        <w:tc>
          <w:tcPr>
            <w:tcW w:type="dxa" w:w="3312"/>
          </w:tcPr>
          <w:p>
            <w:r>
              <w:t>Participantes, logística, costos</w:t>
            </w:r>
          </w:p>
        </w:tc>
        <w:tc>
          <w:tcPr>
            <w:tcW w:type="dxa" w:w="3312"/>
          </w:tcPr>
          <w:p>
            <w:r>
              <w:t>Mensaje oficial + confirmación</w:t>
            </w:r>
          </w:p>
        </w:tc>
      </w:tr>
      <w:tr>
        <w:tc>
          <w:tcPr>
            <w:tcW w:type="dxa" w:w="3312"/>
          </w:tcPr>
          <w:p>
            <w:r>
              <w:t>Asignación de responsable</w:t>
            </w:r>
          </w:p>
        </w:tc>
        <w:tc>
          <w:tcPr>
            <w:tcW w:type="dxa" w:w="3312"/>
          </w:tcPr>
          <w:p>
            <w:r>
              <w:t>Tareas sin dueño / duplicidad</w:t>
            </w:r>
          </w:p>
        </w:tc>
        <w:tc>
          <w:tcPr>
            <w:tcW w:type="dxa" w:w="3312"/>
          </w:tcPr>
          <w:p>
            <w:r>
              <w:t>Responsable nominal + fecha</w:t>
            </w:r>
          </w:p>
        </w:tc>
      </w:tr>
      <w:tr>
        <w:tc>
          <w:tcPr>
            <w:tcW w:type="dxa" w:w="3312"/>
          </w:tcPr>
          <w:p>
            <w:r>
              <w:t>Dinero / presupuesto</w:t>
            </w:r>
          </w:p>
        </w:tc>
        <w:tc>
          <w:tcPr>
            <w:tcW w:type="dxa" w:w="3312"/>
          </w:tcPr>
          <w:p>
            <w:r>
              <w:t>Pérdida financiera / conflicto</w:t>
            </w:r>
          </w:p>
        </w:tc>
        <w:tc>
          <w:tcPr>
            <w:tcW w:type="dxa" w:w="3312"/>
          </w:tcPr>
          <w:p>
            <w:r>
              <w:t>Autorización escrita + evidencia</w:t>
            </w:r>
          </w:p>
        </w:tc>
      </w:tr>
      <w:tr>
        <w:tc>
          <w:tcPr>
            <w:tcW w:type="dxa" w:w="3312"/>
          </w:tcPr>
          <w:p>
            <w:r>
              <w:t>Condiciones del entrenamiento</w:t>
            </w:r>
          </w:p>
        </w:tc>
        <w:tc>
          <w:tcPr>
            <w:tcW w:type="dxa" w:w="3312"/>
          </w:tcPr>
          <w:p>
            <w:r>
              <w:t>Incumplimiento / reclamos</w:t>
            </w:r>
          </w:p>
        </w:tc>
        <w:tc>
          <w:tcPr>
            <w:tcW w:type="dxa" w:w="3312"/>
          </w:tcPr>
          <w:p>
            <w:r>
              <w:t>Versión oficial visible</w:t>
            </w:r>
          </w:p>
        </w:tc>
      </w:tr>
      <w:tr>
        <w:tc>
          <w:tcPr>
            <w:tcW w:type="dxa" w:w="3312"/>
          </w:tcPr>
          <w:p>
            <w:r>
              <w:t>Cambio de procedimiento</w:t>
            </w:r>
          </w:p>
        </w:tc>
        <w:tc>
          <w:tcPr>
            <w:tcW w:type="dxa" w:w="3312"/>
          </w:tcPr>
          <w:p>
            <w:r>
              <w:t>Ejecución inconsistente</w:t>
            </w:r>
          </w:p>
        </w:tc>
        <w:tc>
          <w:tcPr>
            <w:tcW w:type="dxa" w:w="3312"/>
          </w:tcPr>
          <w:p>
            <w:r>
              <w:t>Control de versión</w:t>
            </w:r>
          </w:p>
        </w:tc>
      </w:tr>
      <w:tr>
        <w:tc>
          <w:tcPr>
            <w:tcW w:type="dxa" w:w="3312"/>
          </w:tcPr>
          <w:p>
            <w:r>
              <w:t>Excepción a una regla</w:t>
            </w:r>
          </w:p>
        </w:tc>
        <w:tc>
          <w:tcPr>
            <w:tcW w:type="dxa" w:w="3312"/>
          </w:tcPr>
          <w:p>
            <w:r>
              <w:t>Precedentes ambiguos</w:t>
            </w:r>
          </w:p>
        </w:tc>
        <w:tc>
          <w:tcPr>
            <w:tcW w:type="dxa" w:w="3312"/>
          </w:tcPr>
          <w:p>
            <w:r>
              <w:t>Autorización explícita y alcance</w:t>
            </w:r>
          </w:p>
        </w:tc>
      </w:tr>
    </w:tbl>
    <w:p>
      <w:r>
        <w:br w:type="page"/>
      </w:r>
    </w:p>
    <w:p>
      <w:pPr>
        <w:pStyle w:val="Heading1"/>
      </w:pPr>
      <w:r>
        <w:t>19. Mecanismos que ayudan a explicar las discrepancias</w:t>
      </w:r>
    </w:p>
    <w:p>
      <w:pPr>
        <w:pStyle w:val="Heading2"/>
      </w:pPr>
      <w:r>
        <w:t>19.1. Error de monitoreo de fuente</w:t>
      </w:r>
    </w:p>
    <w:p>
      <w:pPr>
        <w:spacing w:after="120" w:line="259" w:lineRule="auto"/>
      </w:pPr>
      <w:r>
        <w:t>Recordamos una información, pero confundimos su procedencia. Por ejemplo, podemos recordar una fecha porque la vimos en un mensaje posterior y atribuirla a la reunión original. La literatura considera el monitoreo de fuente una explicación importante del efecto de desinformación. citeturn0search0turn0search2</w:t>
      </w:r>
    </w:p>
    <w:p>
      <w:pPr>
        <w:pStyle w:val="Heading2"/>
      </w:pPr>
      <w:r>
        <w:t>19.2. Familiaridad</w:t>
      </w:r>
    </w:p>
    <w:p>
      <w:pPr>
        <w:spacing w:after="120" w:line="259" w:lineRule="auto"/>
      </w:pPr>
      <w:r>
        <w:t>Una versión repetida muchas veces puede sentirse más familiar. La familiaridad no demuestra que una afirmación sea correcta. Por eso una organización no debería convertir el número de veces que se repitió una versión en evidencia de que esa versión era la original.</w:t>
      </w:r>
    </w:p>
    <w:p>
      <w:pPr>
        <w:pStyle w:val="Heading2"/>
      </w:pPr>
      <w:r>
        <w:t>19.3. Reconstrucción por significado</w:t>
      </w:r>
    </w:p>
    <w:p>
      <w:pPr>
        <w:spacing w:after="120" w:line="259" w:lineRule="auto"/>
      </w:pPr>
      <w:r>
        <w:t>Las personas tienden a conservar significado y estructura general, no todos los detalles literales. Esto es funcional para aprender y generalizar, pero puede producir errores cuando se requiere exactitud documental. La investigación sobre memoria reconstructiva destaca el papel del “gist” o significado general en distintos tipos de errores de memoria. citeturn0search3</w:t>
      </w:r>
    </w:p>
    <w:p>
      <w:pPr>
        <w:pStyle w:val="Heading2"/>
      </w:pPr>
      <w:r>
        <w:t>19.4. Influencia social</w:t>
      </w:r>
    </w:p>
    <w:p>
      <w:pPr>
        <w:spacing w:after="120" w:line="259" w:lineRule="auto"/>
      </w:pPr>
      <w:r>
        <w:t>Las versiones de otras personas pueden convertirse en información posterior que afecta lo que alguien reporta recordar. La evidencia sobre sugestión y memoria de testigos muestra que la información externa puede contaminar el recuerdo. citeturn0search5</w:t>
      </w:r>
    </w:p>
    <w:p>
      <w:pPr>
        <w:pStyle w:val="Heading2"/>
      </w:pPr>
      <w:r>
        <w:t>19.5. Confianza no equivale a exactitud</w:t>
      </w:r>
    </w:p>
    <w:p>
      <w:pPr>
        <w:spacing w:after="120" w:line="259" w:lineRule="auto"/>
      </w:pPr>
      <w:r>
        <w:t>Una persona puede estar muy segura de su recuerdo y aun así equivocarse. Por eso, en un proceso corporativo, la confianza subjetiva no debe sustituir a la evidencia documental.</w:t>
      </w:r>
    </w:p>
    <w:p>
      <w:pPr>
        <w:pStyle w:val="Heading1"/>
      </w:pPr>
      <w:r>
        <w:t>20. Lo que la ciencia NO permite concluir</w:t>
      </w:r>
    </w:p>
    <w:p>
      <w:pPr>
        <w:pStyle w:val="ListBullet"/>
        <w:spacing w:after="60"/>
      </w:pPr>
      <w:r>
        <w:t>No permite afirmar que todos los recuerdos sean falsos.</w:t>
      </w:r>
    </w:p>
    <w:p>
      <w:pPr>
        <w:pStyle w:val="ListBullet"/>
        <w:spacing w:after="60"/>
      </w:pPr>
      <w:r>
        <w:t>No permite afirmar que una persona que recuerda distinto necesariamente está mintiendo.</w:t>
      </w:r>
    </w:p>
    <w:p>
      <w:pPr>
        <w:pStyle w:val="ListBullet"/>
        <w:spacing w:after="60"/>
      </w:pPr>
      <w:r>
        <w:t>No permite afirmar que toda discrepancia organizacional sea un “Efecto Mandela”.</w:t>
      </w:r>
    </w:p>
    <w:p>
      <w:pPr>
        <w:pStyle w:val="ListBullet"/>
        <w:spacing w:after="60"/>
      </w:pPr>
      <w:r>
        <w:t>No permite atribuir automáticamente cualquier conflicto a la memoria.</w:t>
      </w:r>
    </w:p>
    <w:p>
      <w:pPr>
        <w:pStyle w:val="ListBullet"/>
        <w:spacing w:after="60"/>
      </w:pPr>
      <w:r>
        <w:t>No permite utilizar la investigación de Loftus como sustituto de un análisis contractual, legal o disciplinario.</w:t>
      </w:r>
    </w:p>
    <w:p>
      <w:pPr>
        <w:spacing w:after="120" w:line="259" w:lineRule="auto"/>
      </w:pPr>
      <w:r>
        <w:t>La investigación proporciona una razón sólida para diseñar mejores sistemas de información; no elimina la necesidad de evaluar evidencia específica en cada caso.</w:t>
      </w:r>
    </w:p>
    <w:p>
      <w:r>
        <w:br w:type="page"/>
      </w:r>
    </w:p>
    <w:p>
      <w:pPr>
        <w:pStyle w:val="Heading1"/>
      </w:pPr>
      <w:r>
        <w:t>21. Herramientas prácticas para coordinadores y líderes</w:t>
      </w:r>
    </w:p>
    <w:p>
      <w:pPr>
        <w:pStyle w:val="Heading2"/>
      </w:pPr>
      <w:r>
        <w:t>Herramienta A — Cierre de reunión en 60 segundos</w:t>
      </w:r>
    </w:p>
    <w:p>
      <w:pPr>
        <w:spacing w:after="120" w:line="259" w:lineRule="auto"/>
      </w:pPr>
      <w:r>
        <w:t>Antes de terminar una reunión, la persona responsable debe leer o escribir: “Para cerrar: acordamos A, B y C. A lo ejecuta X antes de Y. B queda pendiente de Z. C no cambia. Si alguien tiene una diferencia, debe señalarla ahora.”</w:t>
      </w:r>
    </w:p>
    <w:p>
      <w:pPr>
        <w:spacing w:after="120" w:line="259" w:lineRule="auto"/>
      </w:pPr>
      <w:r>
        <w:t>Esto transforma una conversación compleja en una representación común y verificable.</w:t>
      </w:r>
    </w:p>
    <w:p>
      <w:pPr>
        <w:pStyle w:val="Heading2"/>
      </w:pPr>
      <w:r>
        <w:t>Herramienta B — Mensaje de confirmación</w:t>
      </w:r>
    </w:p>
    <w:p>
      <w:pPr>
        <w:spacing w:after="120" w:line="259" w:lineRule="auto"/>
      </w:pPr>
      <w:r>
        <w:t>Después de una decisión relevante: “De acuerdo con lo conversado, queda establecido lo siguiente: [decisión]. Responsable: [nombre]. Fecha: [fecha]. Alcance: [alcance]. Esta es la versión vigente salvo modificación comunicada por [autoridad/canal]. Por favor confirma recepción.”</w:t>
      </w:r>
    </w:p>
    <w:p>
      <w:pPr>
        <w:pStyle w:val="Heading2"/>
      </w:pPr>
      <w:r>
        <w:t>Herramienta C — Registro de cambios</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t>Versión</w:t>
            </w:r>
          </w:p>
        </w:tc>
        <w:tc>
          <w:tcPr>
            <w:tcW w:type="dxa" w:w="1656"/>
          </w:tcPr>
          <w:p>
            <w:r>
              <w:t>Fecha</w:t>
            </w:r>
          </w:p>
        </w:tc>
        <w:tc>
          <w:tcPr>
            <w:tcW w:type="dxa" w:w="1656"/>
          </w:tcPr>
          <w:p>
            <w:r>
              <w:t>Qué cambió</w:t>
            </w:r>
          </w:p>
        </w:tc>
        <w:tc>
          <w:tcPr>
            <w:tcW w:type="dxa" w:w="1656"/>
          </w:tcPr>
          <w:p>
            <w:r>
              <w:t>Quién autorizó</w:t>
            </w:r>
          </w:p>
        </w:tc>
        <w:tc>
          <w:tcPr>
            <w:tcW w:type="dxa" w:w="1656"/>
          </w:tcPr>
          <w:p>
            <w:r>
              <w:t>A quién afecta</w:t>
            </w:r>
          </w:p>
        </w:tc>
        <w:tc>
          <w:tcPr>
            <w:tcW w:type="dxa" w:w="1656"/>
          </w:tcPr>
          <w:p>
            <w:r>
              <w:t>Estado</w:t>
            </w:r>
          </w:p>
        </w:tc>
      </w:tr>
      <w:tr>
        <w:tc>
          <w:tcPr>
            <w:tcW w:type="dxa" w:w="1656"/>
          </w:tcPr>
          <w:p>
            <w:r>
              <w:t>V1</w:t>
            </w:r>
          </w:p>
        </w:tc>
        <w:tc>
          <w:tcPr>
            <w:tcW w:type="dxa" w:w="1656"/>
          </w:tcPr>
          <w:p>
            <w:r>
              <w:t>__/__/____</w:t>
            </w:r>
          </w:p>
        </w:tc>
        <w:tc>
          <w:tcPr>
            <w:tcW w:type="dxa" w:w="1656"/>
          </w:tcPr>
          <w:p>
            <w:r>
              <w:t>Acuerdo original</w:t>
            </w:r>
          </w:p>
        </w:tc>
        <w:tc>
          <w:tcPr>
            <w:tcW w:type="dxa" w:w="1656"/>
          </w:tcPr>
          <w:p>
            <w:r>
              <w:t>________</w:t>
            </w:r>
          </w:p>
        </w:tc>
        <w:tc>
          <w:tcPr>
            <w:tcW w:type="dxa" w:w="1656"/>
          </w:tcPr>
          <w:p>
            <w:r>
              <w:t>________</w:t>
            </w:r>
          </w:p>
        </w:tc>
        <w:tc>
          <w:tcPr>
            <w:tcW w:type="dxa" w:w="1656"/>
          </w:tcPr>
          <w:p>
            <w:r>
              <w:t>Vigente</w:t>
            </w:r>
          </w:p>
        </w:tc>
      </w:tr>
      <w:tr>
        <w:tc>
          <w:tcPr>
            <w:tcW w:type="dxa" w:w="1656"/>
          </w:tcPr>
          <w:p>
            <w:r>
              <w:t>V2</w:t>
            </w:r>
          </w:p>
        </w:tc>
        <w:tc>
          <w:tcPr>
            <w:tcW w:type="dxa" w:w="1656"/>
          </w:tcPr>
          <w:p>
            <w:r>
              <w:t>__/__/____</w:t>
            </w:r>
          </w:p>
        </w:tc>
        <w:tc>
          <w:tcPr>
            <w:tcW w:type="dxa" w:w="1656"/>
          </w:tcPr>
          <w:p>
            <w:r>
              <w:t>Cambio de fecha</w:t>
            </w:r>
          </w:p>
        </w:tc>
        <w:tc>
          <w:tcPr>
            <w:tcW w:type="dxa" w:w="1656"/>
          </w:tcPr>
          <w:p>
            <w:r>
              <w:t>________</w:t>
            </w:r>
          </w:p>
        </w:tc>
        <w:tc>
          <w:tcPr>
            <w:tcW w:type="dxa" w:w="1656"/>
          </w:tcPr>
          <w:p>
            <w:r>
              <w:t>________</w:t>
            </w:r>
          </w:p>
        </w:tc>
        <w:tc>
          <w:tcPr>
            <w:tcW w:type="dxa" w:w="1656"/>
          </w:tcPr>
          <w:p>
            <w:r>
              <w:t>Vigente</w:t>
            </w:r>
          </w:p>
        </w:tc>
      </w:tr>
      <w:tr>
        <w:tc>
          <w:tcPr>
            <w:tcW w:type="dxa" w:w="1656"/>
          </w:tcPr>
          <w:p>
            <w:r>
              <w:t>V3</w:t>
            </w:r>
          </w:p>
        </w:tc>
        <w:tc>
          <w:tcPr>
            <w:tcW w:type="dxa" w:w="1656"/>
          </w:tcPr>
          <w:p>
            <w:r>
              <w:t>__/__/____</w:t>
            </w:r>
          </w:p>
        </w:tc>
        <w:tc>
          <w:tcPr>
            <w:tcW w:type="dxa" w:w="1656"/>
          </w:tcPr>
          <w:p>
            <w:r>
              <w:t>Cambio de responsable</w:t>
            </w:r>
          </w:p>
        </w:tc>
        <w:tc>
          <w:tcPr>
            <w:tcW w:type="dxa" w:w="1656"/>
          </w:tcPr>
          <w:p>
            <w:r>
              <w:t>________</w:t>
            </w:r>
          </w:p>
        </w:tc>
        <w:tc>
          <w:tcPr>
            <w:tcW w:type="dxa" w:w="1656"/>
          </w:tcPr>
          <w:p>
            <w:r>
              <w:t>________</w:t>
            </w:r>
          </w:p>
        </w:tc>
        <w:tc>
          <w:tcPr>
            <w:tcW w:type="dxa" w:w="1656"/>
          </w:tcPr>
          <w:p>
            <w:r>
              <w:t>Vigente</w:t>
            </w:r>
          </w:p>
        </w:tc>
      </w:tr>
    </w:tbl>
    <w:p>
      <w:pPr>
        <w:pStyle w:val="Heading2"/>
      </w:pPr>
      <w:r>
        <w:t>Herramienta D — Semáforo de documentación</w:t>
      </w:r>
    </w:p>
    <w:p>
      <w:pPr>
        <w:pStyle w:val="ListBullet"/>
        <w:spacing w:after="60"/>
      </w:pPr>
      <w:r>
        <w:t>VERDE: información rutinaria, reversible y de bajo impacto → registro simple.</w:t>
      </w:r>
    </w:p>
    <w:p>
      <w:pPr>
        <w:pStyle w:val="ListBullet"/>
        <w:spacing w:after="60"/>
      </w:pPr>
      <w:r>
        <w:t>AMARILLO: decisión que afecta personas, tiempos o coordinación → confirmación escrita.</w:t>
      </w:r>
    </w:p>
    <w:p>
      <w:pPr>
        <w:pStyle w:val="ListBullet"/>
        <w:spacing w:after="60"/>
      </w:pPr>
      <w:r>
        <w:t>ROJO: dinero, compromisos externos, seguridad, excepciones, cambios importantes o posibles conflictos → autorización y evidencia formal.</w:t>
      </w:r>
    </w:p>
    <w:p>
      <w:pPr>
        <w:pStyle w:val="Heading1"/>
      </w:pPr>
      <w:r>
        <w:t>22. Aplicación a WhatsApp y mensajería</w:t>
      </w:r>
    </w:p>
    <w:p>
      <w:pPr>
        <w:spacing w:after="120" w:line="259" w:lineRule="auto"/>
      </w:pPr>
      <w:r>
        <w:t>WhatsApp puede ser una herramienta válida de coordinación, pero el problema no es la aplicación: es tratar una conversación como si fuera automáticamente un sistema de control. Para reducir ambigüedad, los mensajes críticos deben identificar la acción, responsable, fecha, alcance y confirmación.</w:t>
      </w:r>
    </w:p>
    <w:p>
      <w:pPr>
        <w:spacing w:after="120" w:line="259" w:lineRule="auto"/>
      </w:pPr>
      <w:r>
        <w:t>En el material de C1 E28, por ejemplo, la confirmación de participación solicita una respuesta específica y explícita; esto genera un registro mucho más útil que una respuesta ambigua como “creo que sí” o “probablemente voy”. fileciteturn0file0L15-L26</w:t>
      </w:r>
    </w:p>
    <w:p>
      <w:pPr>
        <w:spacing w:after="120" w:line="259" w:lineRule="auto"/>
      </w:pPr>
      <w:r>
        <w:t>Asimismo, la información de sede, fechas y horarios aparece en un bloque estructurado, lo que permite recuperar posteriormente los datos sin depender de recordar una conversación extensa. fileciteturn0file0L30-L47</w:t>
      </w:r>
    </w:p>
    <w:p>
      <w:r>
        <w:br w:type="page"/>
      </w:r>
    </w:p>
    <w:p>
      <w:pPr>
        <w:pStyle w:val="Heading1"/>
      </w:pPr>
      <w:r>
        <w:t>23. Cultura: documentar no es desconfiar</w:t>
      </w:r>
    </w:p>
    <w:p>
      <w:pPr>
        <w:spacing w:after="120" w:line="259" w:lineRule="auto"/>
      </w:pPr>
      <w:r>
        <w:t>Una cultura madura no documenta porque piense que su gente es deshonesta. Documenta porque reconoce que los seres humanos tienen memoria limitada y porque las operaciones complejas requieren continuidad más allá de las personas.</w:t>
      </w:r>
    </w:p>
    <w:p>
      <w:pPr>
        <w:spacing w:after="120" w:line="259" w:lineRule="auto"/>
      </w:pPr>
      <w:r>
        <w:t>El registro protege a todos: protege a quien dio una instrucción, a quien la ejecutó, a quien recibió la información y a la organización.</w:t>
      </w:r>
    </w:p>
    <w:tbl>
      <w:tblPr>
        <w:tblW w:type="auto" w:w="0"/>
        <w:jc w:val="center"/>
        <w:tblLook w:firstColumn="1" w:firstRow="1" w:lastColumn="0" w:lastRow="0" w:noHBand="0" w:noVBand="1" w:val="04A0"/>
      </w:tblPr>
      <w:tblGrid>
        <w:gridCol w:w="9936"/>
      </w:tblGrid>
      <w:tr>
        <w:tc>
          <w:tcPr>
            <w:tcW w:type="dxa" w:w="9936"/>
            <w:vAlign w:val="center"/>
            <w:shd w:fill="EDEDED"/>
          </w:tcPr>
          <w:p>
            <w:r/>
            <w:r>
              <w:rPr>
                <w:b/>
                <w:sz w:val="22"/>
              </w:rPr>
              <w:t>CULTURA DE ALTO RENDIMIENTO</w:t>
              <w:br/>
            </w:r>
            <w:r>
              <w:rPr>
                <w:sz w:val="20"/>
              </w:rPr>
              <w:t>No buscamos personas con memoria perfecta. Diseñamos sistemas que hagan innecesaria la memoria perfecta.</w:t>
            </w:r>
          </w:p>
        </w:tc>
      </w:tr>
    </w:tbl>
    <w:p/>
    <w:p>
      <w:pPr>
        <w:pStyle w:val="Heading2"/>
      </w:pPr>
      <w:r>
        <w:t>24. Conductas esperadas de líderes y coordinadores</w:t>
      </w:r>
    </w:p>
    <w:p>
      <w:pPr>
        <w:pStyle w:val="ListBullet"/>
        <w:spacing w:after="60"/>
      </w:pPr>
      <w:r>
        <w:t>No corregir una versión histórica basándose únicamente en memoria.</w:t>
      </w:r>
    </w:p>
    <w:p>
      <w:pPr>
        <w:pStyle w:val="ListBullet"/>
        <w:spacing w:after="60"/>
      </w:pPr>
      <w:r>
        <w:t>No usar “yo recuerdo que…” como argumento final cuando existe evidencia documental.</w:t>
      </w:r>
    </w:p>
    <w:p>
      <w:pPr>
        <w:pStyle w:val="ListBullet"/>
        <w:spacing w:after="60"/>
      </w:pPr>
      <w:r>
        <w:t>Formalizar verbalmente acordado por escrito cuando tenga impacto operativo.</w:t>
      </w:r>
    </w:p>
    <w:p>
      <w:pPr>
        <w:pStyle w:val="ListBullet"/>
        <w:spacing w:after="60"/>
      </w:pPr>
      <w:r>
        <w:t>No modificar silenciosamente mensajes o documentos que funcionan como registro.</w:t>
      </w:r>
    </w:p>
    <w:p>
      <w:pPr>
        <w:pStyle w:val="ListBullet"/>
        <w:spacing w:after="60"/>
      </w:pPr>
      <w:r>
        <w:t>Registrar cambios como cambios, no como si siempre hubieran sido así.</w:t>
      </w:r>
    </w:p>
    <w:p>
      <w:pPr>
        <w:pStyle w:val="ListBullet"/>
        <w:spacing w:after="60"/>
      </w:pPr>
      <w:r>
        <w:t>Separar hechos, interpretaciones y opiniones.</w:t>
      </w:r>
    </w:p>
    <w:p>
      <w:pPr>
        <w:pStyle w:val="ListBullet"/>
        <w:spacing w:after="60"/>
      </w:pPr>
      <w:r>
        <w:t>Pedir confirmación explícita cuando una instrucción pueda producir consecuencias relevantes.</w:t>
      </w:r>
    </w:p>
    <w:p>
      <w:pPr>
        <w:pStyle w:val="ListBullet"/>
        <w:spacing w:after="60"/>
      </w:pPr>
      <w:r>
        <w:t>Escalar contradicciones importantes antes de ejecutar.</w:t>
      </w:r>
    </w:p>
    <w:p>
      <w:pPr>
        <w:pStyle w:val="Heading2"/>
      </w:pPr>
      <w:r>
        <w:t>25. Lenguaje corporativo recomendado</w:t>
      </w:r>
    </w:p>
    <w:tbl>
      <w:tblPr>
        <w:tblW w:type="auto" w:w="0"/>
        <w:tblLook w:firstColumn="1" w:firstRow="1" w:lastColumn="0" w:lastRow="0" w:noHBand="0" w:noVBand="1" w:val="04A0"/>
      </w:tblPr>
      <w:tblGrid>
        <w:gridCol w:w="4968"/>
        <w:gridCol w:w="4968"/>
      </w:tblGrid>
      <w:tr>
        <w:tc>
          <w:tcPr>
            <w:tcW w:type="dxa" w:w="4968"/>
          </w:tcPr>
          <w:p>
            <w:r>
              <w:t>Evitar</w:t>
            </w:r>
          </w:p>
        </w:tc>
        <w:tc>
          <w:tcPr>
            <w:tcW w:type="dxa" w:w="4968"/>
          </w:tcPr>
          <w:p>
            <w:r>
              <w:t>Preferir</w:t>
            </w:r>
          </w:p>
        </w:tc>
      </w:tr>
      <w:tr>
        <w:tc>
          <w:tcPr>
            <w:tcW w:type="dxa" w:w="4968"/>
          </w:tcPr>
          <w:p>
            <w:r>
              <w:t>“Todos entendimos lo mismo.”</w:t>
            </w:r>
          </w:p>
        </w:tc>
        <w:tc>
          <w:tcPr>
            <w:tcW w:type="dxa" w:w="4968"/>
          </w:tcPr>
          <w:p>
            <w:r>
              <w:t>“Verifiquemos la versión registrada.”</w:t>
            </w:r>
          </w:p>
        </w:tc>
      </w:tr>
      <w:tr>
        <w:tc>
          <w:tcPr>
            <w:tcW w:type="dxa" w:w="4968"/>
          </w:tcPr>
          <w:p>
            <w:r>
              <w:t>“Eso nunca se dijo.”</w:t>
            </w:r>
          </w:p>
        </w:tc>
        <w:tc>
          <w:tcPr>
            <w:tcW w:type="dxa" w:w="4968"/>
          </w:tcPr>
          <w:p>
            <w:r>
              <w:t>“Revisemos el registro disponible.”</w:t>
            </w:r>
          </w:p>
        </w:tc>
      </w:tr>
      <w:tr>
        <w:tc>
          <w:tcPr>
            <w:tcW w:type="dxa" w:w="4968"/>
          </w:tcPr>
          <w:p>
            <w:r>
              <w:t>“Yo recuerdo que…”</w:t>
            </w:r>
          </w:p>
        </w:tc>
        <w:tc>
          <w:tcPr>
            <w:tcW w:type="dxa" w:w="4968"/>
          </w:tcPr>
          <w:p>
            <w:r>
              <w:t>“La evidencia registrada indica…”</w:t>
            </w:r>
          </w:p>
        </w:tc>
      </w:tr>
      <w:tr>
        <w:tc>
          <w:tcPr>
            <w:tcW w:type="dxa" w:w="4968"/>
          </w:tcPr>
          <w:p>
            <w:r>
              <w:t>“Siempre fue así.”</w:t>
            </w:r>
          </w:p>
        </w:tc>
        <w:tc>
          <w:tcPr>
            <w:tcW w:type="dxa" w:w="4968"/>
          </w:tcPr>
          <w:p>
            <w:r>
              <w:t>“¿Cuál es la versión vigente?”</w:t>
            </w:r>
          </w:p>
        </w:tc>
      </w:tr>
      <w:tr>
        <w:tc>
          <w:tcPr>
            <w:tcW w:type="dxa" w:w="4968"/>
          </w:tcPr>
          <w:p>
            <w:r>
              <w:t>“Te lo dije.”</w:t>
            </w:r>
          </w:p>
        </w:tc>
        <w:tc>
          <w:tcPr>
            <w:tcW w:type="dxa" w:w="4968"/>
          </w:tcPr>
          <w:p>
            <w:r>
              <w:t>“Aquí está la instrucción registrada.”</w:t>
            </w:r>
          </w:p>
        </w:tc>
      </w:tr>
      <w:tr>
        <w:tc>
          <w:tcPr>
            <w:tcW w:type="dxa" w:w="4968"/>
          </w:tcPr>
          <w:p>
            <w:r>
              <w:t>“Ella sabía.”</w:t>
            </w:r>
          </w:p>
        </w:tc>
        <w:tc>
          <w:tcPr>
            <w:tcW w:type="dxa" w:w="4968"/>
          </w:tcPr>
          <w:p>
            <w:r>
              <w:t>“¿Dónde quedó confirmada la recepción?”</w:t>
            </w:r>
          </w:p>
        </w:tc>
      </w:tr>
    </w:tbl>
    <w:p>
      <w:r>
        <w:br w:type="page"/>
      </w:r>
    </w:p>
    <w:p>
      <w:pPr>
        <w:pStyle w:val="Heading1"/>
      </w:pPr>
      <w:r>
        <w:t>26. Estándar mínimo de trazabilidad para CREAR</w:t>
      </w:r>
    </w:p>
    <w:p>
      <w:pPr>
        <w:spacing w:after="120" w:line="259" w:lineRule="auto"/>
      </w:pPr>
      <w:r>
        <w:t>Se recomienda que toda operación crítica adopte cinco preguntas obligatorias:</w:t>
      </w:r>
    </w:p>
    <w:p>
      <w:pPr>
        <w:pStyle w:val="ListBullet"/>
        <w:spacing w:after="60"/>
      </w:pPr>
      <w:r>
        <w:t>¿QUÉ? — ¿Cuál es la decisión o acción exacta?</w:t>
      </w:r>
    </w:p>
    <w:p>
      <w:pPr>
        <w:pStyle w:val="ListBullet"/>
        <w:spacing w:after="60"/>
      </w:pPr>
      <w:r>
        <w:t>¿QUIÉN? — ¿Quién autoriza y quién ejecuta?</w:t>
      </w:r>
    </w:p>
    <w:p>
      <w:pPr>
        <w:pStyle w:val="ListBullet"/>
        <w:spacing w:after="60"/>
      </w:pPr>
      <w:r>
        <w:t>¿CUÁNDO? — ¿Cuál es la fecha/hora?</w:t>
      </w:r>
    </w:p>
    <w:p>
      <w:pPr>
        <w:pStyle w:val="ListBullet"/>
        <w:spacing w:after="60"/>
      </w:pPr>
      <w:r>
        <w:t>¿DÓNDE / EN QUÉ CANAL? — ¿Cuál es la fuente oficial?</w:t>
      </w:r>
    </w:p>
    <w:p>
      <w:pPr>
        <w:pStyle w:val="ListBullet"/>
        <w:spacing w:after="60"/>
      </w:pPr>
      <w:r>
        <w:t>¿CÓMO SE CIERRA? — ¿Qué evidencia demuestra que se ejecutó?</w:t>
      </w:r>
    </w:p>
    <w:p>
      <w:pPr>
        <w:pStyle w:val="Heading2"/>
      </w:pPr>
      <w:r>
        <w:t>27. Checklist de auditoría semanal</w:t>
      </w:r>
    </w:p>
    <w:p>
      <w:pPr>
        <w:pStyle w:val="ListBullet"/>
        <w:spacing w:after="60"/>
      </w:pPr>
      <w:r>
        <w:t>□ Las decisiones relevantes de la semana están documentadas.</w:t>
      </w:r>
    </w:p>
    <w:p>
      <w:pPr>
        <w:pStyle w:val="ListBullet"/>
        <w:spacing w:after="60"/>
      </w:pPr>
      <w:r>
        <w:t>□ Cada decisión tiene un responsable.</w:t>
      </w:r>
    </w:p>
    <w:p>
      <w:pPr>
        <w:pStyle w:val="ListBullet"/>
        <w:spacing w:after="60"/>
      </w:pPr>
      <w:r>
        <w:t>□ Las fechas críticas están explícitas.</w:t>
      </w:r>
    </w:p>
    <w:p>
      <w:pPr>
        <w:pStyle w:val="ListBullet"/>
        <w:spacing w:after="60"/>
      </w:pPr>
      <w:r>
        <w:t>□ Los cambios posteriores tienen registro.</w:t>
      </w:r>
    </w:p>
    <w:p>
      <w:pPr>
        <w:pStyle w:val="ListBullet"/>
        <w:spacing w:after="60"/>
      </w:pPr>
      <w:r>
        <w:t>□ No existen dos documentos simultáneamente considerados “oficiales”.</w:t>
      </w:r>
    </w:p>
    <w:p>
      <w:pPr>
        <w:pStyle w:val="ListBullet"/>
        <w:spacing w:after="60"/>
      </w:pPr>
      <w:r>
        <w:t>□ Las confirmaciones críticas son explícitas.</w:t>
      </w:r>
    </w:p>
    <w:p>
      <w:pPr>
        <w:pStyle w:val="ListBullet"/>
        <w:spacing w:after="60"/>
      </w:pPr>
      <w:r>
        <w:t>□ Los casos pendientes tienen siguiente acción y fecha.</w:t>
      </w:r>
    </w:p>
    <w:p>
      <w:pPr>
        <w:pStyle w:val="ListBullet"/>
        <w:spacing w:after="60"/>
      </w:pPr>
      <w:r>
        <w:t>□ Las excepciones están autorizadas.</w:t>
      </w:r>
    </w:p>
    <w:p>
      <w:pPr>
        <w:pStyle w:val="ListBullet"/>
        <w:spacing w:after="60"/>
      </w:pPr>
      <w:r>
        <w:t>□ La evidencia de ejecución está disponible.</w:t>
      </w:r>
    </w:p>
    <w:p>
      <w:pPr>
        <w:pStyle w:val="ListBullet"/>
        <w:spacing w:after="60"/>
      </w:pPr>
      <w:r>
        <w:t>□ Los conflictos se resolvieron con evidencia, no con memoria.</w:t>
      </w:r>
    </w:p>
    <w:p>
      <w:pPr>
        <w:pStyle w:val="Heading2"/>
      </w:pPr>
      <w:r>
        <w:t>28. Indicadores de gestión</w:t>
      </w:r>
    </w:p>
    <w:tbl>
      <w:tblPr>
        <w:tblW w:type="auto" w:w="0"/>
        <w:tblLook w:firstColumn="1" w:firstRow="1" w:lastColumn="0" w:lastRow="0" w:noHBand="0" w:noVBand="1" w:val="04A0"/>
      </w:tblPr>
      <w:tblGrid>
        <w:gridCol w:w="3312"/>
        <w:gridCol w:w="3312"/>
        <w:gridCol w:w="3312"/>
      </w:tblGrid>
      <w:tr>
        <w:tc>
          <w:tcPr>
            <w:tcW w:type="dxa" w:w="3312"/>
          </w:tcPr>
          <w:p>
            <w:r>
              <w:t>Indicador</w:t>
            </w:r>
          </w:p>
        </w:tc>
        <w:tc>
          <w:tcPr>
            <w:tcW w:type="dxa" w:w="3312"/>
          </w:tcPr>
          <w:p>
            <w:r>
              <w:t>Fórmula sugerida</w:t>
            </w:r>
          </w:p>
        </w:tc>
        <w:tc>
          <w:tcPr>
            <w:tcW w:type="dxa" w:w="3312"/>
          </w:tcPr>
          <w:p>
            <w:r>
              <w:t>Objetivo</w:t>
            </w:r>
          </w:p>
        </w:tc>
      </w:tr>
      <w:tr>
        <w:tc>
          <w:tcPr>
            <w:tcW w:type="dxa" w:w="3312"/>
          </w:tcPr>
          <w:p>
            <w:r>
              <w:t>% de acuerdos críticos documentados</w:t>
            </w:r>
          </w:p>
        </w:tc>
        <w:tc>
          <w:tcPr>
            <w:tcW w:type="dxa" w:w="3312"/>
          </w:tcPr>
          <w:p>
            <w:r>
              <w:t>Acuerdos con registro / acuerdos críticos</w:t>
            </w:r>
          </w:p>
        </w:tc>
        <w:tc>
          <w:tcPr>
            <w:tcW w:type="dxa" w:w="3312"/>
          </w:tcPr>
          <w:p>
            <w:r>
              <w:t>≥ 95%</w:t>
            </w:r>
          </w:p>
        </w:tc>
      </w:tr>
      <w:tr>
        <w:tc>
          <w:tcPr>
            <w:tcW w:type="dxa" w:w="3312"/>
          </w:tcPr>
          <w:p>
            <w:r>
              <w:t>% de cambios con control de versión</w:t>
            </w:r>
          </w:p>
        </w:tc>
        <w:tc>
          <w:tcPr>
            <w:tcW w:type="dxa" w:w="3312"/>
          </w:tcPr>
          <w:p>
            <w:r>
              <w:t>Cambios registrados / cambios detectados</w:t>
            </w:r>
          </w:p>
        </w:tc>
        <w:tc>
          <w:tcPr>
            <w:tcW w:type="dxa" w:w="3312"/>
          </w:tcPr>
          <w:p>
            <w:r>
              <w:t>100%</w:t>
            </w:r>
          </w:p>
        </w:tc>
      </w:tr>
      <w:tr>
        <w:tc>
          <w:tcPr>
            <w:tcW w:type="dxa" w:w="3312"/>
          </w:tcPr>
          <w:p>
            <w:r>
              <w:t>% de confirmaciones explícitas</w:t>
            </w:r>
          </w:p>
        </w:tc>
        <w:tc>
          <w:tcPr>
            <w:tcW w:type="dxa" w:w="3312"/>
          </w:tcPr>
          <w:p>
            <w:r>
              <w:t>Confirmaciones válidas / confirmaciones requeridas</w:t>
            </w:r>
          </w:p>
        </w:tc>
        <w:tc>
          <w:tcPr>
            <w:tcW w:type="dxa" w:w="3312"/>
          </w:tcPr>
          <w:p>
            <w:r>
              <w:t>≥ 95%</w:t>
            </w:r>
          </w:p>
        </w:tc>
      </w:tr>
      <w:tr>
        <w:tc>
          <w:tcPr>
            <w:tcW w:type="dxa" w:w="3312"/>
          </w:tcPr>
          <w:p>
            <w:r>
              <w:t>% de casos con responsable</w:t>
            </w:r>
          </w:p>
        </w:tc>
        <w:tc>
          <w:tcPr>
            <w:tcW w:type="dxa" w:w="3312"/>
          </w:tcPr>
          <w:p>
            <w:r>
              <w:t>Casos con dueño / casos totales</w:t>
            </w:r>
          </w:p>
        </w:tc>
        <w:tc>
          <w:tcPr>
            <w:tcW w:type="dxa" w:w="3312"/>
          </w:tcPr>
          <w:p>
            <w:r>
              <w:t>100%</w:t>
            </w:r>
          </w:p>
        </w:tc>
      </w:tr>
      <w:tr>
        <w:tc>
          <w:tcPr>
            <w:tcW w:type="dxa" w:w="3312"/>
          </w:tcPr>
          <w:p>
            <w:r>
              <w:t>Incidencias por información contradictoria</w:t>
            </w:r>
          </w:p>
        </w:tc>
        <w:tc>
          <w:tcPr>
            <w:tcW w:type="dxa" w:w="3312"/>
          </w:tcPr>
          <w:p>
            <w:r>
              <w:t>N.º de incidencias por periodo</w:t>
            </w:r>
          </w:p>
        </w:tc>
        <w:tc>
          <w:tcPr>
            <w:tcW w:type="dxa" w:w="3312"/>
          </w:tcPr>
          <w:p>
            <w:r>
              <w:t>Tendencia descendente</w:t>
            </w:r>
          </w:p>
        </w:tc>
      </w:tr>
    </w:tbl>
    <w:p>
      <w:pPr>
        <w:spacing w:after="120" w:line="259" w:lineRule="auto"/>
      </w:pPr>
      <w:r>
        <w:t>Los porcentajes anteriores son estándares de gestión propuestos para diseño operativo, no resultados científicos ni métricas derivadas de los estudios de Loftus.</w:t>
      </w:r>
    </w:p>
    <w:p>
      <w:r>
        <w:br w:type="page"/>
      </w:r>
    </w:p>
    <w:p>
      <w:pPr>
        <w:pStyle w:val="Heading1"/>
      </w:pPr>
      <w:r>
        <w:t>29. Caso práctico: una misma conversación, cuatro recuerdos</w:t>
      </w:r>
    </w:p>
    <w:p>
      <w:pPr>
        <w:spacing w:after="120" w:line="259" w:lineRule="auto"/>
      </w:pPr>
      <w:r>
        <w:t>Situación: en una reunión se conversa sobre una actividad del fin de semana. Se menciona una fecha tentativa, un responsable y una condición. Después de la reunión, una persona envía un mensaje aclarando la fecha. Otra persona comenta un cambio en privado. Días después, cada integrante recuerda una versión ligeramente distinta.</w:t>
      </w:r>
    </w:p>
    <w:p>
      <w:pPr>
        <w:spacing w:after="120" w:line="259" w:lineRule="auto"/>
      </w:pPr>
      <w:r>
        <w:t>Versión A: “La fecha estaba cerrada.”</w:t>
      </w:r>
    </w:p>
    <w:p>
      <w:pPr>
        <w:spacing w:after="120" w:line="259" w:lineRule="auto"/>
      </w:pPr>
      <w:r>
        <w:t>Versión B: “Era tentativa.”</w:t>
      </w:r>
    </w:p>
    <w:p>
      <w:pPr>
        <w:spacing w:after="120" w:line="259" w:lineRule="auto"/>
      </w:pPr>
      <w:r>
        <w:t>Versión C: “El cambio ya había sido aprobado.”</w:t>
      </w:r>
    </w:p>
    <w:p>
      <w:pPr>
        <w:spacing w:after="120" w:line="259" w:lineRule="auto"/>
      </w:pPr>
      <w:r>
        <w:t>Versión D: “Solo se había propuesto el cambio.”</w:t>
      </w:r>
    </w:p>
    <w:p>
      <w:pPr>
        <w:spacing w:after="120" w:line="259" w:lineRule="auto"/>
      </w:pPr>
      <w:r>
        <w:t>No es necesario asumir mala fe para explicar la discrepancia. Pueden haber intervenido memoria reconstructiva, información posterior, errores de atribución de fuente, inferencias y repetición social.</w:t>
      </w:r>
    </w:p>
    <w:p>
      <w:pPr>
        <w:spacing w:after="120" w:line="259" w:lineRule="auto"/>
      </w:pPr>
      <w:r>
        <w:t>Respuesta correcta de la organización: detener la discusión personal, identificar la pregunta concreta, revisar el registro más cercano al momento de la decisión, determinar la autoridad que podía modificarla y dejar una resolución documentada.</w:t>
      </w:r>
    </w:p>
    <w:tbl>
      <w:tblPr>
        <w:tblW w:type="auto" w:w="0"/>
        <w:jc w:val="center"/>
        <w:tblLook w:firstColumn="1" w:firstRow="1" w:lastColumn="0" w:lastRow="0" w:noHBand="0" w:noVBand="1" w:val="04A0"/>
      </w:tblPr>
      <w:tblGrid>
        <w:gridCol w:w="9936"/>
      </w:tblGrid>
      <w:tr>
        <w:tc>
          <w:tcPr>
            <w:tcW w:type="dxa" w:w="9936"/>
            <w:vAlign w:val="center"/>
            <w:shd w:fill="EDEDED"/>
          </w:tcPr>
          <w:p>
            <w:r/>
            <w:r>
              <w:rPr>
                <w:b/>
                <w:sz w:val="22"/>
              </w:rPr>
              <w:t>LECCIÓN</w:t>
              <w:br/>
            </w:r>
            <w:r>
              <w:rPr>
                <w:sz w:val="20"/>
              </w:rPr>
              <w:t>El objetivo de la auditoría no es descubrir quién tiene la mejor memoria. Es recuperar la versión organizacional verificable.</w:t>
            </w:r>
          </w:p>
        </w:tc>
      </w:tr>
    </w:tbl>
    <w:p/>
    <w:p>
      <w:pPr>
        <w:pStyle w:val="Heading1"/>
      </w:pPr>
      <w:r>
        <w:t>30. Caso práctico aplicado a confirmaciones de entrenamiento</w:t>
      </w:r>
    </w:p>
    <w:p>
      <w:pPr>
        <w:spacing w:after="120" w:line="259" w:lineRule="auto"/>
      </w:pPr>
      <w:r>
        <w:t>En un proceso de confirmación, una respuesta como “sí, creo que voy” puede ser interpretada de diferentes maneras. En cambio, una fórmula definida como “CONFIRMO MI ASISTENCIA” convierte el estado en una categoría verificable. El material de C1 E28 utiliza precisamente esa estructura para finalizar el proceso de coordinación. fileciteturn0file0L15-L24</w:t>
      </w:r>
    </w:p>
    <w:p>
      <w:pPr>
        <w:spacing w:after="120" w:line="259" w:lineRule="auto"/>
      </w:pPr>
      <w:r>
        <w:t>El mismo principio puede extenderse a pagos, asistencia, cambios de fecha, responsables, entrega de materiales, horarios, sedes y excepciones: la organización debe diseñar respuestas que puedan ser auditadas posteriormente.</w:t>
      </w:r>
    </w:p>
    <w:p>
      <w:r>
        <w:br w:type="page"/>
      </w:r>
    </w:p>
    <w:p>
      <w:pPr>
        <w:pStyle w:val="Heading1"/>
      </w:pPr>
      <w:r>
        <w:t>31. Conclusiones</w:t>
      </w:r>
    </w:p>
    <w:p>
      <w:pPr>
        <w:pStyle w:val="ListBullet"/>
        <w:spacing w:after="60"/>
      </w:pPr>
      <w:r>
        <w:t>La memoria humana es reconstructiva y puede incorporar información posterior.</w:t>
      </w:r>
    </w:p>
    <w:p>
      <w:pPr>
        <w:pStyle w:val="ListBullet"/>
        <w:spacing w:after="60"/>
      </w:pPr>
      <w:r>
        <w:t>El trabajo de Elizabeth Loftus ayudó a establecer experimentalmente la influencia de la desinformación sobre el recuerdo.</w:t>
      </w:r>
    </w:p>
    <w:p>
      <w:pPr>
        <w:pStyle w:val="ListBullet"/>
        <w:spacing w:after="60"/>
      </w:pPr>
      <w:r>
        <w:t>Una persona puede recordar incorrectamente sin estar mintiendo.</w:t>
      </w:r>
    </w:p>
    <w:p>
      <w:pPr>
        <w:pStyle w:val="ListBullet"/>
        <w:spacing w:after="60"/>
      </w:pPr>
      <w:r>
        <w:t>La seguridad subjetiva con la que alguien expresa un recuerdo no convierte ese recuerdo en evidencia documental.</w:t>
      </w:r>
    </w:p>
    <w:p>
      <w:pPr>
        <w:pStyle w:val="ListBullet"/>
        <w:spacing w:after="60"/>
      </w:pPr>
      <w:r>
        <w:t>En organizaciones complejas, los acuerdos críticos no deben depender exclusivamente de la memoria.</w:t>
      </w:r>
    </w:p>
    <w:p>
      <w:pPr>
        <w:pStyle w:val="ListBullet"/>
        <w:spacing w:after="60"/>
      </w:pPr>
      <w:r>
        <w:t>“Efecto Mandela Corporativo” es aquí una metáfora operativa para discrepancias colectivas de memoria; no una categoría científica atribuida a Loftus.</w:t>
      </w:r>
    </w:p>
    <w:p>
      <w:pPr>
        <w:pStyle w:val="ListBullet"/>
        <w:spacing w:after="60"/>
      </w:pPr>
      <w:r>
        <w:t>La respuesta corporativa no es desconfiar de las personas, sino diseñar trazabilidad.</w:t>
      </w:r>
    </w:p>
    <w:p>
      <w:pPr>
        <w:pStyle w:val="ListBullet"/>
        <w:spacing w:after="60"/>
      </w:pPr>
      <w:r>
        <w:t>Todo cambio importante debe tener una nueva versión, responsable, fecha y alcance.</w:t>
      </w:r>
    </w:p>
    <w:p>
      <w:pPr>
        <w:pStyle w:val="ListBullet"/>
        <w:spacing w:after="60"/>
      </w:pPr>
      <w:r>
        <w:t>Un sistema de alto rendimiento transforma conversaciones en acuerdos verificables y acuerdos en evidencias de ejecución.</w:t>
      </w:r>
    </w:p>
    <w:tbl>
      <w:tblPr>
        <w:tblW w:type="auto" w:w="0"/>
        <w:jc w:val="center"/>
        <w:tblLook w:firstColumn="1" w:firstRow="1" w:lastColumn="0" w:lastRow="0" w:noHBand="0" w:noVBand="1" w:val="04A0"/>
      </w:tblPr>
      <w:tblGrid>
        <w:gridCol w:w="9936"/>
      </w:tblGrid>
      <w:tr>
        <w:tc>
          <w:tcPr>
            <w:tcW w:type="dxa" w:w="9936"/>
            <w:vAlign w:val="center"/>
            <w:shd w:fill="EDEDED"/>
          </w:tcPr>
          <w:p>
            <w:r/>
            <w:r>
              <w:rPr>
                <w:b/>
                <w:sz w:val="22"/>
              </w:rPr>
              <w:t>FRASE PARA CULTURA</w:t>
              <w:br/>
            </w:r>
            <w:r>
              <w:rPr>
                <w:sz w:val="20"/>
              </w:rPr>
              <w:t>“La memoria puede ayudarnos a recordar lo ocurrido; el registro nos permite demostrar qué versión debe gobernar la operación.”</w:t>
            </w:r>
          </w:p>
        </w:tc>
      </w:tr>
    </w:tbl>
    <w:p/>
    <w:p>
      <w:pPr>
        <w:pStyle w:val="Heading1"/>
      </w:pPr>
      <w:r>
        <w:t>32. Fuentes y lecturas recomendadas</w:t>
      </w:r>
    </w:p>
    <w:p>
      <w:pPr>
        <w:pStyle w:val="ListBullet"/>
        <w:spacing w:after="60"/>
      </w:pPr>
      <w:r>
        <w:t>Loftus, E. F. (2005). Planting misinformation in the human mind: A 30-year investigation of the malleability of memory. Learning &amp; Memory.</w:t>
      </w:r>
    </w:p>
    <w:p>
      <w:pPr>
        <w:pStyle w:val="ListBullet"/>
        <w:spacing w:after="60"/>
      </w:pPr>
      <w:r>
        <w:t>Loftus, E. F., &amp; Palmer, J. C. (1974). Reconstruction of automobile destruction: An example of the interaction between language and memory. Journal of Verbal Learning and Verbal Behavior.</w:t>
      </w:r>
    </w:p>
    <w:p>
      <w:pPr>
        <w:pStyle w:val="ListBullet"/>
        <w:spacing w:after="60"/>
      </w:pPr>
      <w:r>
        <w:t>Loftus, E. F., Miller, D. G., &amp; Burns, H. J. (1978). Semantic integration of verbal information into a visual memory. Journal of Experimental Psychology: Human Learning and Memory.</w:t>
      </w:r>
    </w:p>
    <w:p>
      <w:pPr>
        <w:pStyle w:val="ListBullet"/>
        <w:spacing w:after="60"/>
      </w:pPr>
      <w:r>
        <w:t>Lindsay, D. S., &amp; Johnson, M. K. (1989). The eyewitness suggestibility effect and memory for source. Memory &amp; Cognition.</w:t>
      </w:r>
    </w:p>
    <w:p>
      <w:pPr>
        <w:pStyle w:val="ListBullet"/>
        <w:spacing w:after="60"/>
      </w:pPr>
      <w:r>
        <w:t>Schacter, D. L., Guerin, S. A., &amp; St. Jacques, P. L. (2011). Memory distortion: An adaptive perspective. Trends in Cognitive Sciences.</w:t>
      </w:r>
    </w:p>
    <w:p>
      <w:pPr>
        <w:pStyle w:val="ListBullet"/>
        <w:spacing w:after="60"/>
      </w:pPr>
      <w:r>
        <w:t>Lentoor, G. (2023). Cognitive and neural mechanisms underlying false memories: misinformation, distortion or erroneous configuration? AIMS Neuroscience.</w:t>
      </w:r>
    </w:p>
    <w:p>
      <w:pPr>
        <w:pStyle w:val="ListBullet"/>
        <w:spacing w:after="60"/>
      </w:pPr>
      <w:r>
        <w:t>Revisión sistemática reciente sobre susceptibilidad al efecto de desinformación y factores cognitivos.</w:t>
      </w:r>
    </w:p>
    <w:p>
      <w:pPr>
        <w:pStyle w:val="Heading1"/>
      </w:pPr>
      <w:r>
        <w:t>33. Nota metodológica</w:t>
      </w:r>
    </w:p>
    <w:p>
      <w:pPr>
        <w:spacing w:after="120" w:line="259" w:lineRule="auto"/>
      </w:pPr>
      <w:r>
        <w:t>Este documento distingue entre evidencia científica y aplicación organizacional. Las afirmaciones sobre memoria reconstructiva, desinformación y errores de atribución de fuente se basan en literatura de psicología cognitiva y revisiones científicas. Las recomendaciones sobre acuerdos escritos, control de versiones y auditoría son una traducción operativa propuesta para contextos organizacionales; no son resultados experimentales de Elizabeth Loftus.</w:t>
      </w:r>
    </w:p>
    <w:p>
      <w:pPr>
        <w:spacing w:after="120" w:line="259" w:lineRule="auto"/>
      </w:pPr>
      <w:r>
        <w:t>El documento no pretende ofrecer asesoría legal, médica o psicológica. Para contratos, obligaciones laborales, protección de datos, seguridad o controversias legales, deben aplicarse además las normas y procedimientos profesionales correspondientes.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Documento de referencia • Memoria, comunicación y trazabilidad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CREAR PODER SIN LÍMITES  |  DOCUMENTO DE CULTURA Y OPERACIONES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Elizabeth Loftus: Memoria reconstructiva y el Efecto Mandela Corporativo</dc:title>
  <dc:subject>Memoria, desinformación, trazabilidad y acuerdos auditables</dc:subject>
  <dc:creator>CREAR PODER SIN LÍMITES</dc:creator>
  <cp:keywords>Elizabeth Loftus, memoria reconstructiva, misinformation effect, Efecto Mandela Corporativo, trazabilidad, acuerdos</cp:keywords>
  <dc:description>generated by python-docx</dc:description>
  <cp:lastModifiedBy/>
  <cp:revision>1</cp:revision>
  <dcterms:created xsi:type="dcterms:W3CDTF">2013-12-23T23:15:00Z</dcterms:created>
  <dcterms:modified xsi:type="dcterms:W3CDTF">2013-12-23T23:15:00Z</dcterms:modified>
  <cp:category/>
</cp:coreProperties>
</file>