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11827"/>
          <w:sz w:val="48"/>
        </w:rPr>
        <w:t>Auspify ML Internship - System Architecture</w:t>
      </w:r>
    </w:p>
    <w:p>
      <w:pPr>
        <w:spacing w:after="320"/>
      </w:pPr>
      <w:r>
        <w:rPr>
          <w:rFonts w:ascii="Calibri" w:hAnsi="Calibri"/>
          <w:b/>
          <w:color w:val="E50914"/>
          <w:sz w:val="24"/>
        </w:rPr>
        <w:t>Decoupled Microservice Architecture &amp; Full-Stack Data Pipeline</w:t>
      </w:r>
    </w:p>
    <w:p>
      <w:pPr>
        <w:spacing w:before="280" w:after="80"/>
      </w:pPr>
      <w:r>
        <w:rPr>
          <w:rFonts w:ascii="Calibri" w:hAnsi="Calibri"/>
          <w:b/>
          <w:color w:val="111827"/>
          <w:sz w:val="32"/>
        </w:rPr>
        <w:t>1. Executive Architecture Summary</w:t>
      </w:r>
    </w:p>
    <w:p>
      <w:r>
        <w:t>The Auspify Machine Learning platform is engineered as an enterprise-grade, multi-tier microservice architecture. It decouples machine learning inference pipelines from the presentation layer using lightweight RESTful JSON APIs. The platform ingests Netflix's global catalog of ~8,800 titles, providing multi-class maturity classification, unsupervised clustering, time-series forecasting, and an executive intelligence engine.</w:t>
      </w:r>
    </w:p>
    <w:p>
      <w:pPr>
        <w:spacing w:before="280" w:after="80"/>
      </w:pPr>
      <w:r>
        <w:rPr>
          <w:rFonts w:ascii="Calibri" w:hAnsi="Calibri"/>
          <w:b/>
          <w:color w:val="111827"/>
          <w:sz w:val="32"/>
        </w:rPr>
        <w:t>2. Service Matrix &amp; Port Allocation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293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Service Name</w:t>
            </w:r>
          </w:p>
        </w:tc>
        <w:tc>
          <w:tcPr>
            <w:tcW w:type="dxa" w:w="1560"/>
            <w:shd w:val="clear" w:color="auto" w:fill="1F293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Backend Tech</w:t>
            </w:r>
          </w:p>
        </w:tc>
        <w:tc>
          <w:tcPr>
            <w:tcW w:type="dxa" w:w="1560"/>
            <w:shd w:val="clear" w:color="auto" w:fill="1F293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Port</w:t>
            </w:r>
          </w:p>
        </w:tc>
        <w:tc>
          <w:tcPr>
            <w:tcW w:type="dxa" w:w="1560"/>
            <w:shd w:val="clear" w:color="auto" w:fill="1F293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Frontend Tech</w:t>
            </w:r>
          </w:p>
        </w:tc>
        <w:tc>
          <w:tcPr>
            <w:tcW w:type="dxa" w:w="1560"/>
            <w:shd w:val="clear" w:color="auto" w:fill="1F293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Port</w:t>
            </w:r>
          </w:p>
        </w:tc>
        <w:tc>
          <w:tcPr>
            <w:tcW w:type="dxa" w:w="1560"/>
            <w:shd w:val="clear" w:color="auto" w:fill="1F293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Core Function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Task 3: Rating Classifier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Flask, Scikit-Learn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5003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React, Vite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5173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Supervised maturity rating classification</w:t>
            </w:r>
          </w:p>
        </w:tc>
      </w:tr>
      <w:tr>
        <w:tc>
          <w:tcPr>
            <w:tcW w:type="dxa" w:w="1560"/>
            <w:shd w:val="clear" w:color="auto" w:fill="F9FAFB"/>
          </w:tcPr>
          <w:p>
            <w:r>
              <w:rPr>
                <w:rFonts w:ascii="Calibri" w:hAnsi="Calibri"/>
                <w:color w:val="374151"/>
                <w:sz w:val="19"/>
              </w:rPr>
              <w:t>Task 4: Content Segmentation</w:t>
            </w:r>
          </w:p>
        </w:tc>
        <w:tc>
          <w:tcPr>
            <w:tcW w:type="dxa" w:w="1560"/>
            <w:shd w:val="clear" w:color="auto" w:fill="F9FAFB"/>
          </w:tcPr>
          <w:p>
            <w:r>
              <w:rPr>
                <w:rFonts w:ascii="Calibri" w:hAnsi="Calibri"/>
                <w:color w:val="374151"/>
                <w:sz w:val="19"/>
              </w:rPr>
              <w:t>Flask, Scikit-Learn</w:t>
            </w:r>
          </w:p>
        </w:tc>
        <w:tc>
          <w:tcPr>
            <w:tcW w:type="dxa" w:w="1560"/>
            <w:shd w:val="clear" w:color="auto" w:fill="F9FAFB"/>
          </w:tcPr>
          <w:p>
            <w:r>
              <w:rPr>
                <w:rFonts w:ascii="Calibri" w:hAnsi="Calibri"/>
                <w:color w:val="374151"/>
                <w:sz w:val="19"/>
              </w:rPr>
              <w:t>5004</w:t>
            </w:r>
          </w:p>
        </w:tc>
        <w:tc>
          <w:tcPr>
            <w:tcW w:type="dxa" w:w="1560"/>
            <w:shd w:val="clear" w:color="auto" w:fill="F9FAFB"/>
          </w:tcPr>
          <w:p>
            <w:r>
              <w:rPr>
                <w:rFonts w:ascii="Calibri" w:hAnsi="Calibri"/>
                <w:color w:val="374151"/>
                <w:sz w:val="19"/>
              </w:rPr>
              <w:t>React, Vite</w:t>
            </w:r>
          </w:p>
        </w:tc>
        <w:tc>
          <w:tcPr>
            <w:tcW w:type="dxa" w:w="1560"/>
            <w:shd w:val="clear" w:color="auto" w:fill="F9FAFB"/>
          </w:tcPr>
          <w:p>
            <w:r>
              <w:rPr>
                <w:rFonts w:ascii="Calibri" w:hAnsi="Calibri"/>
                <w:color w:val="374151"/>
                <w:sz w:val="19"/>
              </w:rPr>
              <w:t>5174</w:t>
            </w:r>
          </w:p>
        </w:tc>
        <w:tc>
          <w:tcPr>
            <w:tcW w:type="dxa" w:w="1560"/>
            <w:shd w:val="clear" w:color="auto" w:fill="F9FAFB"/>
          </w:tcPr>
          <w:p>
            <w:r>
              <w:rPr>
                <w:rFonts w:ascii="Calibri" w:hAnsi="Calibri"/>
                <w:color w:val="374151"/>
                <w:sz w:val="19"/>
              </w:rPr>
              <w:t>Unsupervised K-Means &amp; PCA 2D mapping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Task 5: Trend Forecasting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Flask, Statsmodels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5005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React, Recharts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5175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Time-series Holt-Winters volume projections</w:t>
            </w:r>
          </w:p>
        </w:tc>
      </w:tr>
      <w:tr>
        <w:tc>
          <w:tcPr>
            <w:tcW w:type="dxa" w:w="1560"/>
            <w:shd w:val="clear" w:color="auto" w:fill="F9FAFB"/>
          </w:tcPr>
          <w:p>
            <w:r>
              <w:rPr>
                <w:rFonts w:ascii="Calibri" w:hAnsi="Calibri"/>
                <w:color w:val="374151"/>
                <w:sz w:val="19"/>
              </w:rPr>
              <w:t>Task 6: Analytics Engine</w:t>
            </w:r>
          </w:p>
        </w:tc>
        <w:tc>
          <w:tcPr>
            <w:tcW w:type="dxa" w:w="1560"/>
            <w:shd w:val="clear" w:color="auto" w:fill="F9FAFB"/>
          </w:tcPr>
          <w:p>
            <w:r>
              <w:rPr>
                <w:rFonts w:ascii="Calibri" w:hAnsi="Calibri"/>
                <w:color w:val="374151"/>
                <w:sz w:val="19"/>
              </w:rPr>
              <w:t>Flask, Scikit-Learn</w:t>
            </w:r>
          </w:p>
        </w:tc>
        <w:tc>
          <w:tcPr>
            <w:tcW w:type="dxa" w:w="1560"/>
            <w:shd w:val="clear" w:color="auto" w:fill="F9FAFB"/>
          </w:tcPr>
          <w:p>
            <w:r>
              <w:rPr>
                <w:rFonts w:ascii="Calibri" w:hAnsi="Calibri"/>
                <w:color w:val="374151"/>
                <w:sz w:val="19"/>
              </w:rPr>
              <w:t>5006</w:t>
            </w:r>
          </w:p>
        </w:tc>
        <w:tc>
          <w:tcPr>
            <w:tcW w:type="dxa" w:w="1560"/>
            <w:shd w:val="clear" w:color="auto" w:fill="F9FAFB"/>
          </w:tcPr>
          <w:p>
            <w:r>
              <w:rPr>
                <w:rFonts w:ascii="Calibri" w:hAnsi="Calibri"/>
                <w:color w:val="374151"/>
                <w:sz w:val="19"/>
              </w:rPr>
              <w:t>React, Vite</w:t>
            </w:r>
          </w:p>
        </w:tc>
        <w:tc>
          <w:tcPr>
            <w:tcW w:type="dxa" w:w="1560"/>
            <w:shd w:val="clear" w:color="auto" w:fill="F9FAFB"/>
          </w:tcPr>
          <w:p>
            <w:r>
              <w:rPr>
                <w:rFonts w:ascii="Calibri" w:hAnsi="Calibri"/>
                <w:color w:val="374151"/>
                <w:sz w:val="19"/>
              </w:rPr>
              <w:t>5176</w:t>
            </w:r>
          </w:p>
        </w:tc>
        <w:tc>
          <w:tcPr>
            <w:tcW w:type="dxa" w:w="1560"/>
            <w:shd w:val="clear" w:color="auto" w:fill="F9FAFB"/>
          </w:tcPr>
          <w:p>
            <w:r>
              <w:rPr>
                <w:rFonts w:ascii="Calibri" w:hAnsi="Calibri"/>
                <w:color w:val="374151"/>
                <w:sz w:val="19"/>
              </w:rPr>
              <w:t>Full-scale catalog intelligence &amp; viability scorer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Calibri" w:hAnsi="Calibri"/>
          <w:b/>
          <w:color w:val="111827"/>
          <w:sz w:val="32"/>
        </w:rPr>
        <w:t>3. Component Data Flow</w:t>
      </w:r>
    </w:p>
    <w:p>
      <w:pPr>
        <w:pStyle w:val="ListBullet"/>
        <w:spacing w:after="60"/>
      </w:pPr>
      <w:r>
        <w:rPr>
          <w:b/>
          <w:color w:val="111827"/>
        </w:rPr>
        <w:t xml:space="preserve">Data Layer: </w:t>
      </w:r>
      <w:r>
        <w:t>Raw CSV datasets containing 8,807 Netflix titles across 12 metadata dimensions.</w:t>
      </w:r>
    </w:p>
    <w:p>
      <w:pPr>
        <w:pStyle w:val="ListBullet"/>
        <w:spacing w:after="60"/>
      </w:pPr>
      <w:r>
        <w:rPr>
          <w:b/>
          <w:color w:val="111827"/>
        </w:rPr>
        <w:t xml:space="preserve">Data Engineering: </w:t>
      </w:r>
      <w:r>
        <w:t>In-memory transformation pipelines handling missing values, duration parsing, multi-hot genre vectorization, and Z-score feature scaling.</w:t>
      </w:r>
    </w:p>
    <w:p>
      <w:pPr>
        <w:pStyle w:val="ListBullet"/>
        <w:spacing w:after="60"/>
      </w:pPr>
      <w:r>
        <w:rPr>
          <w:b/>
          <w:color w:val="111827"/>
        </w:rPr>
        <w:t xml:space="preserve">Inference Engines: </w:t>
      </w:r>
      <w:r>
        <w:t>Optimized Scikit-Learn tree ensembles, clustering estimators, and temporal smoothing models providing sub-15ms response latency.</w:t>
      </w:r>
    </w:p>
    <w:p>
      <w:pPr>
        <w:pStyle w:val="ListBullet"/>
        <w:spacing w:after="60"/>
      </w:pPr>
      <w:r>
        <w:rPr>
          <w:b/>
          <w:color w:val="111827"/>
        </w:rPr>
        <w:t xml:space="preserve">Presentation Layer: </w:t>
      </w:r>
      <w:r>
        <w:t>Independent React Vite applications delivering interactive control forms, dynamic scatter canvases, and real-time KPI dashboards.</w:t>
      </w:r>
    </w:p>
    <w:p>
      <w:pPr>
        <w:spacing w:before="280" w:after="80"/>
      </w:pPr>
      <w:r>
        <w:rPr>
          <w:rFonts w:ascii="Calibri" w:hAnsi="Calibri"/>
          <w:b/>
          <w:color w:val="111827"/>
          <w:sz w:val="32"/>
        </w:rPr>
        <w:t>4. Key Engineering Design Decisions</w:t>
      </w:r>
    </w:p>
    <w:p>
      <w:pPr>
        <w:pStyle w:val="ListBullet"/>
        <w:spacing w:after="60"/>
      </w:pPr>
      <w:r>
        <w:rPr>
          <w:b/>
          <w:color w:val="111827"/>
        </w:rPr>
        <w:t xml:space="preserve">Stateless Microservices: </w:t>
      </w:r>
      <w:r>
        <w:t>Each backend maintains isolated state, allowing horizontal scaling and containerization.</w:t>
      </w:r>
    </w:p>
    <w:p>
      <w:pPr>
        <w:pStyle w:val="ListBullet"/>
        <w:spacing w:after="60"/>
      </w:pPr>
      <w:r>
        <w:rPr>
          <w:b/>
          <w:color w:val="111827"/>
        </w:rPr>
        <w:t xml:space="preserve">Zero-Lock In-Memory Aggregations: </w:t>
      </w:r>
      <w:r>
        <w:t>Pre-indexing catalog records in Python dictionaries enables high-throughput cross-filtering without SQL overhead.</w:t>
      </w:r>
    </w:p>
    <w:p>
      <w:pPr>
        <w:pStyle w:val="ListBullet"/>
        <w:spacing w:after="60"/>
      </w:pPr>
      <w:r>
        <w:rPr>
          <w:b/>
          <w:color w:val="111827"/>
        </w:rPr>
        <w:t xml:space="preserve">Robust API Contract: </w:t>
      </w:r>
      <w:r>
        <w:t>All API endpoints strictly implement standardized error handlers returning JSON payloads with consistent status codes.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