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Guide de rédaction des mémoires</w:t>
      </w:r>
    </w:p>
    <w:p>
      <w:pPr>
        <w:pStyle w:val="Heading1"/>
      </w:pPr>
      <w:r>
        <w:t xml:space="preserve">1. Présentation matérielle</w:t>
      </w:r>
    </w:p>
    <w:p>
      <w:r>
        <w:t xml:space="preserve">Le mémoire est rédigé en police Times New Roman, taille 12, interligne 1,5. Les marges sont de 2,5 cm.</w:t>
      </w:r>
    </w:p>
    <w:p>
      <w:pPr>
        <w:pStyle w:val="Heading1"/>
      </w:pPr>
      <w:r>
        <w:t xml:space="preserve">2. Structure</w:t>
      </w:r>
    </w:p>
    <w:p>
      <w:r>
        <w:t xml:space="preserve">Le mémoire comporte entre 60 et 90 pages hors annexes, une introduction, deux parties et une conclusion.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2026-10-03T15:23:11.364Z</dcterms:created>
  <dcterms:modified xsi:type="dcterms:W3CDTF">2026-10-03T15:23:11.365Z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