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7830"/>
      </w:tblGrid>
      <w:tr w:rsidR="00FF2AB2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6540D3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FF2AB2" w:rsidP="002C32D4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rPr>
                <w:rFonts w:ascii="Tahoma" w:hAnsi="Tahoma" w:cs="Tahoma"/>
                <w:b/>
                <w:bCs/>
                <w:szCs w:val="18"/>
              </w:rPr>
            </w:pPr>
          </w:p>
          <w:p w:rsidR="00FF2AB2" w:rsidRPr="004351E8" w:rsidRDefault="00FF2AB2" w:rsidP="002C32D4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rPr>
                <w:rFonts w:ascii="Tahoma" w:hAnsi="Tahoma" w:cs="Tahoma"/>
                <w:b/>
                <w:bCs/>
                <w:szCs w:val="18"/>
              </w:rPr>
            </w:pPr>
            <w:r w:rsidRPr="004351E8">
              <w:rPr>
                <w:rFonts w:ascii="Tahoma" w:hAnsi="Tahoma" w:cs="Tahoma"/>
                <w:b/>
                <w:bCs/>
                <w:szCs w:val="18"/>
              </w:rPr>
              <w:t>Head: Social Media Center</w:t>
            </w:r>
          </w:p>
          <w:p w:rsidR="00FF2AB2" w:rsidRPr="004351E8" w:rsidRDefault="00FF2AB2" w:rsidP="003B40E4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rPr>
                <w:rFonts w:ascii="Tahoma" w:hAnsi="Tahoma" w:cs="Tahoma"/>
                <w:b/>
                <w:bCs/>
                <w:szCs w:val="18"/>
              </w:rPr>
            </w:pPr>
          </w:p>
        </w:tc>
      </w:tr>
      <w:tr w:rsidR="00FF2AB2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FF2AB2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4351E8">
              <w:rPr>
                <w:rFonts w:ascii="Tahoma" w:hAnsi="Tahoma" w:cs="Tahoma"/>
                <w:b/>
                <w:sz w:val="18"/>
                <w:szCs w:val="18"/>
              </w:rPr>
              <w:t>Reports To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FF2AB2" w:rsidP="004C4F5A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ind w:left="425" w:hanging="425"/>
              <w:rPr>
                <w:rFonts w:ascii="Tahoma" w:hAnsi="Tahoma" w:cs="Tahoma"/>
                <w:szCs w:val="18"/>
              </w:rPr>
            </w:pPr>
            <w:r w:rsidRPr="004351E8">
              <w:rPr>
                <w:rFonts w:ascii="Tahoma" w:hAnsi="Tahoma" w:cs="Tahoma"/>
                <w:szCs w:val="18"/>
              </w:rPr>
              <w:t xml:space="preserve">AGM – Corporate Communications </w:t>
            </w:r>
            <w:r w:rsidR="004C4F5A">
              <w:rPr>
                <w:rFonts w:ascii="Tahoma" w:hAnsi="Tahoma" w:cs="Tahoma"/>
                <w:szCs w:val="18"/>
              </w:rPr>
              <w:t>&amp; CSR</w:t>
            </w:r>
          </w:p>
          <w:p w:rsidR="00FF2AB2" w:rsidRPr="004351E8" w:rsidRDefault="00FF2AB2" w:rsidP="002C32D4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ind w:left="425" w:hanging="425"/>
              <w:rPr>
                <w:rFonts w:ascii="Tahoma" w:hAnsi="Tahoma" w:cs="Tahoma"/>
                <w:szCs w:val="18"/>
              </w:rPr>
            </w:pPr>
          </w:p>
        </w:tc>
      </w:tr>
      <w:tr w:rsidR="00FF2AB2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FF2AB2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4351E8">
              <w:rPr>
                <w:rFonts w:ascii="Tahoma" w:hAnsi="Tahoma" w:cs="Tahoma"/>
                <w:b/>
                <w:sz w:val="18"/>
                <w:szCs w:val="18"/>
              </w:rPr>
              <w:t>Summary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965D4A" w:rsidRDefault="00FF2AB2" w:rsidP="002C32D4">
            <w:pPr>
              <w:pStyle w:val="JDbulletlist"/>
              <w:numPr>
                <w:ilvl w:val="0"/>
                <w:numId w:val="0"/>
              </w:numPr>
              <w:tabs>
                <w:tab w:val="num" w:pos="252"/>
              </w:tabs>
              <w:spacing w:after="60"/>
              <w:rPr>
                <w:rFonts w:ascii="Tahoma" w:hAnsi="Tahoma" w:cs="Tahoma"/>
                <w:i/>
                <w:iCs/>
                <w:szCs w:val="18"/>
              </w:rPr>
            </w:pPr>
            <w:r w:rsidRPr="00965D4A">
              <w:rPr>
                <w:rFonts w:ascii="Tahoma" w:hAnsi="Tahoma" w:cs="Tahoma"/>
                <w:i/>
                <w:iCs/>
                <w:szCs w:val="18"/>
              </w:rPr>
              <w:t xml:space="preserve">To </w:t>
            </w:r>
            <w:r w:rsidR="00557802" w:rsidRPr="00965D4A">
              <w:rPr>
                <w:rFonts w:ascii="Tahoma" w:hAnsi="Tahoma" w:cs="Tahoma"/>
                <w:i/>
                <w:iCs/>
                <w:szCs w:val="18"/>
              </w:rPr>
              <w:t>create</w:t>
            </w:r>
            <w:r w:rsidR="00474847" w:rsidRPr="00965D4A">
              <w:rPr>
                <w:rFonts w:ascii="Tahoma" w:hAnsi="Tahoma" w:cs="Tahoma"/>
                <w:i/>
                <w:iCs/>
                <w:szCs w:val="18"/>
              </w:rPr>
              <w:t xml:space="preserve">, lead and expand the function of a social media center within </w:t>
            </w:r>
            <w:r w:rsidR="00965D4A">
              <w:rPr>
                <w:rFonts w:ascii="Tahoma" w:hAnsi="Tahoma" w:cs="Tahoma"/>
                <w:i/>
                <w:iCs/>
                <w:szCs w:val="18"/>
              </w:rPr>
              <w:t xml:space="preserve">the </w:t>
            </w:r>
            <w:r w:rsidR="00474847" w:rsidRPr="00965D4A">
              <w:rPr>
                <w:rFonts w:ascii="Tahoma" w:hAnsi="Tahoma" w:cs="Tahoma"/>
                <w:i/>
                <w:iCs/>
                <w:szCs w:val="18"/>
              </w:rPr>
              <w:t>corporate communications division of bank muscat</w:t>
            </w:r>
          </w:p>
        </w:tc>
      </w:tr>
      <w:tr w:rsidR="00FF2AB2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4351E8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Management</w:t>
            </w:r>
            <w:r w:rsidR="007D6702" w:rsidRPr="004351E8">
              <w:rPr>
                <w:rFonts w:ascii="Tahoma" w:hAnsi="Tahoma" w:cs="Tahoma"/>
                <w:b/>
                <w:sz w:val="18"/>
                <w:szCs w:val="18"/>
              </w:rPr>
              <w:t xml:space="preserve"> accountability</w:t>
            </w:r>
            <w:r w:rsidR="00B878EB">
              <w:rPr>
                <w:rFonts w:ascii="Tahoma" w:hAnsi="Tahoma" w:cs="Tahoma"/>
                <w:b/>
                <w:sz w:val="18"/>
                <w:szCs w:val="18"/>
              </w:rPr>
              <w:t xml:space="preserve"> profile</w:t>
            </w:r>
            <w:r w:rsidR="00FF2AB2" w:rsidRPr="004351E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8C0" w:rsidRPr="004351E8" w:rsidRDefault="006128C0" w:rsidP="00142AFF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ind w:left="425" w:hanging="425"/>
              <w:rPr>
                <w:rFonts w:ascii="Tahoma" w:hAnsi="Tahoma" w:cs="Tahoma"/>
                <w:szCs w:val="18"/>
              </w:rPr>
            </w:pPr>
            <w:r w:rsidRPr="004351E8">
              <w:rPr>
                <w:rFonts w:ascii="Tahoma" w:hAnsi="Tahoma" w:cs="Tahoma"/>
                <w:szCs w:val="18"/>
              </w:rPr>
              <w:t xml:space="preserve">To direct and execute the following: </w:t>
            </w:r>
          </w:p>
          <w:p w:rsidR="007F0AB6" w:rsidRPr="004351E8" w:rsidRDefault="007F0AB6" w:rsidP="002C32D4">
            <w:pPr>
              <w:spacing w:after="60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351E8">
              <w:rPr>
                <w:rFonts w:ascii="Tahoma" w:hAnsi="Tahoma" w:cs="Tahoma"/>
                <w:b/>
                <w:bCs/>
                <w:sz w:val="18"/>
                <w:szCs w:val="18"/>
              </w:rPr>
              <w:t>General</w:t>
            </w:r>
          </w:p>
          <w:p w:rsidR="00B708EE" w:rsidRPr="004351E8" w:rsidRDefault="00B70BF9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Start-up</w:t>
            </w:r>
            <w:r w:rsidR="00B708EE" w:rsidRPr="004351E8">
              <w:rPr>
                <w:rFonts w:ascii="Tahoma" w:hAnsi="Tahoma" w:cs="Tahoma"/>
                <w:sz w:val="18"/>
                <w:szCs w:val="18"/>
              </w:rPr>
              <w:t xml:space="preserve"> and manage a social media center </w:t>
            </w:r>
            <w:r w:rsidR="00B90249">
              <w:rPr>
                <w:rFonts w:ascii="Tahoma" w:hAnsi="Tahoma" w:cs="Tahoma"/>
                <w:sz w:val="18"/>
                <w:szCs w:val="18"/>
              </w:rPr>
              <w:t xml:space="preserve">to manage the brand reputation </w:t>
            </w:r>
            <w:r w:rsidR="00B708EE" w:rsidRPr="004351E8">
              <w:rPr>
                <w:rFonts w:ascii="Tahoma" w:hAnsi="Tahoma" w:cs="Tahoma"/>
                <w:sz w:val="18"/>
                <w:szCs w:val="18"/>
              </w:rPr>
              <w:t xml:space="preserve">for </w:t>
            </w:r>
            <w:r w:rsidR="00965D4A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</w:p>
          <w:p w:rsidR="00B90249" w:rsidRDefault="006128C0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strict compliance and maintenance of </w:t>
            </w:r>
            <w:r w:rsidR="00965D4A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="00965D4A" w:rsidRPr="004351E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F0AB6" w:rsidRPr="004351E8">
              <w:rPr>
                <w:rFonts w:ascii="Tahoma" w:hAnsi="Tahoma" w:cs="Tahoma"/>
                <w:sz w:val="18"/>
                <w:szCs w:val="18"/>
              </w:rPr>
              <w:t xml:space="preserve">online </w:t>
            </w:r>
            <w:r w:rsidRPr="004351E8">
              <w:rPr>
                <w:rFonts w:ascii="Tahoma" w:hAnsi="Tahoma" w:cs="Tahoma"/>
                <w:sz w:val="18"/>
                <w:szCs w:val="18"/>
              </w:rPr>
              <w:t>brand corporate identity</w:t>
            </w:r>
          </w:p>
          <w:p w:rsidR="006128C0" w:rsidRPr="004351E8" w:rsidRDefault="00B90249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implement stakeholder relationship strategy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6128C0" w:rsidRPr="004351E8" w:rsidRDefault="006128C0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initiate and create </w:t>
            </w:r>
            <w:r w:rsidR="007F0AB6" w:rsidRPr="004351E8">
              <w:rPr>
                <w:rFonts w:ascii="Tahoma" w:hAnsi="Tahoma" w:cs="Tahoma"/>
                <w:sz w:val="18"/>
                <w:szCs w:val="18"/>
              </w:rPr>
              <w:t xml:space="preserve">online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marketing and communications strategies for corporate, bank retail products and CSR products </w:t>
            </w:r>
          </w:p>
          <w:p w:rsidR="00557802" w:rsidRPr="004351E8" w:rsidRDefault="00557802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direct all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 through-the-line communication campaign briefs, </w:t>
            </w:r>
            <w:r w:rsidR="00BB5A6D" w:rsidRPr="004351E8">
              <w:rPr>
                <w:rFonts w:ascii="Tahoma" w:hAnsi="Tahoma" w:cs="Tahoma"/>
                <w:sz w:val="18"/>
                <w:szCs w:val="18"/>
              </w:rPr>
              <w:t>and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 follow-through supervision of </w:t>
            </w:r>
            <w:r w:rsidR="00BB5A6D" w:rsidRPr="004351E8">
              <w:rPr>
                <w:rFonts w:ascii="Tahoma" w:hAnsi="Tahoma" w:cs="Tahoma"/>
                <w:sz w:val="18"/>
                <w:szCs w:val="18"/>
              </w:rPr>
              <w:t xml:space="preserve">all 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>roll-out deliverables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are converted to social media space usage</w:t>
            </w:r>
          </w:p>
          <w:p w:rsidR="00557802" w:rsidRPr="004351E8" w:rsidRDefault="00557802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supervise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 internal communications briefs plus follow-through supervision of roll-out deliverables for </w:t>
            </w:r>
            <w:r w:rsidR="00B70BF9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 staff and stakeholders </w:t>
            </w:r>
          </w:p>
          <w:p w:rsidR="007D6702" w:rsidRPr="004351E8" w:rsidRDefault="007D6702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to ensure social media space runs as a profit center based on quarterly forecasting as per budget requirements</w:t>
            </w:r>
          </w:p>
          <w:p w:rsidR="00BB5A6D" w:rsidRPr="004351E8" w:rsidRDefault="00BB5A6D" w:rsidP="002C32D4">
            <w:pPr>
              <w:spacing w:after="60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4351E8">
              <w:rPr>
                <w:rFonts w:ascii="Tahoma" w:hAnsi="Tahoma" w:cs="Tahoma"/>
                <w:b/>
                <w:bCs/>
                <w:sz w:val="18"/>
                <w:szCs w:val="18"/>
              </w:rPr>
              <w:t>Staff</w:t>
            </w:r>
          </w:p>
          <w:p w:rsidR="007F0AB6" w:rsidRPr="004351E8" w:rsidRDefault="006128C0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ensure the </w:t>
            </w:r>
            <w:r w:rsidR="00BB5A6D" w:rsidRPr="004351E8">
              <w:rPr>
                <w:rFonts w:ascii="Tahoma" w:hAnsi="Tahoma" w:cs="Tahoma"/>
                <w:sz w:val="18"/>
                <w:szCs w:val="18"/>
              </w:rPr>
              <w:t xml:space="preserve">social media center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is in </w:t>
            </w:r>
            <w:r w:rsidR="00BB5A6D" w:rsidRPr="004351E8">
              <w:rPr>
                <w:rFonts w:ascii="Tahoma" w:hAnsi="Tahoma" w:cs="Tahoma"/>
                <w:sz w:val="18"/>
                <w:szCs w:val="18"/>
              </w:rPr>
              <w:t xml:space="preserve">full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compliance with HR department KPIs and staff appraisal metrics  </w:t>
            </w:r>
          </w:p>
          <w:p w:rsidR="00BB5A6D" w:rsidRPr="004351E8" w:rsidRDefault="00B708EE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lead and coordinate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 internal departmental staff  </w:t>
            </w:r>
          </w:p>
          <w:p w:rsidR="00BB5A6D" w:rsidRPr="004351E8" w:rsidRDefault="004059CD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initiate social media </w:t>
            </w:r>
            <w:r w:rsidR="006128C0" w:rsidRPr="004351E8">
              <w:rPr>
                <w:rFonts w:ascii="Tahoma" w:hAnsi="Tahoma" w:cs="Tahoma"/>
                <w:sz w:val="18"/>
                <w:szCs w:val="18"/>
              </w:rPr>
              <w:t xml:space="preserve">training programmes </w:t>
            </w:r>
          </w:p>
          <w:p w:rsidR="00860545" w:rsidRPr="004351E8" w:rsidRDefault="006128C0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inspire a cultu</w:t>
            </w:r>
            <w:r w:rsidR="0067658B" w:rsidRPr="004351E8">
              <w:rPr>
                <w:rFonts w:ascii="Tahoma" w:hAnsi="Tahoma" w:cs="Tahoma"/>
                <w:sz w:val="18"/>
                <w:szCs w:val="18"/>
              </w:rPr>
              <w:t>re of creativity and out-of-the-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box thinking in the </w:t>
            </w:r>
            <w:r w:rsidR="00860545" w:rsidRPr="004351E8">
              <w:rPr>
                <w:rFonts w:ascii="Tahoma" w:hAnsi="Tahoma" w:cs="Tahoma"/>
                <w:sz w:val="18"/>
                <w:szCs w:val="18"/>
              </w:rPr>
              <w:t>social media center</w:t>
            </w:r>
          </w:p>
          <w:p w:rsidR="00FF2AB2" w:rsidRPr="004351E8" w:rsidRDefault="006128C0" w:rsidP="002C32D4">
            <w:pPr>
              <w:pStyle w:val="ListParagraph"/>
              <w:numPr>
                <w:ilvl w:val="0"/>
                <w:numId w:val="2"/>
              </w:numPr>
              <w:spacing w:after="60"/>
              <w:ind w:left="252" w:hanging="18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4351E8">
              <w:rPr>
                <w:rFonts w:ascii="Tahoma" w:hAnsi="Tahoma" w:cs="Tahoma"/>
                <w:sz w:val="18"/>
                <w:szCs w:val="18"/>
              </w:rPr>
              <w:t>ensure</w:t>
            </w:r>
            <w:proofErr w:type="gramEnd"/>
            <w:r w:rsidRPr="004351E8">
              <w:rPr>
                <w:rFonts w:ascii="Tahoma" w:hAnsi="Tahoma" w:cs="Tahoma"/>
                <w:sz w:val="18"/>
                <w:szCs w:val="18"/>
              </w:rPr>
              <w:t xml:space="preserve"> the </w:t>
            </w:r>
            <w:r w:rsidR="00860545" w:rsidRPr="004351E8">
              <w:rPr>
                <w:rFonts w:ascii="Tahoma" w:hAnsi="Tahoma" w:cs="Tahoma"/>
                <w:sz w:val="18"/>
                <w:szCs w:val="18"/>
              </w:rPr>
              <w:t>social media center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reflects a true and favorable corporate </w:t>
            </w:r>
            <w:r w:rsidR="00B70BF9">
              <w:rPr>
                <w:rFonts w:ascii="Tahoma" w:hAnsi="Tahoma" w:cs="Tahoma"/>
                <w:sz w:val="18"/>
                <w:szCs w:val="18"/>
              </w:rPr>
              <w:t xml:space="preserve">image of </w:t>
            </w:r>
            <w:r w:rsidR="00B70BF9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="00B70BF9" w:rsidRPr="004351E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351E8">
              <w:rPr>
                <w:rFonts w:ascii="Tahoma" w:hAnsi="Tahoma" w:cs="Tahoma"/>
                <w:sz w:val="18"/>
                <w:szCs w:val="18"/>
              </w:rPr>
              <w:t>amongst all stakeholders, especially Government authorities, bank customers and the general public</w:t>
            </w:r>
            <w:r w:rsidR="00860545" w:rsidRPr="004351E8">
              <w:rPr>
                <w:rFonts w:ascii="Tahoma" w:hAnsi="Tahoma" w:cs="Tahoma"/>
                <w:sz w:val="18"/>
                <w:szCs w:val="18"/>
              </w:rPr>
              <w:t xml:space="preserve"> in social media space/channels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7D6702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702" w:rsidRPr="004351E8" w:rsidRDefault="007D6702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4351E8">
              <w:rPr>
                <w:rFonts w:ascii="Tahoma" w:hAnsi="Tahoma" w:cs="Tahoma"/>
                <w:b/>
                <w:sz w:val="18"/>
                <w:szCs w:val="18"/>
              </w:rPr>
              <w:t>Social media space accountability</w:t>
            </w:r>
            <w:r w:rsidR="007F194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878EB">
              <w:rPr>
                <w:rFonts w:ascii="Tahoma" w:hAnsi="Tahoma" w:cs="Tahoma"/>
                <w:b/>
                <w:sz w:val="18"/>
                <w:szCs w:val="18"/>
              </w:rPr>
              <w:t xml:space="preserve">profile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702" w:rsidRPr="004351E8" w:rsidRDefault="007D6702" w:rsidP="00142AFF">
            <w:pPr>
              <w:pStyle w:val="JDbulletlist"/>
              <w:numPr>
                <w:ilvl w:val="0"/>
                <w:numId w:val="0"/>
              </w:numPr>
              <w:tabs>
                <w:tab w:val="num" w:pos="425"/>
              </w:tabs>
              <w:spacing w:after="60"/>
              <w:ind w:left="425" w:hanging="425"/>
              <w:rPr>
                <w:rFonts w:ascii="Tahoma" w:hAnsi="Tahoma" w:cs="Tahoma"/>
                <w:szCs w:val="18"/>
              </w:rPr>
            </w:pPr>
            <w:r w:rsidRPr="004351E8">
              <w:rPr>
                <w:rFonts w:ascii="Tahoma" w:hAnsi="Tahoma" w:cs="Tahoma"/>
                <w:szCs w:val="18"/>
              </w:rPr>
              <w:t xml:space="preserve">To direct and execute the following: </w:t>
            </w:r>
          </w:p>
          <w:p w:rsidR="007D6702" w:rsidRPr="004351E8" w:rsidRDefault="002C32D4" w:rsidP="002C32D4">
            <w:pPr>
              <w:spacing w:after="60"/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Specific:</w:t>
            </w:r>
          </w:p>
          <w:p w:rsidR="00AB4F44" w:rsidRPr="004351E8" w:rsidRDefault="004351E8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B</w:t>
            </w:r>
            <w:r w:rsidR="00EF7AE7" w:rsidRPr="004351E8">
              <w:rPr>
                <w:rFonts w:ascii="Tahoma" w:hAnsi="Tahoma" w:cs="Tahoma"/>
                <w:sz w:val="18"/>
                <w:szCs w:val="18"/>
              </w:rPr>
              <w:t>rand</w:t>
            </w:r>
            <w:r w:rsidR="00AB4F44" w:rsidRPr="004351E8">
              <w:rPr>
                <w:rFonts w:ascii="Tahoma" w:hAnsi="Tahoma" w:cs="Tahoma"/>
                <w:sz w:val="18"/>
                <w:szCs w:val="18"/>
              </w:rPr>
              <w:t xml:space="preserve"> guardian of the </w:t>
            </w:r>
            <w:r w:rsidR="00A670FC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="00AB4F44" w:rsidRPr="004351E8">
              <w:rPr>
                <w:rFonts w:ascii="Tahoma" w:hAnsi="Tahoma" w:cs="Tahoma"/>
                <w:sz w:val="18"/>
                <w:szCs w:val="18"/>
              </w:rPr>
              <w:t xml:space="preserve">’s </w:t>
            </w:r>
            <w:r>
              <w:rPr>
                <w:rFonts w:ascii="Tahoma" w:hAnsi="Tahoma" w:cs="Tahoma"/>
                <w:sz w:val="18"/>
                <w:szCs w:val="18"/>
              </w:rPr>
              <w:t xml:space="preserve">online </w:t>
            </w:r>
            <w:r w:rsidR="00AB4F44" w:rsidRPr="004351E8">
              <w:rPr>
                <w:rFonts w:ascii="Tahoma" w:hAnsi="Tahoma" w:cs="Tahoma"/>
                <w:sz w:val="18"/>
                <w:szCs w:val="18"/>
              </w:rPr>
              <w:t xml:space="preserve">corporate identity – ensuring total compliance internally and by all </w:t>
            </w:r>
            <w:r w:rsidR="00EF7AE7" w:rsidRPr="004351E8">
              <w:rPr>
                <w:rFonts w:ascii="Tahoma" w:hAnsi="Tahoma" w:cs="Tahoma"/>
                <w:sz w:val="18"/>
                <w:szCs w:val="18"/>
              </w:rPr>
              <w:t>media space channels</w:t>
            </w:r>
            <w:r w:rsidR="00AB4F44" w:rsidRPr="004351E8">
              <w:rPr>
                <w:rFonts w:ascii="Tahoma" w:hAnsi="Tahoma" w:cs="Tahoma"/>
                <w:sz w:val="18"/>
                <w:szCs w:val="18"/>
              </w:rPr>
              <w:t xml:space="preserve">; also ensuring the brand CI guideline </w:t>
            </w:r>
            <w:r w:rsidR="00693ED4" w:rsidRPr="004351E8">
              <w:rPr>
                <w:rFonts w:ascii="Tahoma" w:hAnsi="Tahoma" w:cs="Tahoma"/>
                <w:sz w:val="18"/>
                <w:szCs w:val="18"/>
              </w:rPr>
              <w:t>is kept up to date and enforced</w:t>
            </w:r>
          </w:p>
          <w:p w:rsidR="00AB4F44" w:rsidRDefault="00AB4F44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Interpret external i</w:t>
            </w:r>
            <w:r w:rsidR="00693ED4" w:rsidRPr="004351E8">
              <w:rPr>
                <w:rFonts w:ascii="Tahoma" w:hAnsi="Tahoma" w:cs="Tahoma"/>
                <w:sz w:val="18"/>
                <w:szCs w:val="18"/>
              </w:rPr>
              <w:t xml:space="preserve">nfluences as they apply to </w:t>
            </w:r>
            <w:r w:rsidR="004C54E6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="004C54E6" w:rsidRPr="004351E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to prepare effective external marketing/communications </w:t>
            </w:r>
            <w:r w:rsidR="00693ED4" w:rsidRPr="004351E8">
              <w:rPr>
                <w:rFonts w:ascii="Tahoma" w:hAnsi="Tahoma" w:cs="Tahoma"/>
                <w:sz w:val="18"/>
                <w:szCs w:val="18"/>
              </w:rPr>
              <w:t>online strategies</w:t>
            </w:r>
          </w:p>
          <w:p w:rsidR="00F216C0" w:rsidRPr="004351E8" w:rsidRDefault="00F216C0" w:rsidP="003D3695">
            <w:pPr>
              <w:pStyle w:val="ListParagraph"/>
              <w:numPr>
                <w:ilvl w:val="0"/>
                <w:numId w:val="3"/>
              </w:numPr>
              <w:spacing w:after="60"/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To </w:t>
            </w:r>
            <w:r w:rsidR="003D3695">
              <w:rPr>
                <w:rFonts w:ascii="Tahoma" w:hAnsi="Tahoma" w:cs="Tahoma"/>
                <w:sz w:val="18"/>
                <w:szCs w:val="18"/>
              </w:rPr>
              <w:t>executive the policy and procedural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guidelines </w:t>
            </w:r>
            <w:r w:rsidR="003D3695">
              <w:rPr>
                <w:rFonts w:ascii="Tahoma" w:hAnsi="Tahoma" w:cs="Tahoma"/>
                <w:sz w:val="18"/>
                <w:szCs w:val="18"/>
              </w:rPr>
              <w:t>through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which</w:t>
            </w:r>
            <w:r w:rsidRPr="004C54E6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="004C54E6" w:rsidRPr="004C54E6">
              <w:rPr>
                <w:rFonts w:ascii="Tahoma" w:hAnsi="Tahoma" w:cs="Tahoma"/>
                <w:sz w:val="18"/>
                <w:szCs w:val="18"/>
              </w:rPr>
              <w:t>the social media center</w:t>
            </w:r>
            <w:r w:rsidRPr="004C54E6">
              <w:rPr>
                <w:rFonts w:ascii="Tahoma" w:hAnsi="Tahoma" w:cs="Tahoma"/>
                <w:sz w:val="18"/>
                <w:szCs w:val="18"/>
              </w:rPr>
              <w:t xml:space="preserve"> can </w:t>
            </w:r>
            <w:r w:rsidRPr="004351E8">
              <w:rPr>
                <w:rFonts w:ascii="Tahoma" w:hAnsi="Tahoma" w:cs="Tahoma"/>
                <w:sz w:val="18"/>
                <w:szCs w:val="18"/>
              </w:rPr>
              <w:t>conduct respons</w:t>
            </w:r>
            <w:r w:rsidR="004C54E6">
              <w:rPr>
                <w:rFonts w:ascii="Tahoma" w:hAnsi="Tahoma" w:cs="Tahoma"/>
                <w:sz w:val="18"/>
                <w:szCs w:val="18"/>
              </w:rPr>
              <w:t xml:space="preserve">ible, constructive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interaction / engagement in both official and unofficial capacities for </w:t>
            </w:r>
            <w:r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and all business units.</w:t>
            </w:r>
          </w:p>
          <w:p w:rsidR="00F216C0" w:rsidRPr="004351E8" w:rsidRDefault="00F216C0" w:rsidP="00252D44">
            <w:pPr>
              <w:pStyle w:val="ListParagraph"/>
              <w:numPr>
                <w:ilvl w:val="0"/>
                <w:numId w:val="3"/>
              </w:numPr>
              <w:spacing w:after="60"/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Establish rules for employees to govern their own social media usage when they speak of or for </w:t>
            </w:r>
            <w:r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Pr="004351E8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F216C0" w:rsidRPr="004351E8" w:rsidRDefault="00F216C0" w:rsidP="00A670FC">
            <w:pPr>
              <w:pStyle w:val="ListParagraph"/>
              <w:numPr>
                <w:ilvl w:val="0"/>
                <w:numId w:val="3"/>
              </w:numPr>
              <w:spacing w:after="60"/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Promote a corporate environment for </w:t>
            </w:r>
            <w:r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to share (</w:t>
            </w:r>
            <w:r w:rsidR="00A670FC">
              <w:rPr>
                <w:rFonts w:ascii="Tahoma" w:hAnsi="Tahoma" w:cs="Tahoma"/>
                <w:sz w:val="18"/>
                <w:szCs w:val="18"/>
              </w:rPr>
              <w:t>narrative post</w:t>
            </w:r>
            <w:r w:rsidRPr="004351E8">
              <w:rPr>
                <w:rFonts w:ascii="Tahoma" w:hAnsi="Tahoma" w:cs="Tahoma"/>
                <w:sz w:val="18"/>
                <w:szCs w:val="18"/>
              </w:rPr>
              <w:t>) its expertise</w:t>
            </w:r>
          </w:p>
          <w:p w:rsidR="00F216C0" w:rsidRPr="004351E8" w:rsidRDefault="00F216C0" w:rsidP="00252D44">
            <w:pPr>
              <w:pStyle w:val="ListParagraph"/>
              <w:numPr>
                <w:ilvl w:val="0"/>
                <w:numId w:val="3"/>
              </w:numPr>
              <w:spacing w:after="60"/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To recognise </w:t>
            </w:r>
            <w:r w:rsidR="004351E8">
              <w:rPr>
                <w:rFonts w:ascii="Tahoma" w:hAnsi="Tahoma" w:cs="Tahoma"/>
                <w:sz w:val="18"/>
                <w:szCs w:val="18"/>
              </w:rPr>
              <w:t>and develop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51E8">
              <w:rPr>
                <w:rFonts w:ascii="Tahoma" w:hAnsi="Tahoma" w:cs="Tahoma"/>
                <w:sz w:val="18"/>
                <w:szCs w:val="18"/>
              </w:rPr>
              <w:t xml:space="preserve">specific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bloggers as key influencers </w:t>
            </w:r>
            <w:r w:rsidR="004351E8">
              <w:rPr>
                <w:rFonts w:ascii="Tahoma" w:hAnsi="Tahoma" w:cs="Tahoma"/>
                <w:sz w:val="18"/>
                <w:szCs w:val="18"/>
              </w:rPr>
              <w:t xml:space="preserve">(assets)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to offer educated opinions on </w:t>
            </w:r>
            <w:r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bank muscat </w:t>
            </w:r>
            <w:r w:rsidRPr="004351E8">
              <w:rPr>
                <w:rFonts w:ascii="Tahoma" w:hAnsi="Tahoma" w:cs="Tahoma"/>
                <w:sz w:val="18"/>
                <w:szCs w:val="18"/>
              </w:rPr>
              <w:t>stories, products and services.</w:t>
            </w:r>
          </w:p>
          <w:p w:rsidR="004351E8" w:rsidRDefault="00F216C0" w:rsidP="00252D44">
            <w:pPr>
              <w:pStyle w:val="ListParagraph"/>
              <w:numPr>
                <w:ilvl w:val="0"/>
                <w:numId w:val="3"/>
              </w:numPr>
              <w:spacing w:after="60"/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 xml:space="preserve">Protect </w:t>
            </w:r>
            <w:r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integrity, the brand, products, services and employees through specific rules, regulations and immutable laws </w:t>
            </w:r>
            <w:r w:rsidR="004351E8">
              <w:rPr>
                <w:rFonts w:ascii="Tahoma" w:hAnsi="Tahoma" w:cs="Tahoma"/>
                <w:sz w:val="18"/>
                <w:szCs w:val="18"/>
              </w:rPr>
              <w:t>across social media space</w:t>
            </w:r>
          </w:p>
          <w:p w:rsidR="00B930A2" w:rsidRDefault="00B930A2" w:rsidP="00B930A2">
            <w:pPr>
              <w:pStyle w:val="ListParagraph"/>
              <w:spacing w:after="60"/>
              <w:ind w:left="252"/>
              <w:rPr>
                <w:rFonts w:ascii="Tahoma" w:hAnsi="Tahoma" w:cs="Tahoma"/>
                <w:sz w:val="18"/>
                <w:szCs w:val="18"/>
              </w:rPr>
            </w:pPr>
            <w:bookmarkStart w:id="0" w:name="_GoBack"/>
            <w:bookmarkEnd w:id="0"/>
          </w:p>
          <w:p w:rsidR="00AB4F44" w:rsidRPr="004351E8" w:rsidRDefault="00AB4F44" w:rsidP="00252D44">
            <w:pPr>
              <w:pStyle w:val="ListParagraph"/>
              <w:numPr>
                <w:ilvl w:val="0"/>
                <w:numId w:val="3"/>
              </w:numPr>
              <w:spacing w:after="60"/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lastRenderedPageBreak/>
              <w:t>Develop and implement comprehensive plans to provide an effective interface between the stakeholders (especial</w:t>
            </w:r>
            <w:r w:rsidR="00A31B83" w:rsidRPr="004351E8">
              <w:rPr>
                <w:rFonts w:ascii="Tahoma" w:hAnsi="Tahoma" w:cs="Tahoma"/>
                <w:sz w:val="18"/>
                <w:szCs w:val="18"/>
              </w:rPr>
              <w:t xml:space="preserve">ly the general public) and </w:t>
            </w:r>
            <w:r w:rsidR="004C54E6" w:rsidRPr="004351E8">
              <w:rPr>
                <w:rFonts w:ascii="Tahoma" w:hAnsi="Tahoma" w:cs="Tahoma"/>
                <w:i/>
                <w:iCs/>
                <w:sz w:val="18"/>
                <w:szCs w:val="18"/>
              </w:rPr>
              <w:t>bank muscat</w:t>
            </w:r>
            <w:r w:rsidR="004C54E6" w:rsidRPr="004351E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through </w:t>
            </w:r>
            <w:r w:rsidR="00A31B83" w:rsidRPr="004351E8">
              <w:rPr>
                <w:rFonts w:ascii="Tahoma" w:hAnsi="Tahoma" w:cs="Tahoma"/>
                <w:sz w:val="18"/>
                <w:szCs w:val="18"/>
              </w:rPr>
              <w:t xml:space="preserve">online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media, participation in </w:t>
            </w:r>
            <w:r w:rsidR="00A31B83" w:rsidRPr="004351E8">
              <w:rPr>
                <w:rFonts w:ascii="Tahoma" w:hAnsi="Tahoma" w:cs="Tahoma"/>
                <w:sz w:val="18"/>
                <w:szCs w:val="18"/>
              </w:rPr>
              <w:t>social media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 bodies, associations/ investment </w:t>
            </w:r>
            <w:r w:rsidR="00693ED4" w:rsidRPr="004351E8">
              <w:rPr>
                <w:rFonts w:ascii="Tahoma" w:hAnsi="Tahoma" w:cs="Tahoma"/>
                <w:sz w:val="18"/>
                <w:szCs w:val="18"/>
              </w:rPr>
              <w:t>communities etc. as appropriate</w:t>
            </w:r>
          </w:p>
          <w:p w:rsidR="004059CD" w:rsidRPr="004351E8" w:rsidRDefault="004059CD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Quarterly health check on online branding presence and SOV/SOM analytics</w:t>
            </w:r>
          </w:p>
          <w:p w:rsidR="00AB4F44" w:rsidRPr="004351E8" w:rsidRDefault="00AB4F44" w:rsidP="003D3695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Respond to requests for information from stakeholders</w:t>
            </w:r>
            <w:r w:rsidR="00A31B83" w:rsidRPr="004351E8">
              <w:rPr>
                <w:rFonts w:ascii="Tahoma" w:hAnsi="Tahoma" w:cs="Tahoma"/>
                <w:sz w:val="18"/>
                <w:szCs w:val="18"/>
              </w:rPr>
              <w:t xml:space="preserve"> (internal and external posters)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; thus responding to inaccurate or negative reports regarding the Bank, and to </w:t>
            </w:r>
            <w:r w:rsidR="0067658B" w:rsidRPr="004351E8">
              <w:rPr>
                <w:rFonts w:ascii="Tahoma" w:hAnsi="Tahoma" w:cs="Tahoma"/>
                <w:sz w:val="18"/>
                <w:szCs w:val="18"/>
              </w:rPr>
              <w:t xml:space="preserve">both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clarify </w:t>
            </w:r>
            <w:r w:rsidR="0067658B" w:rsidRPr="004351E8">
              <w:rPr>
                <w:rFonts w:ascii="Tahoma" w:hAnsi="Tahoma" w:cs="Tahoma"/>
                <w:sz w:val="18"/>
                <w:szCs w:val="18"/>
              </w:rPr>
              <w:t xml:space="preserve">and safeguard 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the </w:t>
            </w:r>
            <w:r w:rsidR="00A670FC" w:rsidRPr="00A670FC">
              <w:rPr>
                <w:rFonts w:ascii="Tahoma" w:hAnsi="Tahoma" w:cs="Tahoma"/>
                <w:i/>
                <w:iCs/>
                <w:sz w:val="18"/>
                <w:szCs w:val="18"/>
              </w:rPr>
              <w:t>bank</w:t>
            </w:r>
            <w:r w:rsidR="00A670FC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="00A670FC" w:rsidRPr="00A670FC">
              <w:rPr>
                <w:rFonts w:ascii="Tahoma" w:hAnsi="Tahoma" w:cs="Tahoma"/>
                <w:i/>
                <w:iCs/>
                <w:sz w:val="18"/>
                <w:szCs w:val="18"/>
              </w:rPr>
              <w:t>muscat</w:t>
            </w:r>
            <w:r w:rsidRPr="004351E8">
              <w:rPr>
                <w:rFonts w:ascii="Tahoma" w:hAnsi="Tahoma" w:cs="Tahoma"/>
                <w:sz w:val="18"/>
                <w:szCs w:val="18"/>
              </w:rPr>
              <w:t xml:space="preserve">’s </w:t>
            </w:r>
            <w:r w:rsidR="00693ED4" w:rsidRPr="004351E8">
              <w:rPr>
                <w:rFonts w:ascii="Tahoma" w:hAnsi="Tahoma" w:cs="Tahoma"/>
                <w:sz w:val="18"/>
                <w:szCs w:val="18"/>
              </w:rPr>
              <w:t>position on such issues</w:t>
            </w:r>
          </w:p>
          <w:p w:rsidR="00AB4F44" w:rsidRPr="004351E8" w:rsidRDefault="00AB4F44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Provide assistance to senior members of the Management and Board members in preparing speeches, letters and articles that are made public</w:t>
            </w:r>
            <w:r w:rsidR="00D355F3" w:rsidRPr="004351E8">
              <w:rPr>
                <w:rFonts w:ascii="Tahoma" w:hAnsi="Tahoma" w:cs="Tahoma"/>
                <w:sz w:val="18"/>
                <w:szCs w:val="18"/>
              </w:rPr>
              <w:t xml:space="preserve"> online</w:t>
            </w:r>
          </w:p>
          <w:p w:rsidR="00AB4F44" w:rsidRPr="004351E8" w:rsidRDefault="00AB4F44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4351E8">
              <w:rPr>
                <w:rFonts w:ascii="Tahoma" w:hAnsi="Tahoma" w:cs="Tahoma"/>
                <w:sz w:val="18"/>
                <w:szCs w:val="18"/>
              </w:rPr>
              <w:t>Prepare in consultation with other relevant departments, updates about the performance of the Bank, which could include annual and quarterly reports and regular brand health checks</w:t>
            </w:r>
            <w:r w:rsidR="00D355F3" w:rsidRPr="004351E8">
              <w:rPr>
                <w:rFonts w:ascii="Tahoma" w:hAnsi="Tahoma" w:cs="Tahoma"/>
                <w:sz w:val="18"/>
                <w:szCs w:val="18"/>
              </w:rPr>
              <w:t xml:space="preserve"> that will be published online</w:t>
            </w:r>
          </w:p>
          <w:p w:rsidR="00F216C0" w:rsidRPr="004351E8" w:rsidRDefault="00F216C0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4351E8">
              <w:rPr>
                <w:rFonts w:ascii="Tahoma" w:hAnsi="Tahoma" w:cs="Tahoma"/>
                <w:sz w:val="18"/>
                <w:szCs w:val="18"/>
                <w:lang w:val="en-US"/>
              </w:rPr>
              <w:t>Create social media guidelines for employees, customer and vendors so they understand who can post what, where and when in all social media</w:t>
            </w:r>
          </w:p>
          <w:p w:rsidR="00F216C0" w:rsidRPr="004351E8" w:rsidRDefault="00F216C0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4351E8">
              <w:rPr>
                <w:rFonts w:ascii="Tahoma" w:hAnsi="Tahoma" w:cs="Tahoma"/>
                <w:sz w:val="18"/>
                <w:szCs w:val="18"/>
                <w:lang w:val="en-US"/>
              </w:rPr>
              <w:t xml:space="preserve">Ensure the reputation of the bank’s brand presence </w:t>
            </w:r>
          </w:p>
          <w:p w:rsidR="00F216C0" w:rsidRPr="004351E8" w:rsidRDefault="00F216C0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4351E8">
              <w:rPr>
                <w:rFonts w:ascii="Tahoma" w:hAnsi="Tahoma" w:cs="Tahoma"/>
                <w:sz w:val="18"/>
                <w:szCs w:val="18"/>
                <w:lang w:val="en-US"/>
              </w:rPr>
              <w:t xml:space="preserve">Identify the stakeholders and other relevant communities </w:t>
            </w:r>
          </w:p>
          <w:p w:rsidR="00F216C0" w:rsidRPr="004351E8" w:rsidRDefault="00F216C0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4351E8">
              <w:rPr>
                <w:rFonts w:ascii="Tahoma" w:hAnsi="Tahoma" w:cs="Tahoma"/>
                <w:sz w:val="18"/>
                <w:szCs w:val="18"/>
                <w:lang w:val="en-US"/>
              </w:rPr>
              <w:t xml:space="preserve">Identify </w:t>
            </w:r>
            <w:r w:rsidRPr="004351E8">
              <w:rPr>
                <w:rFonts w:ascii="Tahoma" w:hAnsi="Tahoma" w:cs="Tahoma"/>
                <w:i/>
                <w:iCs/>
                <w:sz w:val="18"/>
                <w:szCs w:val="18"/>
                <w:lang w:val="en-US"/>
              </w:rPr>
              <w:t>trending</w:t>
            </w:r>
            <w:r w:rsidRPr="004351E8">
              <w:rPr>
                <w:rFonts w:ascii="Tahoma" w:hAnsi="Tahoma" w:cs="Tahoma"/>
                <w:sz w:val="18"/>
                <w:szCs w:val="18"/>
                <w:lang w:val="en-US"/>
              </w:rPr>
              <w:t xml:space="preserve"> social media spaces</w:t>
            </w:r>
          </w:p>
          <w:p w:rsidR="007D6702" w:rsidRPr="00252D44" w:rsidRDefault="00F216C0" w:rsidP="00252D44">
            <w:pPr>
              <w:pStyle w:val="Bullet1"/>
              <w:numPr>
                <w:ilvl w:val="0"/>
                <w:numId w:val="3"/>
              </w:numPr>
              <w:ind w:left="252" w:hanging="18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4351E8">
              <w:rPr>
                <w:rFonts w:ascii="Tahoma" w:hAnsi="Tahoma" w:cs="Tahoma"/>
                <w:sz w:val="18"/>
                <w:szCs w:val="18"/>
                <w:lang w:val="en-US"/>
              </w:rPr>
              <w:t>Conduct on-going surveys and questionnaires to ensure content accuracy (through metrics and analysis)</w:t>
            </w:r>
          </w:p>
        </w:tc>
      </w:tr>
      <w:tr w:rsidR="002C32D4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2D4" w:rsidRPr="004351E8" w:rsidRDefault="002C32D4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Time management</w:t>
            </w:r>
            <w:r w:rsidR="00252D44">
              <w:rPr>
                <w:rFonts w:ascii="Tahoma" w:hAnsi="Tahoma" w:cs="Tahoma"/>
                <w:b/>
                <w:sz w:val="18"/>
                <w:szCs w:val="18"/>
              </w:rPr>
              <w:t xml:space="preserve"> expectation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2D4" w:rsidRPr="002C32D4" w:rsidRDefault="002C32D4" w:rsidP="002A5A16">
            <w:pPr>
              <w:pStyle w:val="JDbulletlist"/>
              <w:tabs>
                <w:tab w:val="clear" w:pos="425"/>
                <w:tab w:val="num" w:pos="702"/>
              </w:tabs>
              <w:spacing w:after="60"/>
              <w:ind w:left="252" w:hanging="180"/>
              <w:rPr>
                <w:rFonts w:ascii="Tahoma" w:hAnsi="Tahoma" w:cs="Tahoma"/>
              </w:rPr>
            </w:pPr>
            <w:r w:rsidRPr="002C32D4">
              <w:rPr>
                <w:rFonts w:ascii="Tahoma" w:hAnsi="Tahoma" w:cs="Tahoma"/>
              </w:rPr>
              <w:t>managing brand equity and bank reputation</w:t>
            </w:r>
          </w:p>
          <w:p w:rsidR="002C32D4" w:rsidRPr="002C32D4" w:rsidRDefault="002C32D4" w:rsidP="002A5A16">
            <w:pPr>
              <w:pStyle w:val="JDbulletlist"/>
              <w:tabs>
                <w:tab w:val="clear" w:pos="425"/>
                <w:tab w:val="num" w:pos="702"/>
              </w:tabs>
              <w:spacing w:after="60"/>
              <w:ind w:left="252" w:hanging="180"/>
              <w:rPr>
                <w:rFonts w:ascii="Tahoma" w:hAnsi="Tahoma" w:cs="Tahoma"/>
              </w:rPr>
            </w:pPr>
            <w:r w:rsidRPr="002C32D4">
              <w:rPr>
                <w:rFonts w:ascii="Tahoma" w:hAnsi="Tahoma" w:cs="Tahoma"/>
              </w:rPr>
              <w:t>collating feedback and talking-back to people</w:t>
            </w:r>
          </w:p>
          <w:p w:rsidR="002C32D4" w:rsidRPr="002C32D4" w:rsidRDefault="002C32D4" w:rsidP="002A5A16">
            <w:pPr>
              <w:pStyle w:val="JDbulletlist"/>
              <w:tabs>
                <w:tab w:val="clear" w:pos="425"/>
                <w:tab w:val="num" w:pos="702"/>
              </w:tabs>
              <w:spacing w:after="60"/>
              <w:ind w:left="252" w:hanging="180"/>
              <w:rPr>
                <w:rFonts w:ascii="Tahoma" w:hAnsi="Tahoma" w:cs="Tahoma"/>
              </w:rPr>
            </w:pPr>
            <w:r w:rsidRPr="002C32D4">
              <w:rPr>
                <w:rFonts w:ascii="Tahoma" w:hAnsi="Tahoma" w:cs="Tahoma"/>
              </w:rPr>
              <w:t>working with stakeholders and complying with BU needs</w:t>
            </w:r>
          </w:p>
          <w:p w:rsidR="002C32D4" w:rsidRPr="004351E8" w:rsidRDefault="002C32D4" w:rsidP="002A5A16">
            <w:pPr>
              <w:pStyle w:val="JDbulletlist"/>
              <w:tabs>
                <w:tab w:val="clear" w:pos="425"/>
                <w:tab w:val="num" w:pos="702"/>
              </w:tabs>
              <w:spacing w:after="60"/>
              <w:ind w:left="252" w:hanging="180"/>
            </w:pPr>
            <w:r w:rsidRPr="002C32D4">
              <w:rPr>
                <w:rFonts w:ascii="Tahoma" w:hAnsi="Tahoma" w:cs="Tahoma"/>
              </w:rPr>
              <w:t>assessing challenge management</w:t>
            </w:r>
          </w:p>
        </w:tc>
      </w:tr>
      <w:tr w:rsidR="00FF2AB2" w:rsidRPr="004351E8" w:rsidTr="00FF2A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AB2" w:rsidRPr="004351E8" w:rsidRDefault="00FF2AB2" w:rsidP="002C32D4">
            <w:pPr>
              <w:spacing w:after="60" w:line="240" w:lineRule="auto"/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4351E8">
              <w:rPr>
                <w:rFonts w:ascii="Tahoma" w:hAnsi="Tahoma" w:cs="Tahoma"/>
                <w:b/>
                <w:sz w:val="18"/>
                <w:szCs w:val="18"/>
              </w:rPr>
              <w:t>Qualifications</w:t>
            </w:r>
            <w:r w:rsidR="00B878EB">
              <w:rPr>
                <w:rFonts w:ascii="Tahoma" w:hAnsi="Tahoma" w:cs="Tahoma"/>
                <w:b/>
                <w:sz w:val="18"/>
                <w:szCs w:val="18"/>
              </w:rPr>
              <w:t xml:space="preserve"> and experience profile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0E4" w:rsidRPr="002A7C15" w:rsidRDefault="003B40E4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2A7C15">
              <w:rPr>
                <w:rFonts w:ascii="Tahoma" w:hAnsi="Tahoma" w:cs="Tahoma"/>
                <w:sz w:val="18"/>
                <w:szCs w:val="18"/>
                <w:u w:val="single"/>
              </w:rPr>
              <w:t xml:space="preserve">Formal qualifications in </w:t>
            </w:r>
            <w:r w:rsidR="002A5A16" w:rsidRPr="002A7C15">
              <w:rPr>
                <w:rFonts w:ascii="Tahoma" w:hAnsi="Tahoma" w:cs="Tahoma"/>
                <w:sz w:val="18"/>
                <w:szCs w:val="18"/>
                <w:u w:val="single"/>
              </w:rPr>
              <w:t xml:space="preserve">either </w:t>
            </w:r>
            <w:r w:rsidRPr="002A7C15">
              <w:rPr>
                <w:rFonts w:ascii="Tahoma" w:hAnsi="Tahoma" w:cs="Tahoma"/>
                <w:sz w:val="18"/>
                <w:szCs w:val="18"/>
                <w:u w:val="single"/>
              </w:rPr>
              <w:t>journalism/ mass communications / marketing</w:t>
            </w:r>
          </w:p>
          <w:p w:rsidR="002A5A16" w:rsidRPr="002A5A16" w:rsidRDefault="002A7C15" w:rsidP="002A5A16">
            <w:pPr>
              <w:pStyle w:val="Bullet1"/>
              <w:numPr>
                <w:ilvl w:val="0"/>
                <w:numId w:val="0"/>
              </w:numPr>
              <w:ind w:left="252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And / </w:t>
            </w:r>
            <w:r w:rsidR="002A5A16">
              <w:rPr>
                <w:rFonts w:ascii="Tahoma" w:hAnsi="Tahoma" w:cs="Tahoma"/>
                <w:sz w:val="18"/>
                <w:szCs w:val="18"/>
              </w:rPr>
              <w:t>or</w:t>
            </w:r>
          </w:p>
          <w:p w:rsidR="002A7C15" w:rsidRPr="002A7C15" w:rsidRDefault="003B40E4" w:rsidP="002A7C15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2A7C15">
              <w:rPr>
                <w:rFonts w:ascii="Tahoma" w:hAnsi="Tahoma" w:cs="Tahoma"/>
                <w:sz w:val="18"/>
                <w:szCs w:val="18"/>
                <w:u w:val="single"/>
              </w:rPr>
              <w:t>Minimum</w:t>
            </w:r>
            <w:r w:rsidR="00A55455">
              <w:rPr>
                <w:rFonts w:ascii="Tahoma" w:hAnsi="Tahoma" w:cs="Tahoma"/>
                <w:sz w:val="18"/>
                <w:szCs w:val="18"/>
                <w:u w:val="single"/>
              </w:rPr>
              <w:t xml:space="preserve"> 10 years’ </w:t>
            </w:r>
            <w:r w:rsidRPr="002A7C15">
              <w:rPr>
                <w:rFonts w:ascii="Tahoma" w:hAnsi="Tahoma" w:cs="Tahoma"/>
                <w:sz w:val="18"/>
                <w:szCs w:val="18"/>
                <w:u w:val="single"/>
              </w:rPr>
              <w:t>experience in corporate communications</w:t>
            </w:r>
            <w:r w:rsidR="002A5A16" w:rsidRPr="002A7C15">
              <w:rPr>
                <w:rFonts w:ascii="Tahoma" w:hAnsi="Tahoma" w:cs="Tahoma"/>
                <w:sz w:val="18"/>
                <w:szCs w:val="18"/>
                <w:u w:val="single"/>
              </w:rPr>
              <w:t xml:space="preserve"> position</w:t>
            </w:r>
            <w:r w:rsidR="002A7C15" w:rsidRPr="002A7C15">
              <w:rPr>
                <w:rFonts w:ascii="Tahoma" w:hAnsi="Tahoma" w:cs="Tahoma"/>
                <w:sz w:val="18"/>
                <w:szCs w:val="18"/>
                <w:u w:val="single"/>
              </w:rPr>
              <w:t xml:space="preserve"> is a must</w:t>
            </w:r>
          </w:p>
          <w:p w:rsidR="003B40E4" w:rsidRDefault="002A7C15" w:rsidP="00A55455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Certifiable previous positions</w:t>
            </w:r>
            <w:r w:rsidR="002A5A1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may include</w:t>
            </w:r>
            <w:r w:rsidR="002A5A16">
              <w:rPr>
                <w:rFonts w:ascii="Tahoma" w:hAnsi="Tahoma" w:cs="Tahoma"/>
                <w:sz w:val="18"/>
                <w:szCs w:val="18"/>
              </w:rPr>
              <w:t xml:space="preserve">: marketing director </w:t>
            </w:r>
            <w:r>
              <w:rPr>
                <w:rFonts w:ascii="Tahoma" w:hAnsi="Tahoma" w:cs="Tahoma"/>
                <w:sz w:val="18"/>
                <w:szCs w:val="18"/>
              </w:rPr>
              <w:t>in international corporate, o</w:t>
            </w:r>
            <w:r w:rsidR="00A55455">
              <w:rPr>
                <w:rFonts w:ascii="Tahoma" w:hAnsi="Tahoma" w:cs="Tahoma"/>
                <w:sz w:val="18"/>
                <w:szCs w:val="18"/>
              </w:rPr>
              <w:t xml:space="preserve">r, regional creative director </w:t>
            </w:r>
            <w:r>
              <w:rPr>
                <w:rFonts w:ascii="Tahoma" w:hAnsi="Tahoma" w:cs="Tahoma"/>
                <w:sz w:val="18"/>
                <w:szCs w:val="18"/>
              </w:rPr>
              <w:t>in</w:t>
            </w:r>
            <w:r w:rsidR="003B40E4" w:rsidRPr="002A5A1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international </w:t>
            </w:r>
            <w:r w:rsidR="003B40E4" w:rsidRPr="002A5A16">
              <w:rPr>
                <w:rFonts w:ascii="Tahoma" w:hAnsi="Tahoma" w:cs="Tahoma"/>
                <w:sz w:val="18"/>
                <w:szCs w:val="18"/>
              </w:rPr>
              <w:t>ad</w:t>
            </w:r>
            <w:r>
              <w:rPr>
                <w:rFonts w:ascii="Tahoma" w:hAnsi="Tahoma" w:cs="Tahoma"/>
                <w:sz w:val="18"/>
                <w:szCs w:val="18"/>
              </w:rPr>
              <w:t>vertising agency network</w:t>
            </w:r>
            <w:r w:rsidR="002A5A16">
              <w:rPr>
                <w:rFonts w:ascii="Tahoma" w:hAnsi="Tahoma" w:cs="Tahoma"/>
                <w:sz w:val="18"/>
                <w:szCs w:val="18"/>
              </w:rPr>
              <w:t>,</w:t>
            </w:r>
            <w:r w:rsidR="003B40E4" w:rsidRPr="002A5A16">
              <w:rPr>
                <w:rFonts w:ascii="Tahoma" w:hAnsi="Tahoma" w:cs="Tahoma"/>
                <w:sz w:val="18"/>
                <w:szCs w:val="18"/>
              </w:rPr>
              <w:t xml:space="preserve"> in</w:t>
            </w:r>
            <w:r w:rsidR="002A5A16">
              <w:rPr>
                <w:rFonts w:ascii="Tahoma" w:hAnsi="Tahoma" w:cs="Tahoma"/>
                <w:sz w:val="18"/>
                <w:szCs w:val="18"/>
              </w:rPr>
              <w:t>cluding G.C.C</w:t>
            </w:r>
            <w:r w:rsidR="003B40E4" w:rsidRPr="002A5A1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A5A16">
              <w:rPr>
                <w:rFonts w:ascii="Tahoma" w:hAnsi="Tahoma" w:cs="Tahoma"/>
                <w:sz w:val="18"/>
                <w:szCs w:val="18"/>
              </w:rPr>
              <w:t>region</w:t>
            </w:r>
          </w:p>
          <w:p w:rsidR="00A670FC" w:rsidRDefault="00A670FC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Understanding of latest social media space marketing / online practices &amp; technologies</w:t>
            </w:r>
          </w:p>
          <w:p w:rsidR="00575CA2" w:rsidRDefault="002A7C15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Senior m</w:t>
            </w:r>
            <w:r w:rsidR="00575CA2">
              <w:rPr>
                <w:rFonts w:ascii="Tahoma" w:hAnsi="Tahoma" w:cs="Tahoma"/>
                <w:sz w:val="18"/>
                <w:szCs w:val="18"/>
              </w:rPr>
              <w:t>anagement experience / team cultivation is a must</w:t>
            </w:r>
          </w:p>
          <w:p w:rsidR="003B40E4" w:rsidRPr="00A55455" w:rsidRDefault="00CC2911" w:rsidP="00A55455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Start-up / profit centre </w:t>
            </w:r>
            <w:r w:rsidR="002A7C15">
              <w:rPr>
                <w:rFonts w:ascii="Tahoma" w:hAnsi="Tahoma" w:cs="Tahoma"/>
                <w:sz w:val="18"/>
                <w:szCs w:val="18"/>
              </w:rPr>
              <w:t>leadership and direction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a must</w:t>
            </w:r>
          </w:p>
          <w:p w:rsidR="003B40E4" w:rsidRPr="002A5A16" w:rsidRDefault="003B40E4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2A5A16">
              <w:rPr>
                <w:rFonts w:ascii="Tahoma" w:hAnsi="Tahoma" w:cs="Tahoma"/>
                <w:sz w:val="18"/>
                <w:szCs w:val="18"/>
              </w:rPr>
              <w:t xml:space="preserve">Excellent networking contacts </w:t>
            </w:r>
            <w:r w:rsidR="002A5A16">
              <w:rPr>
                <w:rFonts w:ascii="Tahoma" w:hAnsi="Tahoma" w:cs="Tahoma"/>
                <w:sz w:val="18"/>
                <w:szCs w:val="18"/>
              </w:rPr>
              <w:t>in communications industry (worldwide)</w:t>
            </w:r>
          </w:p>
          <w:p w:rsidR="003B40E4" w:rsidRPr="002A5A16" w:rsidRDefault="002A5A16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Excellent</w:t>
            </w:r>
            <w:r w:rsidR="003B40E4" w:rsidRPr="002A5A16">
              <w:rPr>
                <w:rFonts w:ascii="Tahoma" w:hAnsi="Tahoma" w:cs="Tahoma"/>
                <w:sz w:val="18"/>
                <w:szCs w:val="18"/>
              </w:rPr>
              <w:t xml:space="preserve"> presentation skills</w:t>
            </w:r>
            <w:r>
              <w:rPr>
                <w:rFonts w:ascii="Tahoma" w:hAnsi="Tahoma" w:cs="Tahoma"/>
                <w:sz w:val="18"/>
                <w:szCs w:val="18"/>
              </w:rPr>
              <w:t xml:space="preserve"> (to create and to present)</w:t>
            </w:r>
          </w:p>
          <w:p w:rsidR="003B40E4" w:rsidRDefault="003B40E4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 w:rsidRPr="002A5A16">
              <w:rPr>
                <w:rFonts w:ascii="Tahoma" w:hAnsi="Tahoma" w:cs="Tahoma"/>
                <w:sz w:val="18"/>
                <w:szCs w:val="18"/>
              </w:rPr>
              <w:t>Smart looking and hardworking team attitude</w:t>
            </w:r>
            <w:r w:rsidR="002A5A16">
              <w:rPr>
                <w:rFonts w:ascii="Tahoma" w:hAnsi="Tahoma" w:cs="Tahoma"/>
                <w:sz w:val="18"/>
                <w:szCs w:val="18"/>
              </w:rPr>
              <w:t xml:space="preserve"> and multi-tasking ability is a must</w:t>
            </w:r>
          </w:p>
          <w:p w:rsidR="00FF2AB2" w:rsidRDefault="002A5A16" w:rsidP="002A5A16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Understanding of bank muscat (or other large-scale financial institution)</w:t>
            </w:r>
            <w:r w:rsidR="002A7C15">
              <w:rPr>
                <w:rFonts w:ascii="Tahoma" w:hAnsi="Tahoma" w:cs="Tahoma"/>
                <w:sz w:val="18"/>
                <w:szCs w:val="18"/>
              </w:rPr>
              <w:t xml:space="preserve"> is useful</w:t>
            </w:r>
          </w:p>
          <w:p w:rsidR="002A7C15" w:rsidRPr="002A5A16" w:rsidRDefault="002A7C15" w:rsidP="002A7C15">
            <w:pPr>
              <w:pStyle w:val="Bullet1"/>
              <w:numPr>
                <w:ilvl w:val="0"/>
                <w:numId w:val="8"/>
              </w:numPr>
              <w:ind w:left="252" w:hanging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Candidate must be a natural leader, naturally articulate, and bring vast hands-on experience to this role</w:t>
            </w:r>
          </w:p>
        </w:tc>
      </w:tr>
    </w:tbl>
    <w:p w:rsidR="00F216C0" w:rsidRPr="004351E8" w:rsidRDefault="00F216C0" w:rsidP="002C32D4">
      <w:pPr>
        <w:spacing w:after="60"/>
        <w:rPr>
          <w:rFonts w:ascii="Tahoma" w:hAnsi="Tahoma" w:cs="Tahoma"/>
          <w:sz w:val="18"/>
          <w:szCs w:val="18"/>
        </w:rPr>
      </w:pPr>
    </w:p>
    <w:sectPr w:rsidR="00F216C0" w:rsidRPr="004351E8" w:rsidSect="0012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45A9"/>
    <w:multiLevelType w:val="hybridMultilevel"/>
    <w:tmpl w:val="B630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3038"/>
    <w:multiLevelType w:val="hybridMultilevel"/>
    <w:tmpl w:val="17D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02A"/>
    <w:multiLevelType w:val="singleLevel"/>
    <w:tmpl w:val="5A865DF6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">
    <w:nsid w:val="41424798"/>
    <w:multiLevelType w:val="hybridMultilevel"/>
    <w:tmpl w:val="C19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83A29"/>
    <w:multiLevelType w:val="hybridMultilevel"/>
    <w:tmpl w:val="CDF49348"/>
    <w:lvl w:ilvl="0" w:tplc="037625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1DA3AC6">
      <w:start w:val="1"/>
      <w:numFmt w:val="lowerRoman"/>
      <w:lvlText w:val="%2."/>
      <w:lvlJc w:val="left"/>
      <w:pPr>
        <w:ind w:left="1440" w:hanging="360"/>
      </w:pPr>
      <w:rPr>
        <w:rFonts w:ascii="Calibri" w:hAnsi="Calibri" w:cs="Calibri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96396"/>
    <w:multiLevelType w:val="hybridMultilevel"/>
    <w:tmpl w:val="74E4E696"/>
    <w:lvl w:ilvl="0" w:tplc="9484F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12B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A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82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74B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6A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890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23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61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B73BAA"/>
    <w:multiLevelType w:val="hybridMultilevel"/>
    <w:tmpl w:val="43128B8A"/>
    <w:lvl w:ilvl="0" w:tplc="917E26E6">
      <w:start w:val="1"/>
      <w:numFmt w:val="bullet"/>
      <w:pStyle w:val="JDbulletlis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865C0D"/>
    <w:multiLevelType w:val="hybridMultilevel"/>
    <w:tmpl w:val="31F4D840"/>
    <w:lvl w:ilvl="0" w:tplc="AAB20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6B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4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0B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26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8B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87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27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6377"/>
    <w:rsid w:val="00110287"/>
    <w:rsid w:val="00125F7A"/>
    <w:rsid w:val="00142AFF"/>
    <w:rsid w:val="001804C0"/>
    <w:rsid w:val="001854B5"/>
    <w:rsid w:val="00221B7E"/>
    <w:rsid w:val="00252D44"/>
    <w:rsid w:val="002A5A16"/>
    <w:rsid w:val="002A7C15"/>
    <w:rsid w:val="002C32D4"/>
    <w:rsid w:val="00394DFA"/>
    <w:rsid w:val="003B40E4"/>
    <w:rsid w:val="003B53E2"/>
    <w:rsid w:val="003D3695"/>
    <w:rsid w:val="004059CD"/>
    <w:rsid w:val="004351E8"/>
    <w:rsid w:val="00474847"/>
    <w:rsid w:val="004C4F5A"/>
    <w:rsid w:val="004C54E6"/>
    <w:rsid w:val="00557802"/>
    <w:rsid w:val="00575CA2"/>
    <w:rsid w:val="006128C0"/>
    <w:rsid w:val="006540D3"/>
    <w:rsid w:val="0067658B"/>
    <w:rsid w:val="00693ED4"/>
    <w:rsid w:val="007D6702"/>
    <w:rsid w:val="007F0AB6"/>
    <w:rsid w:val="007F1942"/>
    <w:rsid w:val="00860545"/>
    <w:rsid w:val="00965D4A"/>
    <w:rsid w:val="00986AFA"/>
    <w:rsid w:val="009D79D3"/>
    <w:rsid w:val="00A02533"/>
    <w:rsid w:val="00A31B83"/>
    <w:rsid w:val="00A55455"/>
    <w:rsid w:val="00A670FC"/>
    <w:rsid w:val="00AB4F44"/>
    <w:rsid w:val="00B30212"/>
    <w:rsid w:val="00B708EE"/>
    <w:rsid w:val="00B70BF9"/>
    <w:rsid w:val="00B878EB"/>
    <w:rsid w:val="00B90249"/>
    <w:rsid w:val="00B930A2"/>
    <w:rsid w:val="00BB5A6D"/>
    <w:rsid w:val="00CC2911"/>
    <w:rsid w:val="00D355F3"/>
    <w:rsid w:val="00EF7AE7"/>
    <w:rsid w:val="00F216C0"/>
    <w:rsid w:val="00FD6377"/>
    <w:rsid w:val="00FF2AB2"/>
    <w:rsid w:val="00FF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Dbulletlist">
    <w:name w:val="JD bullet list"/>
    <w:basedOn w:val="Normal"/>
    <w:qFormat/>
    <w:rsid w:val="00FD6377"/>
    <w:pPr>
      <w:numPr>
        <w:numId w:val="1"/>
      </w:numPr>
      <w:spacing w:after="0" w:line="240" w:lineRule="auto"/>
    </w:pPr>
    <w:rPr>
      <w:sz w:val="18"/>
    </w:rPr>
  </w:style>
  <w:style w:type="paragraph" w:styleId="ListParagraph">
    <w:name w:val="List Paragraph"/>
    <w:basedOn w:val="Normal"/>
    <w:uiPriority w:val="34"/>
    <w:qFormat/>
    <w:rsid w:val="006128C0"/>
    <w:pPr>
      <w:ind w:left="720"/>
      <w:contextualSpacing/>
    </w:pPr>
  </w:style>
  <w:style w:type="paragraph" w:customStyle="1" w:styleId="Bullet1">
    <w:name w:val="Bullet 1"/>
    <w:basedOn w:val="Normal"/>
    <w:rsid w:val="00AB4F44"/>
    <w:pPr>
      <w:numPr>
        <w:numId w:val="4"/>
      </w:numPr>
      <w:tabs>
        <w:tab w:val="left" w:pos="-1890"/>
      </w:tabs>
      <w:spacing w:before="60" w:after="60" w:line="260" w:lineRule="exact"/>
      <w:jc w:val="both"/>
    </w:pPr>
    <w:rPr>
      <w:rFonts w:ascii="Times" w:eastAsia="Times New Roman" w:hAnsi="Times"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Dbulletlist">
    <w:name w:val="JD bullet list"/>
    <w:basedOn w:val="Normal"/>
    <w:qFormat/>
    <w:rsid w:val="00FD6377"/>
    <w:pPr>
      <w:numPr>
        <w:numId w:val="1"/>
      </w:numPr>
      <w:spacing w:after="0" w:line="240" w:lineRule="auto"/>
    </w:pPr>
    <w:rPr>
      <w:sz w:val="18"/>
    </w:rPr>
  </w:style>
  <w:style w:type="paragraph" w:styleId="ListParagraph">
    <w:name w:val="List Paragraph"/>
    <w:basedOn w:val="Normal"/>
    <w:uiPriority w:val="34"/>
    <w:qFormat/>
    <w:rsid w:val="006128C0"/>
    <w:pPr>
      <w:ind w:left="720"/>
      <w:contextualSpacing/>
    </w:pPr>
  </w:style>
  <w:style w:type="paragraph" w:customStyle="1" w:styleId="Bullet1">
    <w:name w:val="Bullet 1"/>
    <w:basedOn w:val="Normal"/>
    <w:rsid w:val="00AB4F44"/>
    <w:pPr>
      <w:numPr>
        <w:numId w:val="4"/>
      </w:numPr>
      <w:tabs>
        <w:tab w:val="left" w:pos="-1890"/>
      </w:tabs>
      <w:spacing w:before="60" w:after="60" w:line="260" w:lineRule="exact"/>
      <w:jc w:val="both"/>
    </w:pPr>
    <w:rPr>
      <w:rFonts w:ascii="Times" w:eastAsia="Times New Roman" w:hAnsi="Times"/>
      <w:color w:val="00000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Boyce (Corporate Communication)</dc:creator>
  <cp:lastModifiedBy>daada</cp:lastModifiedBy>
  <cp:revision>22</cp:revision>
  <dcterms:created xsi:type="dcterms:W3CDTF">2012-11-22T08:13:00Z</dcterms:created>
  <dcterms:modified xsi:type="dcterms:W3CDTF">2012-12-26T07:40:00Z</dcterms:modified>
</cp:coreProperties>
</file>