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22" w:rsidRDefault="00D22F22" w:rsidP="00D01F27">
      <w:pPr>
        <w:ind w:firstLine="288"/>
      </w:pPr>
    </w:p>
    <w:p w:rsidR="00D01F27" w:rsidRDefault="00D01F27" w:rsidP="00D01F27">
      <w:pPr>
        <w:rPr>
          <w:rFonts w:asciiTheme="minorHAnsi" w:eastAsiaTheme="minorHAnsi" w:hAnsiTheme="minorHAnsi" w:cstheme="minorBidi"/>
          <w:color w:val="1F497D" w:themeColor="dark2"/>
        </w:rPr>
      </w:pPr>
    </w:p>
    <w:tbl>
      <w:tblPr>
        <w:tblStyle w:val="TableGrid"/>
        <w:tblW w:w="13248" w:type="dxa"/>
        <w:tblLook w:val="04A0"/>
      </w:tblPr>
      <w:tblGrid>
        <w:gridCol w:w="558"/>
        <w:gridCol w:w="4500"/>
        <w:gridCol w:w="2970"/>
        <w:gridCol w:w="2610"/>
        <w:gridCol w:w="2610"/>
      </w:tblGrid>
      <w:tr w:rsidR="00560634" w:rsidTr="00E271B8">
        <w:trPr>
          <w:tblHeader/>
        </w:trPr>
        <w:tc>
          <w:tcPr>
            <w:tcW w:w="558" w:type="dxa"/>
            <w:tcBorders>
              <w:top w:val="nil"/>
              <w:left w:val="nil"/>
              <w:right w:val="nil"/>
            </w:tcBorders>
          </w:tcPr>
          <w:p w:rsidR="00560634" w:rsidRDefault="00560634" w:rsidP="00E271B8"/>
        </w:tc>
        <w:tc>
          <w:tcPr>
            <w:tcW w:w="4500" w:type="dxa"/>
            <w:tcBorders>
              <w:top w:val="nil"/>
              <w:left w:val="nil"/>
            </w:tcBorders>
          </w:tcPr>
          <w:p w:rsidR="00560634" w:rsidRDefault="00560634" w:rsidP="00E271B8"/>
        </w:tc>
        <w:tc>
          <w:tcPr>
            <w:tcW w:w="8190" w:type="dxa"/>
            <w:gridSpan w:val="3"/>
            <w:shd w:val="clear" w:color="auto" w:fill="B8CCE4" w:themeFill="accent1" w:themeFillTint="66"/>
          </w:tcPr>
          <w:p w:rsidR="00560634" w:rsidRDefault="00560634" w:rsidP="00E271B8">
            <w:pPr>
              <w:jc w:val="center"/>
            </w:pPr>
            <w:r>
              <w:t>Comments</w:t>
            </w:r>
          </w:p>
        </w:tc>
      </w:tr>
      <w:tr w:rsidR="00560634" w:rsidTr="00E271B8">
        <w:trPr>
          <w:tblHeader/>
        </w:trPr>
        <w:tc>
          <w:tcPr>
            <w:tcW w:w="558" w:type="dxa"/>
            <w:shd w:val="clear" w:color="auto" w:fill="B8CCE4" w:themeFill="accent1" w:themeFillTint="66"/>
          </w:tcPr>
          <w:p w:rsidR="00560634" w:rsidRDefault="00560634" w:rsidP="00E271B8">
            <w:r>
              <w:t>No.</w:t>
            </w:r>
          </w:p>
        </w:tc>
        <w:tc>
          <w:tcPr>
            <w:tcW w:w="4500" w:type="dxa"/>
            <w:shd w:val="clear" w:color="auto" w:fill="B8CCE4" w:themeFill="accent1" w:themeFillTint="66"/>
          </w:tcPr>
          <w:p w:rsidR="00560634" w:rsidRDefault="00560634" w:rsidP="00E271B8">
            <w:r>
              <w:t>Assumptions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:rsidR="00560634" w:rsidRDefault="00560634" w:rsidP="00E271B8">
            <w:pPr>
              <w:jc w:val="center"/>
            </w:pPr>
            <w:r>
              <w:t>SDG&amp;E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:rsidR="00560634" w:rsidRDefault="00560634" w:rsidP="00E271B8">
            <w:pPr>
              <w:jc w:val="center"/>
            </w:pPr>
            <w:r>
              <w:t>SCE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:rsidR="00560634" w:rsidRDefault="00560634" w:rsidP="00E271B8">
            <w:pPr>
              <w:jc w:val="center"/>
            </w:pPr>
            <w:r>
              <w:t>PG&amp;E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560634" w:rsidP="00E271B8">
            <w:r>
              <w:t>A1</w:t>
            </w:r>
          </w:p>
        </w:tc>
        <w:tc>
          <w:tcPr>
            <w:tcW w:w="4500" w:type="dxa"/>
          </w:tcPr>
          <w:p w:rsidR="00560634" w:rsidRDefault="00560634" w:rsidP="00560634">
            <w:r>
              <w:t>Customer will access the export feature from within the utility customer portal</w:t>
            </w:r>
          </w:p>
        </w:tc>
        <w:tc>
          <w:tcPr>
            <w:tcW w:w="2970" w:type="dxa"/>
          </w:tcPr>
          <w:p w:rsidR="00560634" w:rsidRDefault="00560634" w:rsidP="00E271B8">
            <w:r>
              <w:t>Author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560634" w:rsidP="00E271B8">
            <w:r>
              <w:t>A2</w:t>
            </w:r>
          </w:p>
        </w:tc>
        <w:tc>
          <w:tcPr>
            <w:tcW w:w="4500" w:type="dxa"/>
          </w:tcPr>
          <w:p w:rsidR="00560634" w:rsidRDefault="00560634" w:rsidP="00560634">
            <w:r>
              <w:t xml:space="preserve">Customer will be need registered to </w:t>
            </w:r>
            <w:r w:rsidR="008A4A5C">
              <w:t>u</w:t>
            </w:r>
            <w:r>
              <w:t>tility portal</w:t>
            </w:r>
            <w:r w:rsidR="008A4A5C">
              <w:t xml:space="preserve"> with an active account</w:t>
            </w:r>
          </w:p>
        </w:tc>
        <w:tc>
          <w:tcPr>
            <w:tcW w:w="2970" w:type="dxa"/>
          </w:tcPr>
          <w:p w:rsidR="00560634" w:rsidRDefault="00560634" w:rsidP="00E271B8"/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560634" w:rsidP="00E271B8">
            <w:r>
              <w:t>A3</w:t>
            </w:r>
          </w:p>
        </w:tc>
        <w:tc>
          <w:tcPr>
            <w:tcW w:w="4500" w:type="dxa"/>
          </w:tcPr>
          <w:p w:rsidR="00560634" w:rsidRDefault="00560634" w:rsidP="00560634">
            <w:r>
              <w:t xml:space="preserve">Utility customer portal will provide customer </w:t>
            </w:r>
            <w:r>
              <w:rPr>
                <w:rFonts w:cs="Calibri"/>
                <w:color w:val="003300"/>
              </w:rPr>
              <w:t xml:space="preserve">authentication and authorization </w:t>
            </w:r>
          </w:p>
        </w:tc>
        <w:tc>
          <w:tcPr>
            <w:tcW w:w="2970" w:type="dxa"/>
          </w:tcPr>
          <w:p w:rsidR="00560634" w:rsidRDefault="00560634" w:rsidP="00E271B8">
            <w:r>
              <w:t>Author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560634" w:rsidP="00E271B8">
            <w:r>
              <w:t>A4</w:t>
            </w:r>
          </w:p>
        </w:tc>
        <w:tc>
          <w:tcPr>
            <w:tcW w:w="4500" w:type="dxa"/>
          </w:tcPr>
          <w:p w:rsidR="00560634" w:rsidRDefault="00560634" w:rsidP="00E271B8">
            <w:r>
              <w:t>Customer will need to be logged into utility customer portal at time of export</w:t>
            </w:r>
          </w:p>
        </w:tc>
        <w:tc>
          <w:tcPr>
            <w:tcW w:w="2970" w:type="dxa"/>
          </w:tcPr>
          <w:p w:rsidR="00560634" w:rsidRDefault="00560634" w:rsidP="00E271B8">
            <w:r>
              <w:t>Author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560634" w:rsidP="00E271B8">
            <w:r>
              <w:t>A5</w:t>
            </w:r>
          </w:p>
        </w:tc>
        <w:tc>
          <w:tcPr>
            <w:tcW w:w="4500" w:type="dxa"/>
          </w:tcPr>
          <w:p w:rsidR="00560634" w:rsidRDefault="00560634" w:rsidP="00560634">
            <w:r>
              <w:t xml:space="preserve">Customer </w:t>
            </w:r>
            <w:r w:rsidRPr="00B34EC3">
              <w:rPr>
                <w:b/>
              </w:rPr>
              <w:t>shall</w:t>
            </w:r>
            <w:r>
              <w:t xml:space="preserve"> have </w:t>
            </w:r>
            <w:r w:rsidRPr="00B34EC3">
              <w:rPr>
                <w:b/>
                <w:i/>
              </w:rPr>
              <w:t>access rights</w:t>
            </w:r>
            <w:r>
              <w:t xml:space="preserve"> to usage used or collected</w:t>
            </w:r>
          </w:p>
          <w:p w:rsidR="00560634" w:rsidRDefault="00560634" w:rsidP="00560634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Customer must either occupy the premise or be the premise owner (</w:t>
            </w:r>
            <w:r w:rsidRPr="00B34EC3">
              <w:rPr>
                <w:b/>
              </w:rPr>
              <w:t>and</w:t>
            </w:r>
            <w:r>
              <w:t>)</w:t>
            </w:r>
          </w:p>
          <w:p w:rsidR="00560634" w:rsidRDefault="00560634" w:rsidP="00560634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Customer account is active for the premise (</w:t>
            </w:r>
            <w:r w:rsidRPr="00B34EC3">
              <w:rPr>
                <w:b/>
              </w:rPr>
              <w:t>and</w:t>
            </w:r>
            <w:r>
              <w:t>)</w:t>
            </w:r>
          </w:p>
          <w:p w:rsidR="00560634" w:rsidRDefault="00560634" w:rsidP="00560634">
            <w:r>
              <w:t>The customer is an account holder</w:t>
            </w:r>
          </w:p>
        </w:tc>
        <w:tc>
          <w:tcPr>
            <w:tcW w:w="2970" w:type="dxa"/>
          </w:tcPr>
          <w:p w:rsidR="00560634" w:rsidRDefault="00560634" w:rsidP="00E271B8">
            <w:r>
              <w:t>Author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  <w:tc>
          <w:tcPr>
            <w:tcW w:w="2610" w:type="dxa"/>
          </w:tcPr>
          <w:p w:rsidR="00560634" w:rsidRDefault="007F67E5" w:rsidP="00E271B8">
            <w:r>
              <w:t>yes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2A3335" w:rsidP="00E271B8">
            <w:r>
              <w:t>A6</w:t>
            </w:r>
          </w:p>
        </w:tc>
        <w:tc>
          <w:tcPr>
            <w:tcW w:w="4500" w:type="dxa"/>
          </w:tcPr>
          <w:p w:rsidR="00560634" w:rsidRDefault="002A3335" w:rsidP="00E271B8">
            <w:r>
              <w:t>System will be behind one day from providing data.  Example if user is trying to download data for Friday they will have to wait till Saturday</w:t>
            </w:r>
          </w:p>
        </w:tc>
        <w:tc>
          <w:tcPr>
            <w:tcW w:w="2970" w:type="dxa"/>
          </w:tcPr>
          <w:p w:rsidR="00560634" w:rsidRDefault="002A3335" w:rsidP="00E271B8">
            <w:r>
              <w:t>Author</w:t>
            </w:r>
          </w:p>
        </w:tc>
        <w:tc>
          <w:tcPr>
            <w:tcW w:w="2610" w:type="dxa"/>
          </w:tcPr>
          <w:p w:rsidR="00560634" w:rsidRDefault="002A3335" w:rsidP="00707309">
            <w:r>
              <w:t xml:space="preserve">Yes </w:t>
            </w:r>
          </w:p>
        </w:tc>
        <w:tc>
          <w:tcPr>
            <w:tcW w:w="2610" w:type="dxa"/>
          </w:tcPr>
          <w:p w:rsidR="00560634" w:rsidRDefault="002A3335" w:rsidP="00707309">
            <w:r>
              <w:t xml:space="preserve">Yes 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2A3335" w:rsidP="00E271B8">
            <w:r>
              <w:t>A7</w:t>
            </w:r>
          </w:p>
        </w:tc>
        <w:tc>
          <w:tcPr>
            <w:tcW w:w="4500" w:type="dxa"/>
          </w:tcPr>
          <w:p w:rsidR="00560634" w:rsidRDefault="002A3335" w:rsidP="00E271B8">
            <w:r>
              <w:t xml:space="preserve">Implementation of how to send big files is still being reviewed </w:t>
            </w:r>
          </w:p>
        </w:tc>
        <w:tc>
          <w:tcPr>
            <w:tcW w:w="2970" w:type="dxa"/>
          </w:tcPr>
          <w:p w:rsidR="00560634" w:rsidRDefault="002A3335" w:rsidP="00E271B8">
            <w:r>
              <w:t>Author</w:t>
            </w:r>
          </w:p>
        </w:tc>
        <w:tc>
          <w:tcPr>
            <w:tcW w:w="2610" w:type="dxa"/>
          </w:tcPr>
          <w:p w:rsidR="00560634" w:rsidRDefault="002A3335" w:rsidP="00E271B8">
            <w:r>
              <w:t>Need to go back and ask the vendor for the how to implement this solution</w:t>
            </w:r>
          </w:p>
        </w:tc>
        <w:tc>
          <w:tcPr>
            <w:tcW w:w="2610" w:type="dxa"/>
          </w:tcPr>
          <w:p w:rsidR="00560634" w:rsidRDefault="002A3335" w:rsidP="00E271B8">
            <w:r>
              <w:t>Need to go back and ask the vendor for the how to implement this solution</w:t>
            </w:r>
          </w:p>
        </w:tc>
      </w:tr>
      <w:tr w:rsidR="00560634" w:rsidTr="00E271B8">
        <w:trPr>
          <w:cantSplit/>
        </w:trPr>
        <w:tc>
          <w:tcPr>
            <w:tcW w:w="558" w:type="dxa"/>
          </w:tcPr>
          <w:p w:rsidR="00560634" w:rsidRDefault="002F1FD6" w:rsidP="00E271B8">
            <w:r>
              <w:t xml:space="preserve">A8 </w:t>
            </w:r>
          </w:p>
        </w:tc>
        <w:tc>
          <w:tcPr>
            <w:tcW w:w="4500" w:type="dxa"/>
          </w:tcPr>
          <w:p w:rsidR="00560634" w:rsidRDefault="002F1FD6" w:rsidP="00E271B8">
            <w:r>
              <w:t>These requirements are for interval customers who have smart meters</w:t>
            </w:r>
          </w:p>
        </w:tc>
        <w:tc>
          <w:tcPr>
            <w:tcW w:w="2970" w:type="dxa"/>
          </w:tcPr>
          <w:p w:rsidR="00560634" w:rsidRDefault="002F1FD6" w:rsidP="00E271B8">
            <w:r>
              <w:t>Author</w:t>
            </w:r>
          </w:p>
        </w:tc>
        <w:tc>
          <w:tcPr>
            <w:tcW w:w="2610" w:type="dxa"/>
          </w:tcPr>
          <w:p w:rsidR="00560634" w:rsidRDefault="002F1FD6" w:rsidP="00166EEE">
            <w:r>
              <w:t xml:space="preserve">Yes </w:t>
            </w:r>
          </w:p>
        </w:tc>
        <w:tc>
          <w:tcPr>
            <w:tcW w:w="2610" w:type="dxa"/>
          </w:tcPr>
          <w:p w:rsidR="00560634" w:rsidRDefault="002F1FD6" w:rsidP="00166EEE">
            <w:r>
              <w:t xml:space="preserve">Yes </w:t>
            </w:r>
          </w:p>
        </w:tc>
      </w:tr>
    </w:tbl>
    <w:p w:rsidR="00560634" w:rsidRDefault="00560634" w:rsidP="00D01F27">
      <w:pPr>
        <w:rPr>
          <w:rFonts w:asciiTheme="minorHAnsi" w:eastAsiaTheme="minorHAnsi" w:hAnsiTheme="minorHAnsi" w:cstheme="minorBidi"/>
          <w:color w:val="1F497D" w:themeColor="dark2"/>
        </w:rPr>
      </w:pPr>
    </w:p>
    <w:p w:rsidR="00483B64" w:rsidRDefault="00483B64">
      <w:pPr>
        <w:spacing w:after="200" w:line="276" w:lineRule="auto"/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br w:type="page"/>
      </w:r>
    </w:p>
    <w:p w:rsidR="00483B64" w:rsidRDefault="00483B64" w:rsidP="00D01F27">
      <w:pPr>
        <w:rPr>
          <w:rFonts w:asciiTheme="minorHAnsi" w:eastAsiaTheme="minorHAnsi" w:hAnsiTheme="minorHAnsi" w:cstheme="minorBidi"/>
          <w:color w:val="1F497D" w:themeColor="dark2"/>
        </w:rPr>
      </w:pPr>
    </w:p>
    <w:p w:rsidR="00483B64" w:rsidRDefault="00483B64" w:rsidP="00D01F27">
      <w:pPr>
        <w:rPr>
          <w:rFonts w:asciiTheme="minorHAnsi" w:eastAsiaTheme="minorHAnsi" w:hAnsiTheme="minorHAnsi" w:cstheme="minorBidi"/>
          <w:color w:val="1F497D" w:themeColor="dark2"/>
        </w:rPr>
      </w:pPr>
    </w:p>
    <w:tbl>
      <w:tblPr>
        <w:tblStyle w:val="TableGrid"/>
        <w:tblW w:w="13248" w:type="dxa"/>
        <w:tblLook w:val="04A0"/>
      </w:tblPr>
      <w:tblGrid>
        <w:gridCol w:w="554"/>
        <w:gridCol w:w="5154"/>
        <w:gridCol w:w="2734"/>
        <w:gridCol w:w="2403"/>
        <w:gridCol w:w="2403"/>
      </w:tblGrid>
      <w:tr w:rsidR="004C3E6A" w:rsidTr="004C3E6A">
        <w:trPr>
          <w:tblHeader/>
        </w:trPr>
        <w:tc>
          <w:tcPr>
            <w:tcW w:w="558" w:type="dxa"/>
            <w:tcBorders>
              <w:top w:val="nil"/>
              <w:left w:val="nil"/>
              <w:right w:val="nil"/>
            </w:tcBorders>
          </w:tcPr>
          <w:p w:rsidR="004C3E6A" w:rsidRDefault="004C3E6A"/>
        </w:tc>
        <w:tc>
          <w:tcPr>
            <w:tcW w:w="4500" w:type="dxa"/>
            <w:tcBorders>
              <w:top w:val="nil"/>
              <w:left w:val="nil"/>
            </w:tcBorders>
          </w:tcPr>
          <w:p w:rsidR="004C3E6A" w:rsidRDefault="004C3E6A"/>
        </w:tc>
        <w:tc>
          <w:tcPr>
            <w:tcW w:w="8190" w:type="dxa"/>
            <w:gridSpan w:val="3"/>
            <w:shd w:val="clear" w:color="auto" w:fill="B8CCE4" w:themeFill="accent1" w:themeFillTint="66"/>
          </w:tcPr>
          <w:p w:rsidR="004C3E6A" w:rsidRDefault="004C3E6A" w:rsidP="004C3E6A">
            <w:pPr>
              <w:jc w:val="center"/>
            </w:pPr>
            <w:r>
              <w:t>Comments</w:t>
            </w:r>
          </w:p>
        </w:tc>
      </w:tr>
      <w:tr w:rsidR="004C3E6A" w:rsidTr="00E50868">
        <w:trPr>
          <w:tblHeader/>
        </w:trPr>
        <w:tc>
          <w:tcPr>
            <w:tcW w:w="558" w:type="dxa"/>
            <w:shd w:val="clear" w:color="auto" w:fill="B8CCE4" w:themeFill="accent1" w:themeFillTint="66"/>
          </w:tcPr>
          <w:p w:rsidR="004C3E6A" w:rsidRDefault="00D22F22">
            <w:r>
              <w:t>No.</w:t>
            </w:r>
          </w:p>
        </w:tc>
        <w:tc>
          <w:tcPr>
            <w:tcW w:w="4500" w:type="dxa"/>
            <w:shd w:val="clear" w:color="auto" w:fill="B8CCE4" w:themeFill="accent1" w:themeFillTint="66"/>
          </w:tcPr>
          <w:p w:rsidR="004C3E6A" w:rsidRDefault="004C3E6A">
            <w:r>
              <w:t>Functional Requirement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:rsidR="004C3E6A" w:rsidRDefault="004C3E6A" w:rsidP="004C3E6A">
            <w:pPr>
              <w:jc w:val="center"/>
            </w:pPr>
            <w:r>
              <w:t>SDG&amp;E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:rsidR="004C3E6A" w:rsidRDefault="004C3E6A" w:rsidP="004C3E6A">
            <w:pPr>
              <w:jc w:val="center"/>
            </w:pPr>
            <w:r>
              <w:t>SCE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:rsidR="004C3E6A" w:rsidRDefault="004C3E6A" w:rsidP="004C3E6A">
            <w:pPr>
              <w:jc w:val="center"/>
            </w:pPr>
            <w:r>
              <w:t>PG&amp;E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1</w:t>
            </w:r>
          </w:p>
        </w:tc>
        <w:tc>
          <w:tcPr>
            <w:tcW w:w="4500" w:type="dxa"/>
          </w:tcPr>
          <w:p w:rsidR="004C3E6A" w:rsidRPr="00D22F22" w:rsidRDefault="004C3E6A" w:rsidP="00B34EC3">
            <w:pPr>
              <w:rPr>
                <w:sz w:val="24"/>
              </w:rPr>
            </w:pPr>
            <w:r>
              <w:t xml:space="preserve">Customers </w:t>
            </w:r>
            <w:r w:rsidRPr="00382BA6">
              <w:rPr>
                <w:b/>
              </w:rPr>
              <w:t xml:space="preserve">shall </w:t>
            </w:r>
            <w:r>
              <w:t xml:space="preserve">have the ability to download </w:t>
            </w:r>
            <w:r w:rsidR="004E5B0E">
              <w:t xml:space="preserve">usage </w:t>
            </w:r>
            <w:r>
              <w:t xml:space="preserve">data using a </w:t>
            </w:r>
            <w:r w:rsidRPr="00D22F22">
              <w:rPr>
                <w:color w:val="33CC33"/>
                <w:sz w:val="24"/>
              </w:rPr>
              <w:t>Big Green Button</w:t>
            </w:r>
          </w:p>
          <w:p w:rsidR="004C3E6A" w:rsidRDefault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2</w:t>
            </w:r>
          </w:p>
        </w:tc>
        <w:tc>
          <w:tcPr>
            <w:tcW w:w="4500" w:type="dxa"/>
          </w:tcPr>
          <w:p w:rsidR="004C3E6A" w:rsidRDefault="001C6816" w:rsidP="00B34EC3">
            <w:r>
              <w:t xml:space="preserve"> Customer will access the information based on current login to view their consumption data</w:t>
            </w:r>
          </w:p>
          <w:p w:rsidR="004C3E6A" w:rsidRDefault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1C6816" w:rsidRPr="00712533" w:rsidRDefault="001C6816">
            <w:pPr>
              <w:rPr>
                <w:i/>
              </w:rPr>
            </w:pPr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3</w:t>
            </w:r>
          </w:p>
        </w:tc>
        <w:tc>
          <w:tcPr>
            <w:tcW w:w="4500" w:type="dxa"/>
          </w:tcPr>
          <w:p w:rsidR="004C3E6A" w:rsidRDefault="004C3E6A" w:rsidP="00B34EC3">
            <w:r>
              <w:t xml:space="preserve">Customer </w:t>
            </w:r>
            <w:r w:rsidRPr="00B34EC3">
              <w:rPr>
                <w:b/>
              </w:rPr>
              <w:t>should not</w:t>
            </w:r>
            <w:r>
              <w:t xml:space="preserve"> be authenticate or authorized as part of the download process </w:t>
            </w:r>
          </w:p>
          <w:p w:rsidR="00A6124D" w:rsidRDefault="00A6124D" w:rsidP="00B34EC3">
            <w:r>
              <w:t>Note: Customer will be authenticated as part of current login to view their data.</w:t>
            </w:r>
          </w:p>
          <w:p w:rsidR="004C3E6A" w:rsidRDefault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A6124D">
            <w:r>
              <w:t xml:space="preserve"> Agree</w:t>
            </w:r>
          </w:p>
        </w:tc>
        <w:tc>
          <w:tcPr>
            <w:tcW w:w="2610" w:type="dxa"/>
          </w:tcPr>
          <w:p w:rsidR="004C3E6A" w:rsidRDefault="00A6124D">
            <w:r>
              <w:t xml:space="preserve"> 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4</w:t>
            </w:r>
          </w:p>
        </w:tc>
        <w:tc>
          <w:tcPr>
            <w:tcW w:w="4500" w:type="dxa"/>
          </w:tcPr>
          <w:p w:rsidR="004C3E6A" w:rsidRDefault="004C3E6A" w:rsidP="00B34EC3">
            <w:r>
              <w:t xml:space="preserve">Customer </w:t>
            </w:r>
            <w:r w:rsidRPr="00B34EC3">
              <w:rPr>
                <w:b/>
              </w:rPr>
              <w:t>shall</w:t>
            </w:r>
            <w:r>
              <w:t xml:space="preserve"> have </w:t>
            </w:r>
            <w:r w:rsidRPr="00B34EC3">
              <w:rPr>
                <w:b/>
                <w:i/>
              </w:rPr>
              <w:t>access rights</w:t>
            </w:r>
            <w:r>
              <w:t xml:space="preserve"> to </w:t>
            </w:r>
            <w:r w:rsidR="00712533">
              <w:t>usage</w:t>
            </w:r>
            <w:r>
              <w:t xml:space="preserve"> used or collected</w:t>
            </w:r>
          </w:p>
          <w:p w:rsidR="004C3E6A" w:rsidRDefault="004C3E6A" w:rsidP="00B34EC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Cust</w:t>
            </w:r>
            <w:r w:rsidR="00382BA6">
              <w:t>omer must either occupy</w:t>
            </w:r>
            <w:r>
              <w:t xml:space="preserve"> the premise or be the premise owner (</w:t>
            </w:r>
            <w:r w:rsidRPr="00B34EC3">
              <w:rPr>
                <w:b/>
              </w:rPr>
              <w:t>and</w:t>
            </w:r>
            <w:r>
              <w:t>)</w:t>
            </w:r>
          </w:p>
          <w:p w:rsidR="004C3E6A" w:rsidRDefault="004C3E6A" w:rsidP="00B34EC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Customer account is active for the premise (</w:t>
            </w:r>
            <w:r w:rsidRPr="00B34EC3">
              <w:rPr>
                <w:b/>
              </w:rPr>
              <w:t>and</w:t>
            </w:r>
            <w:r>
              <w:t>)</w:t>
            </w:r>
          </w:p>
          <w:p w:rsidR="004C3E6A" w:rsidRDefault="004C3E6A" w:rsidP="00B34EC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The customer is an account holder</w:t>
            </w:r>
          </w:p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642557" w:rsidRDefault="00642557" w:rsidP="00382BA6">
            <w:r>
              <w:t>Agree</w:t>
            </w:r>
          </w:p>
          <w:p w:rsidR="00712533" w:rsidRDefault="00712533" w:rsidP="00382BA6"/>
        </w:tc>
        <w:tc>
          <w:tcPr>
            <w:tcW w:w="2610" w:type="dxa"/>
          </w:tcPr>
          <w:p w:rsidR="004C3E6A" w:rsidRDefault="007D6153" w:rsidP="007D6153">
            <w: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5</w:t>
            </w:r>
          </w:p>
        </w:tc>
        <w:tc>
          <w:tcPr>
            <w:tcW w:w="4500" w:type="dxa"/>
          </w:tcPr>
          <w:p w:rsidR="004C3E6A" w:rsidRDefault="004C3E6A" w:rsidP="00B34EC3">
            <w:r>
              <w:t xml:space="preserve">Customer </w:t>
            </w:r>
            <w:r w:rsidR="0026637B">
              <w:rPr>
                <w:b/>
              </w:rPr>
              <w:t>shall</w:t>
            </w:r>
            <w:r>
              <w:t xml:space="preserve"> be able to access </w:t>
            </w:r>
            <w:r w:rsidR="00A6124D">
              <w:t>UP TO</w:t>
            </w:r>
            <w:r>
              <w:t xml:space="preserve"> 13 months of data, limited by </w:t>
            </w:r>
            <w:r w:rsidR="00712533">
              <w:t>usage</w:t>
            </w:r>
            <w:r>
              <w:t xml:space="preserve"> data that has been collected by the MDMS and/or </w:t>
            </w:r>
            <w:r w:rsidRPr="00B34EC3">
              <w:rPr>
                <w:b/>
                <w:i/>
              </w:rPr>
              <w:t>access rights</w:t>
            </w:r>
            <w:r>
              <w:t xml:space="preserve"> </w:t>
            </w:r>
          </w:p>
          <w:p w:rsidR="0026637B" w:rsidRDefault="0026637B" w:rsidP="00B34EC3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Pr="00EB1C55" w:rsidRDefault="00A6124D" w:rsidP="00166EEE">
            <w:pPr>
              <w:rPr>
                <w:strike/>
              </w:rPr>
            </w:pPr>
            <w:r>
              <w:t>Agre</w:t>
            </w:r>
            <w:r w:rsidR="00166EEE">
              <w:rPr>
                <w:strike/>
              </w:rPr>
              <w:t>e</w:t>
            </w:r>
          </w:p>
        </w:tc>
        <w:tc>
          <w:tcPr>
            <w:tcW w:w="2610" w:type="dxa"/>
          </w:tcPr>
          <w:p w:rsidR="00A6124D" w:rsidRDefault="00A6124D" w:rsidP="00660FA5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>Agree</w:t>
            </w:r>
          </w:p>
          <w:p w:rsidR="004C3E6A" w:rsidRDefault="004C3E6A" w:rsidP="00166EEE">
            <w:pPr>
              <w:pStyle w:val="CommentText"/>
            </w:pP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t>6</w:t>
            </w:r>
          </w:p>
        </w:tc>
        <w:tc>
          <w:tcPr>
            <w:tcW w:w="4500" w:type="dxa"/>
          </w:tcPr>
          <w:p w:rsidR="004C3E6A" w:rsidRDefault="004C3E6A" w:rsidP="00B34EC3">
            <w:r>
              <w:t xml:space="preserve">Customers </w:t>
            </w:r>
            <w:r w:rsidR="00016B82" w:rsidRPr="00016B82">
              <w:rPr>
                <w:b/>
              </w:rPr>
              <w:t xml:space="preserve">should </w:t>
            </w:r>
            <w:r>
              <w:t>be able to input “</w:t>
            </w:r>
            <w:r w:rsidRPr="00B34EC3">
              <w:rPr>
                <w:i/>
              </w:rPr>
              <w:t>from</w:t>
            </w:r>
            <w:r>
              <w:t>” and “</w:t>
            </w:r>
            <w:r w:rsidRPr="00B34EC3">
              <w:rPr>
                <w:i/>
              </w:rPr>
              <w:t>to</w:t>
            </w:r>
            <w:r>
              <w:t>” dates</w:t>
            </w:r>
          </w:p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660FA5" w:rsidRPr="00660FA5" w:rsidRDefault="0026637B" w:rsidP="00660FA5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>Agree</w:t>
            </w:r>
          </w:p>
          <w:p w:rsidR="004C3E6A" w:rsidRPr="00660FA5" w:rsidRDefault="004C3E6A"/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Pr="00A6124D" w:rsidRDefault="00C05A57" w:rsidP="00B34EC3">
            <w:r w:rsidRPr="00C05A57">
              <w:t>7</w:t>
            </w:r>
          </w:p>
        </w:tc>
        <w:tc>
          <w:tcPr>
            <w:tcW w:w="4500" w:type="dxa"/>
          </w:tcPr>
          <w:p w:rsidR="004C3E6A" w:rsidRPr="00A6124D" w:rsidRDefault="00C05A57" w:rsidP="00B34EC3">
            <w:r w:rsidRPr="00C05A57">
              <w:t xml:space="preserve">Customer </w:t>
            </w:r>
            <w:r w:rsidR="00B148E8">
              <w:rPr>
                <w:b/>
              </w:rPr>
              <w:t>should</w:t>
            </w:r>
            <w:r w:rsidR="00B148E8" w:rsidRPr="00C05A57">
              <w:t xml:space="preserve"> </w:t>
            </w:r>
            <w:r w:rsidRPr="00C05A57">
              <w:t xml:space="preserve">be able to save export file to any location they can access </w:t>
            </w:r>
          </w:p>
          <w:p w:rsidR="004C3E6A" w:rsidRPr="00A6124D" w:rsidRDefault="004C3E6A" w:rsidP="00B34EC3"/>
        </w:tc>
        <w:tc>
          <w:tcPr>
            <w:tcW w:w="2970" w:type="dxa"/>
          </w:tcPr>
          <w:p w:rsidR="004C3E6A" w:rsidRPr="00A6124D" w:rsidRDefault="00C05A57">
            <w:r w:rsidRPr="00C05A57">
              <w:t>Author</w:t>
            </w:r>
          </w:p>
        </w:tc>
        <w:tc>
          <w:tcPr>
            <w:tcW w:w="2610" w:type="dxa"/>
          </w:tcPr>
          <w:p w:rsidR="004C3E6A" w:rsidRPr="00A6124D" w:rsidRDefault="00C05A57">
            <w:r w:rsidRPr="00C05A57">
              <w:t>Agree</w:t>
            </w:r>
          </w:p>
        </w:tc>
        <w:tc>
          <w:tcPr>
            <w:tcW w:w="2610" w:type="dxa"/>
          </w:tcPr>
          <w:p w:rsidR="004C3E6A" w:rsidRPr="00A6124D" w:rsidRDefault="003C54DC" w:rsidP="00166EEE">
            <w:pPr>
              <w:pStyle w:val="CommentText"/>
            </w:pPr>
            <w:r>
              <w:rPr>
                <w:sz w:val="22"/>
              </w:rP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B34EC3">
            <w:r>
              <w:lastRenderedPageBreak/>
              <w:t>8</w:t>
            </w:r>
          </w:p>
        </w:tc>
        <w:tc>
          <w:tcPr>
            <w:tcW w:w="4500" w:type="dxa"/>
          </w:tcPr>
          <w:p w:rsidR="004C3E6A" w:rsidRDefault="004C3E6A" w:rsidP="00B34EC3">
            <w:r>
              <w:t xml:space="preserve">Export </w:t>
            </w:r>
            <w:r w:rsidR="00712533">
              <w:t>usage</w:t>
            </w:r>
            <w:r>
              <w:t xml:space="preserve"> data </w:t>
            </w:r>
            <w:r w:rsidRPr="00B34EC3">
              <w:rPr>
                <w:b/>
              </w:rPr>
              <w:t>shall</w:t>
            </w:r>
            <w:r>
              <w:t xml:space="preserve"> be based on customers meter intervals</w:t>
            </w:r>
          </w:p>
          <w:p w:rsidR="004C3E6A" w:rsidRDefault="004C3E6A" w:rsidP="00735AB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Generally 15 or 60 minutes</w:t>
            </w:r>
          </w:p>
          <w:p w:rsidR="004C3E6A" w:rsidRDefault="004C3E6A" w:rsidP="00B34EC3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4C3E6A" w:rsidRPr="00660FA5" w:rsidRDefault="007D6153" w:rsidP="00660FA5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735ABC">
            <w:r>
              <w:t>9</w:t>
            </w:r>
          </w:p>
        </w:tc>
        <w:tc>
          <w:tcPr>
            <w:tcW w:w="4500" w:type="dxa"/>
          </w:tcPr>
          <w:p w:rsidR="004C3E6A" w:rsidRDefault="004C3E6A" w:rsidP="00735ABC">
            <w:r>
              <w:t xml:space="preserve">Export </w:t>
            </w:r>
            <w:r w:rsidRPr="00B34EC3">
              <w:rPr>
                <w:b/>
              </w:rPr>
              <w:t>shall</w:t>
            </w:r>
            <w:r>
              <w:t xml:space="preserve"> group </w:t>
            </w:r>
            <w:r w:rsidR="00712533">
              <w:t>usage</w:t>
            </w:r>
            <w:r>
              <w:t xml:space="preserve"> data by date, month and year </w:t>
            </w:r>
          </w:p>
          <w:p w:rsidR="004C3E6A" w:rsidRDefault="004C3E6A" w:rsidP="00735AB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E.g. starting at 00 to 24 hours for each day in the month, from day 1 to end of month and then by year </w:t>
            </w:r>
          </w:p>
          <w:p w:rsidR="006C0CA4" w:rsidRDefault="006C0CA4" w:rsidP="00735AB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Data was demarked on a daily basis </w:t>
            </w:r>
          </w:p>
          <w:p w:rsidR="004C3E6A" w:rsidRDefault="004C3E6A" w:rsidP="00B34EC3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660FA5" w:rsidRPr="00660FA5" w:rsidRDefault="006C0CA4" w:rsidP="00660FA5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>Agree</w:t>
            </w:r>
          </w:p>
          <w:p w:rsidR="004C3E6A" w:rsidRDefault="004C3E6A"/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735ABC">
            <w:r>
              <w:t>10</w:t>
            </w:r>
          </w:p>
        </w:tc>
        <w:tc>
          <w:tcPr>
            <w:tcW w:w="4500" w:type="dxa"/>
          </w:tcPr>
          <w:p w:rsidR="004C3E6A" w:rsidRDefault="004C3E6A" w:rsidP="00735ABC">
            <w:r>
              <w:t xml:space="preserve">Export </w:t>
            </w:r>
            <w:r w:rsidRPr="00B34EC3">
              <w:rPr>
                <w:b/>
              </w:rPr>
              <w:t>should not</w:t>
            </w:r>
            <w:r>
              <w:t xml:space="preserve"> summarize </w:t>
            </w:r>
            <w:r w:rsidR="00712533">
              <w:t>usage</w:t>
            </w:r>
            <w:r>
              <w:t xml:space="preserve"> data</w:t>
            </w:r>
          </w:p>
          <w:p w:rsidR="004C3E6A" w:rsidRDefault="004C3E6A" w:rsidP="00735ABC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Pr="00314939" w:rsidRDefault="00C05A57" w:rsidP="00735ABC">
            <w:r w:rsidRPr="00C05A57">
              <w:t>11</w:t>
            </w:r>
          </w:p>
        </w:tc>
        <w:tc>
          <w:tcPr>
            <w:tcW w:w="4500" w:type="dxa"/>
          </w:tcPr>
          <w:p w:rsidR="004C3E6A" w:rsidRPr="00314939" w:rsidRDefault="00C05A57" w:rsidP="00735ABC">
            <w:r w:rsidRPr="00C05A57">
              <w:t xml:space="preserve">Export </w:t>
            </w:r>
            <w:r w:rsidRPr="00C05A57">
              <w:rPr>
                <w:b/>
              </w:rPr>
              <w:t>shall</w:t>
            </w:r>
            <w:r w:rsidRPr="00C05A57">
              <w:t xml:space="preserve"> provide total usage by commodity type</w:t>
            </w:r>
          </w:p>
          <w:p w:rsidR="004C3E6A" w:rsidRPr="00314939" w:rsidRDefault="004C3E6A" w:rsidP="00735ABC"/>
        </w:tc>
        <w:tc>
          <w:tcPr>
            <w:tcW w:w="2970" w:type="dxa"/>
          </w:tcPr>
          <w:p w:rsidR="004C3E6A" w:rsidRPr="00314939" w:rsidRDefault="00C05A57">
            <w:r w:rsidRPr="00C05A57">
              <w:t>Author</w:t>
            </w:r>
          </w:p>
        </w:tc>
        <w:tc>
          <w:tcPr>
            <w:tcW w:w="2610" w:type="dxa"/>
          </w:tcPr>
          <w:p w:rsidR="004C3E6A" w:rsidRPr="00314939" w:rsidRDefault="00314939" w:rsidP="00166EEE">
            <w:r>
              <w:t>Agree</w:t>
            </w:r>
          </w:p>
        </w:tc>
        <w:tc>
          <w:tcPr>
            <w:tcW w:w="2610" w:type="dxa"/>
          </w:tcPr>
          <w:p w:rsidR="00314939" w:rsidRDefault="00314939" w:rsidP="00660FA5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>Agree</w:t>
            </w:r>
          </w:p>
          <w:p w:rsidR="00660FA5" w:rsidRPr="00314939" w:rsidRDefault="00660FA5" w:rsidP="00660FA5">
            <w:pPr>
              <w:pStyle w:val="CommentText"/>
              <w:rPr>
                <w:sz w:val="22"/>
              </w:rPr>
            </w:pPr>
          </w:p>
          <w:p w:rsidR="004C3E6A" w:rsidRPr="00314939" w:rsidRDefault="004C3E6A"/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735ABC">
            <w:r>
              <w:t>12</w:t>
            </w:r>
          </w:p>
        </w:tc>
        <w:tc>
          <w:tcPr>
            <w:tcW w:w="4500" w:type="dxa"/>
          </w:tcPr>
          <w:p w:rsidR="004C3E6A" w:rsidRDefault="004C3E6A" w:rsidP="00735ABC">
            <w:r>
              <w:t xml:space="preserve">Export </w:t>
            </w:r>
            <w:r w:rsidRPr="00B34EC3">
              <w:rPr>
                <w:b/>
              </w:rPr>
              <w:t>shall</w:t>
            </w:r>
            <w:r>
              <w:t xml:space="preserve"> provide premise address </w:t>
            </w:r>
          </w:p>
          <w:p w:rsidR="004C3E6A" w:rsidRDefault="004C3E6A" w:rsidP="00735ABC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382BA6"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4C3E6A" w:rsidP="00735ABC">
            <w:r>
              <w:t>13</w:t>
            </w:r>
          </w:p>
        </w:tc>
        <w:tc>
          <w:tcPr>
            <w:tcW w:w="4500" w:type="dxa"/>
          </w:tcPr>
          <w:p w:rsidR="004C3E6A" w:rsidRDefault="004C3E6A" w:rsidP="00735ABC">
            <w:r>
              <w:t xml:space="preserve">Export </w:t>
            </w:r>
            <w:r w:rsidRPr="00B34EC3">
              <w:rPr>
                <w:b/>
              </w:rPr>
              <w:t>shall</w:t>
            </w:r>
            <w:r>
              <w:t xml:space="preserve"> include all </w:t>
            </w:r>
            <w:r w:rsidR="00712533">
              <w:t xml:space="preserve">usage </w:t>
            </w:r>
            <w:r>
              <w:t xml:space="preserve">data available, including actual </w:t>
            </w:r>
            <w:r w:rsidR="00AC7787">
              <w:t>or</w:t>
            </w:r>
            <w:r>
              <w:t xml:space="preserve"> estimates data</w:t>
            </w:r>
            <w:r w:rsidR="00AC7787">
              <w:t xml:space="preserve"> (whichever available)</w:t>
            </w:r>
          </w:p>
          <w:p w:rsidR="004C3E6A" w:rsidRDefault="004C3E6A" w:rsidP="00735ABC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E271B8" w:rsidRDefault="00E271B8" w:rsidP="00382BA6">
            <w:r>
              <w:t>Agree</w:t>
            </w:r>
          </w:p>
          <w:p w:rsidR="004C3E6A" w:rsidRDefault="004C3E6A" w:rsidP="00E271B8"/>
        </w:tc>
        <w:tc>
          <w:tcPr>
            <w:tcW w:w="2610" w:type="dxa"/>
          </w:tcPr>
          <w:p w:rsidR="00E271B8" w:rsidRDefault="00E271B8">
            <w:r>
              <w:t>Agree</w:t>
            </w:r>
          </w:p>
          <w:p w:rsidR="004C3E6A" w:rsidRDefault="004C3E6A"/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382BA6" w:rsidP="004C3E6A">
            <w:r>
              <w:t>14</w:t>
            </w:r>
          </w:p>
        </w:tc>
        <w:tc>
          <w:tcPr>
            <w:tcW w:w="4500" w:type="dxa"/>
          </w:tcPr>
          <w:p w:rsidR="004C3E6A" w:rsidRDefault="004C3E6A" w:rsidP="004C3E6A">
            <w:r>
              <w:t xml:space="preserve">Export </w:t>
            </w:r>
            <w:r w:rsidRPr="00B34EC3">
              <w:rPr>
                <w:b/>
              </w:rPr>
              <w:t xml:space="preserve">should </w:t>
            </w:r>
            <w:r>
              <w:t xml:space="preserve">denote estimated </w:t>
            </w:r>
            <w:r w:rsidR="00712533">
              <w:t>usage</w:t>
            </w:r>
            <w:r>
              <w:t xml:space="preserve"> data</w:t>
            </w:r>
          </w:p>
          <w:p w:rsidR="00A27974" w:rsidRDefault="00A27974" w:rsidP="004C3E6A"/>
          <w:p w:rsidR="005D7BC8" w:rsidRDefault="005D7BC8" w:rsidP="004C3E6A">
            <w:proofErr w:type="gramStart"/>
            <w:r>
              <w:t>Note: As discussed need a summary level statement</w:t>
            </w:r>
            <w:r w:rsidR="00A27974">
              <w:t>.</w:t>
            </w:r>
            <w:proofErr w:type="gramEnd"/>
            <w:r w:rsidR="00A27974">
              <w:t xml:space="preserve"> Stating there are actual and estimated data in the data download. </w:t>
            </w:r>
            <w:r>
              <w:t xml:space="preserve"> </w:t>
            </w:r>
            <w:proofErr w:type="gramStart"/>
            <w:r w:rsidR="00A27974">
              <w:t>Don’t</w:t>
            </w:r>
            <w:proofErr w:type="gramEnd"/>
            <w:r w:rsidR="00A27974">
              <w:t xml:space="preserve"> need to denote at each interval level. </w:t>
            </w:r>
            <w:r>
              <w:t xml:space="preserve"> </w:t>
            </w:r>
          </w:p>
          <w:p w:rsidR="004C3E6A" w:rsidRDefault="004C3E6A" w:rsidP="00735ABC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115EE6" w:rsidRDefault="00A27974">
            <w:r>
              <w:t>Agree</w:t>
            </w:r>
          </w:p>
        </w:tc>
        <w:tc>
          <w:tcPr>
            <w:tcW w:w="2610" w:type="dxa"/>
          </w:tcPr>
          <w:p w:rsidR="005D7BC8" w:rsidRDefault="005D7BC8">
            <w:r>
              <w:t>Agree</w:t>
            </w:r>
          </w:p>
          <w:p w:rsidR="004C3E6A" w:rsidRDefault="004C3E6A"/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382BA6" w:rsidP="004C3E6A">
            <w:r>
              <w:lastRenderedPageBreak/>
              <w:t>15</w:t>
            </w:r>
          </w:p>
        </w:tc>
        <w:tc>
          <w:tcPr>
            <w:tcW w:w="4500" w:type="dxa"/>
          </w:tcPr>
          <w:p w:rsidR="004C3E6A" w:rsidRDefault="004C3E6A" w:rsidP="004C3E6A">
            <w:r>
              <w:t xml:space="preserve">Export </w:t>
            </w:r>
            <w:r w:rsidRPr="00B34EC3">
              <w:rPr>
                <w:b/>
              </w:rPr>
              <w:t>should</w:t>
            </w:r>
            <w:r>
              <w:t xml:space="preserve"> provide billing and/or pr</w:t>
            </w:r>
            <w:r w:rsidR="00E527EE">
              <w:t>icing data available</w:t>
            </w:r>
          </w:p>
          <w:p w:rsidR="005D7BC8" w:rsidRDefault="005D7BC8" w:rsidP="004C3E6A">
            <w:r>
              <w:t>Note: Current version for this year this will not be provided</w:t>
            </w:r>
          </w:p>
          <w:p w:rsidR="004C3E6A" w:rsidRDefault="004C3E6A" w:rsidP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5D7BC8" w:rsidRDefault="005D7BC8">
            <w:r>
              <w:t>Agree based on the note</w:t>
            </w:r>
          </w:p>
          <w:p w:rsidR="005D7BC8" w:rsidRDefault="005D7BC8"/>
          <w:p w:rsidR="004C3E6A" w:rsidRDefault="004C3E6A">
            <w:bookmarkStart w:id="0" w:name="_GoBack"/>
            <w:bookmarkEnd w:id="0"/>
          </w:p>
        </w:tc>
        <w:tc>
          <w:tcPr>
            <w:tcW w:w="2610" w:type="dxa"/>
          </w:tcPr>
          <w:p w:rsidR="005D7BC8" w:rsidRDefault="005D7BC8" w:rsidP="005D7BC8">
            <w:r>
              <w:t>Agree based on the note</w:t>
            </w:r>
          </w:p>
          <w:p w:rsidR="005D7BC8" w:rsidRDefault="005D7BC8" w:rsidP="00660FA5">
            <w:pPr>
              <w:pStyle w:val="CommentText"/>
              <w:rPr>
                <w:sz w:val="22"/>
              </w:rPr>
            </w:pPr>
          </w:p>
          <w:p w:rsidR="004C3E6A" w:rsidRPr="00660FA5" w:rsidRDefault="004C3E6A" w:rsidP="00A27974">
            <w:pPr>
              <w:pStyle w:val="CommentText"/>
            </w:pPr>
          </w:p>
        </w:tc>
      </w:tr>
      <w:tr w:rsidR="004C3E6A" w:rsidTr="00E50868">
        <w:trPr>
          <w:cantSplit/>
        </w:trPr>
        <w:tc>
          <w:tcPr>
            <w:tcW w:w="558" w:type="dxa"/>
          </w:tcPr>
          <w:p w:rsidR="004C3E6A" w:rsidRDefault="00382BA6" w:rsidP="004C3E6A">
            <w:r>
              <w:t>16</w:t>
            </w:r>
          </w:p>
        </w:tc>
        <w:tc>
          <w:tcPr>
            <w:tcW w:w="4500" w:type="dxa"/>
          </w:tcPr>
          <w:p w:rsidR="004C3E6A" w:rsidRDefault="004C3E6A" w:rsidP="004C3E6A">
            <w:r>
              <w:t xml:space="preserve">Export </w:t>
            </w:r>
            <w:r w:rsidRPr="00B34EC3">
              <w:rPr>
                <w:b/>
              </w:rPr>
              <w:t>should not</w:t>
            </w:r>
            <w:r>
              <w:t xml:space="preserve"> provide </w:t>
            </w:r>
          </w:p>
          <w:p w:rsidR="004C3E6A" w:rsidRDefault="004C3E6A" w:rsidP="004C3E6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Customers non public information </w:t>
            </w:r>
          </w:p>
          <w:p w:rsidR="004C3E6A" w:rsidRDefault="004C3E6A" w:rsidP="004C3E6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Meter events, alarms, register reads or </w:t>
            </w:r>
            <w:r w:rsidRPr="009E1057">
              <w:rPr>
                <w:b/>
              </w:rPr>
              <w:t>non electric commodities</w:t>
            </w:r>
          </w:p>
          <w:p w:rsidR="004C3E6A" w:rsidRDefault="004C3E6A" w:rsidP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DF3DA3"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4C3E6A" w:rsidTr="009E1F1E">
        <w:trPr>
          <w:cantSplit/>
          <w:trHeight w:val="545"/>
        </w:trPr>
        <w:tc>
          <w:tcPr>
            <w:tcW w:w="558" w:type="dxa"/>
          </w:tcPr>
          <w:p w:rsidR="004C3E6A" w:rsidRDefault="00DF3DA3" w:rsidP="004C3E6A">
            <w:r>
              <w:t>17</w:t>
            </w:r>
          </w:p>
        </w:tc>
        <w:tc>
          <w:tcPr>
            <w:tcW w:w="4500" w:type="dxa"/>
          </w:tcPr>
          <w:p w:rsidR="004C3E6A" w:rsidRDefault="004C3E6A" w:rsidP="004C3E6A">
            <w:r>
              <w:t xml:space="preserve">Export </w:t>
            </w:r>
            <w:r w:rsidRPr="00B34EC3">
              <w:rPr>
                <w:b/>
              </w:rPr>
              <w:t>should not</w:t>
            </w:r>
            <w:r w:rsidR="00382BA6">
              <w:t xml:space="preserve"> encrypt the</w:t>
            </w:r>
            <w:r>
              <w:t xml:space="preserve"> data </w:t>
            </w:r>
          </w:p>
          <w:p w:rsidR="004C3E6A" w:rsidRDefault="004C3E6A" w:rsidP="004C3E6A"/>
        </w:tc>
        <w:tc>
          <w:tcPr>
            <w:tcW w:w="2970" w:type="dxa"/>
          </w:tcPr>
          <w:p w:rsidR="004C3E6A" w:rsidRDefault="00382BA6">
            <w:r>
              <w:t>Author</w:t>
            </w:r>
          </w:p>
        </w:tc>
        <w:tc>
          <w:tcPr>
            <w:tcW w:w="2610" w:type="dxa"/>
          </w:tcPr>
          <w:p w:rsidR="004C3E6A" w:rsidRDefault="00DF3DA3">
            <w:r>
              <w:t>Agree</w:t>
            </w:r>
          </w:p>
        </w:tc>
        <w:tc>
          <w:tcPr>
            <w:tcW w:w="2610" w:type="dxa"/>
          </w:tcPr>
          <w:p w:rsidR="004C3E6A" w:rsidRDefault="007D6153">
            <w:r>
              <w:t>Agree</w:t>
            </w:r>
          </w:p>
        </w:tc>
      </w:tr>
      <w:tr w:rsidR="009E1F1E" w:rsidTr="00E50868">
        <w:trPr>
          <w:cantSplit/>
        </w:trPr>
        <w:tc>
          <w:tcPr>
            <w:tcW w:w="558" w:type="dxa"/>
          </w:tcPr>
          <w:p w:rsidR="009E1F1E" w:rsidRDefault="009E1F1E" w:rsidP="004C3E6A">
            <w:r>
              <w:t>18</w:t>
            </w:r>
          </w:p>
        </w:tc>
        <w:tc>
          <w:tcPr>
            <w:tcW w:w="4500" w:type="dxa"/>
          </w:tcPr>
          <w:p w:rsidR="009E1F1E" w:rsidRPr="009E1F1E" w:rsidRDefault="009E1F1E" w:rsidP="009E1F1E">
            <w:r>
              <w:t xml:space="preserve">Export </w:t>
            </w:r>
            <w:r>
              <w:rPr>
                <w:b/>
              </w:rPr>
              <w:t xml:space="preserve">should </w:t>
            </w:r>
            <w:r>
              <w:t xml:space="preserve">use a standard file naming process and allow customer to change the file name when saving </w:t>
            </w:r>
          </w:p>
        </w:tc>
        <w:tc>
          <w:tcPr>
            <w:tcW w:w="2970" w:type="dxa"/>
          </w:tcPr>
          <w:p w:rsidR="009E1F1E" w:rsidRDefault="009E1F1E">
            <w:r>
              <w:t>Author</w:t>
            </w:r>
          </w:p>
        </w:tc>
        <w:tc>
          <w:tcPr>
            <w:tcW w:w="2610" w:type="dxa"/>
          </w:tcPr>
          <w:p w:rsidR="009E1F1E" w:rsidRDefault="009E1F1E"/>
        </w:tc>
        <w:tc>
          <w:tcPr>
            <w:tcW w:w="2610" w:type="dxa"/>
          </w:tcPr>
          <w:p w:rsidR="009E1F1E" w:rsidRDefault="009E1F1E"/>
        </w:tc>
      </w:tr>
      <w:tr w:rsidR="009E1057" w:rsidTr="00E50868">
        <w:trPr>
          <w:cantSplit/>
        </w:trPr>
        <w:tc>
          <w:tcPr>
            <w:tcW w:w="558" w:type="dxa"/>
          </w:tcPr>
          <w:p w:rsidR="009E1057" w:rsidRDefault="009E1057" w:rsidP="004C3E6A">
            <w:r>
              <w:t>19</w:t>
            </w:r>
          </w:p>
        </w:tc>
        <w:tc>
          <w:tcPr>
            <w:tcW w:w="4500" w:type="dxa"/>
          </w:tcPr>
          <w:p w:rsidR="009E1057" w:rsidRPr="009E1057" w:rsidRDefault="009E1057" w:rsidP="009E1F1E">
            <w:r>
              <w:t xml:space="preserve">Export </w:t>
            </w:r>
            <w:r w:rsidRPr="009E1057">
              <w:rPr>
                <w:b/>
              </w:rPr>
              <w:t>shall</w:t>
            </w:r>
            <w:r>
              <w:t xml:space="preserve"> use ESPI file format </w:t>
            </w:r>
          </w:p>
        </w:tc>
        <w:tc>
          <w:tcPr>
            <w:tcW w:w="2970" w:type="dxa"/>
          </w:tcPr>
          <w:p w:rsidR="009E1057" w:rsidRDefault="009E1057" w:rsidP="00E271B8">
            <w:r>
              <w:t>Author</w:t>
            </w:r>
          </w:p>
        </w:tc>
        <w:tc>
          <w:tcPr>
            <w:tcW w:w="2610" w:type="dxa"/>
          </w:tcPr>
          <w:p w:rsidR="009E1057" w:rsidRDefault="00E527EE" w:rsidP="00E271B8">
            <w:r>
              <w:t>Agree</w:t>
            </w:r>
          </w:p>
        </w:tc>
        <w:tc>
          <w:tcPr>
            <w:tcW w:w="2610" w:type="dxa"/>
          </w:tcPr>
          <w:p w:rsidR="009E1057" w:rsidRDefault="00E527EE" w:rsidP="00E271B8">
            <w:r>
              <w:t>Agree</w:t>
            </w:r>
          </w:p>
        </w:tc>
      </w:tr>
      <w:tr w:rsidR="009E1057" w:rsidTr="00E50868">
        <w:trPr>
          <w:cantSplit/>
        </w:trPr>
        <w:tc>
          <w:tcPr>
            <w:tcW w:w="558" w:type="dxa"/>
          </w:tcPr>
          <w:p w:rsidR="009E1057" w:rsidRDefault="009E1057" w:rsidP="004C3E6A">
            <w:r>
              <w:lastRenderedPageBreak/>
              <w:t>20</w:t>
            </w:r>
          </w:p>
        </w:tc>
        <w:tc>
          <w:tcPr>
            <w:tcW w:w="4500" w:type="dxa"/>
          </w:tcPr>
          <w:p w:rsidR="009E1057" w:rsidRDefault="000C6778" w:rsidP="009E1F1E">
            <w:r>
              <w:t xml:space="preserve">Export shall have a common filename convention </w:t>
            </w:r>
          </w:p>
          <w:p w:rsidR="000C6778" w:rsidRDefault="000C6778" w:rsidP="000C6778">
            <w:pPr>
              <w:pStyle w:val="ListParagraph"/>
              <w:numPr>
                <w:ilvl w:val="1"/>
                <w:numId w:val="1"/>
              </w:numPr>
            </w:pPr>
            <w:r>
              <w:t xml:space="preserve">Note: </w:t>
            </w:r>
            <w:r w:rsidRPr="00B80A43">
              <w:t xml:space="preserve">File name format </w:t>
            </w:r>
          </w:p>
          <w:p w:rsidR="000C6778" w:rsidRDefault="000C6778" w:rsidP="000C6778">
            <w:pPr>
              <w:pStyle w:val="ListParagraph"/>
              <w:numPr>
                <w:ilvl w:val="2"/>
                <w:numId w:val="1"/>
              </w:numPr>
            </w:pPr>
            <w:r w:rsidRPr="00B80A43">
              <w:t xml:space="preserve">Company name </w:t>
            </w:r>
            <w:r w:rsidRPr="00B80A43">
              <w:rPr>
                <w:b/>
                <w:bCs/>
              </w:rPr>
              <w:t>SDGE</w:t>
            </w:r>
            <w:r w:rsidRPr="00B80A43">
              <w:t xml:space="preserve"> </w:t>
            </w:r>
          </w:p>
          <w:p w:rsidR="000C6778" w:rsidRDefault="000C6778" w:rsidP="000C6778">
            <w:pPr>
              <w:pStyle w:val="ListParagraph"/>
              <w:numPr>
                <w:ilvl w:val="2"/>
                <w:numId w:val="1"/>
              </w:numPr>
            </w:pPr>
            <w:r w:rsidRPr="00B80A43">
              <w:t xml:space="preserve">Type of service which is </w:t>
            </w:r>
            <w:r w:rsidRPr="00B80A43">
              <w:rPr>
                <w:b/>
                <w:bCs/>
              </w:rPr>
              <w:t xml:space="preserve">Electric </w:t>
            </w:r>
          </w:p>
          <w:p w:rsidR="000C6778" w:rsidRDefault="000C6778" w:rsidP="000C6778">
            <w:pPr>
              <w:pStyle w:val="ListParagraph"/>
              <w:numPr>
                <w:ilvl w:val="2"/>
                <w:numId w:val="1"/>
              </w:numPr>
            </w:pPr>
            <w:r w:rsidRPr="00B80A43">
              <w:t xml:space="preserve">Type of data </w:t>
            </w:r>
            <w:r>
              <w:rPr>
                <w:b/>
                <w:bCs/>
              </w:rPr>
              <w:t>Interval</w:t>
            </w:r>
            <w:r w:rsidRPr="00B80A43">
              <w:rPr>
                <w:b/>
                <w:bCs/>
              </w:rPr>
              <w:t xml:space="preserve"> Data</w:t>
            </w:r>
          </w:p>
          <w:p w:rsidR="000C6778" w:rsidRDefault="000C6778" w:rsidP="000C6778">
            <w:pPr>
              <w:pStyle w:val="ListParagraph"/>
              <w:numPr>
                <w:ilvl w:val="2"/>
                <w:numId w:val="1"/>
              </w:numPr>
            </w:pPr>
            <w:r w:rsidRPr="00B80A43">
              <w:t>Timeframe of the data being downloaded start time is today’s date and end time is maximum of 12 months or the amount of consumption data the consumer has</w:t>
            </w:r>
          </w:p>
          <w:p w:rsidR="000C6778" w:rsidRDefault="000C6778" w:rsidP="000C6778">
            <w:pPr>
              <w:pStyle w:val="ListParagraph"/>
              <w:numPr>
                <w:ilvl w:val="2"/>
                <w:numId w:val="1"/>
              </w:numPr>
            </w:pPr>
            <w:r w:rsidRPr="00B80A43">
              <w:t xml:space="preserve">Filename Example </w:t>
            </w:r>
            <w:r w:rsidRPr="00B80A43">
              <w:rPr>
                <w:b/>
                <w:bCs/>
              </w:rPr>
              <w:t xml:space="preserve">SDGE Electric </w:t>
            </w:r>
            <w:r>
              <w:rPr>
                <w:b/>
                <w:bCs/>
              </w:rPr>
              <w:t>Interval</w:t>
            </w:r>
            <w:r w:rsidRPr="00B80A43">
              <w:rPr>
                <w:b/>
                <w:bCs/>
              </w:rPr>
              <w:t xml:space="preserve"> data </w:t>
            </w:r>
            <w:r w:rsidRPr="00B80A43">
              <w:t>Jan 1 2011 to Oct 1 2011.</w:t>
            </w:r>
            <w:r>
              <w:t>XML</w:t>
            </w:r>
            <w:r w:rsidRPr="00B80A43">
              <w:t xml:space="preserve"> </w:t>
            </w:r>
          </w:p>
          <w:p w:rsidR="000C6778" w:rsidRDefault="000C6778" w:rsidP="009E1F1E"/>
        </w:tc>
        <w:tc>
          <w:tcPr>
            <w:tcW w:w="2970" w:type="dxa"/>
          </w:tcPr>
          <w:p w:rsidR="009E1057" w:rsidRDefault="000C6778" w:rsidP="00E271B8">
            <w:r>
              <w:t>Author</w:t>
            </w:r>
          </w:p>
        </w:tc>
        <w:tc>
          <w:tcPr>
            <w:tcW w:w="2610" w:type="dxa"/>
          </w:tcPr>
          <w:p w:rsidR="009E1057" w:rsidRDefault="000C6778" w:rsidP="00E271B8">
            <w:r>
              <w:t>Agree</w:t>
            </w:r>
          </w:p>
        </w:tc>
        <w:tc>
          <w:tcPr>
            <w:tcW w:w="2610" w:type="dxa"/>
          </w:tcPr>
          <w:p w:rsidR="009E1057" w:rsidRDefault="000C6778" w:rsidP="00E271B8">
            <w:r>
              <w:t>Agree</w:t>
            </w:r>
          </w:p>
        </w:tc>
      </w:tr>
      <w:tr w:rsidR="000C6778" w:rsidTr="00E50868">
        <w:trPr>
          <w:cantSplit/>
        </w:trPr>
        <w:tc>
          <w:tcPr>
            <w:tcW w:w="558" w:type="dxa"/>
          </w:tcPr>
          <w:p w:rsidR="000C6778" w:rsidRDefault="000C6778" w:rsidP="004C3E6A">
            <w:r>
              <w:t>21</w:t>
            </w:r>
          </w:p>
        </w:tc>
        <w:tc>
          <w:tcPr>
            <w:tcW w:w="4500" w:type="dxa"/>
          </w:tcPr>
          <w:p w:rsidR="000C6778" w:rsidRDefault="000C6778" w:rsidP="009E1F1E">
            <w:r>
              <w:t>Graphics of the green button will be 48 pixel</w:t>
            </w:r>
            <w:r w:rsidR="0027658A">
              <w:t>s</w:t>
            </w:r>
          </w:p>
          <w:p w:rsidR="0027658A" w:rsidRDefault="0027658A" w:rsidP="009E1F1E">
            <w:r>
              <w:rPr>
                <w:noProof/>
              </w:rPr>
              <w:drawing>
                <wp:inline distT="0" distB="0" distL="0" distR="0">
                  <wp:extent cx="1114425" cy="552450"/>
                  <wp:effectExtent l="19050" t="0" r="9525" b="0"/>
                  <wp:docPr id="1" name="Picture 0" descr="green-DownloadText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-DownloadText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0C6778" w:rsidRDefault="000C6778" w:rsidP="00E271B8">
            <w:r>
              <w:t>Author</w:t>
            </w:r>
          </w:p>
        </w:tc>
        <w:tc>
          <w:tcPr>
            <w:tcW w:w="2610" w:type="dxa"/>
          </w:tcPr>
          <w:p w:rsidR="000C6778" w:rsidRDefault="000C6778" w:rsidP="00E271B8">
            <w:r>
              <w:t>Agree</w:t>
            </w:r>
          </w:p>
        </w:tc>
        <w:tc>
          <w:tcPr>
            <w:tcW w:w="2610" w:type="dxa"/>
          </w:tcPr>
          <w:p w:rsidR="000C6778" w:rsidRDefault="000C6778" w:rsidP="00E271B8">
            <w:r>
              <w:t>Agree</w:t>
            </w:r>
          </w:p>
        </w:tc>
      </w:tr>
    </w:tbl>
    <w:p w:rsidR="00D35524" w:rsidRDefault="00D35524"/>
    <w:p w:rsidR="00660FA5" w:rsidRDefault="00660FA5"/>
    <w:p w:rsidR="00660FA5" w:rsidRDefault="00660FA5" w:rsidP="00660FA5"/>
    <w:p w:rsidR="00660FA5" w:rsidRDefault="00660FA5" w:rsidP="00660FA5">
      <w:pPr>
        <w:pStyle w:val="ListParagraph"/>
      </w:pPr>
    </w:p>
    <w:p w:rsidR="00660FA5" w:rsidRDefault="00660FA5" w:rsidP="00660FA5">
      <w:pPr>
        <w:pStyle w:val="ListParagraph"/>
      </w:pPr>
    </w:p>
    <w:p w:rsidR="00660FA5" w:rsidRDefault="00660FA5"/>
    <w:sectPr w:rsidR="00660FA5" w:rsidSect="004E5B0E">
      <w:headerReference w:type="default" r:id="rId10"/>
      <w:footerReference w:type="default" r:id="rId11"/>
      <w:pgSz w:w="15840" w:h="12240" w:orient="landscape"/>
      <w:pgMar w:top="1650" w:right="1440" w:bottom="1440" w:left="1440" w:header="720" w:footer="6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A64" w:rsidRDefault="007B0A64" w:rsidP="009C740C">
      <w:r>
        <w:separator/>
      </w:r>
    </w:p>
  </w:endnote>
  <w:endnote w:type="continuationSeparator" w:id="0">
    <w:p w:rsidR="007B0A64" w:rsidRDefault="007B0A64" w:rsidP="009C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2476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A43" w:rsidRDefault="00E5376F" w:rsidP="00D22F22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center" w:pos="6390"/>
            <w:tab w:val="right" w:pos="12330"/>
          </w:tabs>
        </w:pPr>
        <w:fldSimple w:instr=" FILENAME ">
          <w:r w:rsidR="00B80A43">
            <w:rPr>
              <w:noProof/>
            </w:rPr>
            <w:t>Green Button Initiative - Requirements v0.1.docx</w:t>
          </w:r>
        </w:fldSimple>
        <w:r w:rsidR="00B80A43">
          <w:tab/>
        </w:r>
        <w:fldSimple w:instr=" PAGE   \* MERGEFORMAT ">
          <w:r w:rsidR="007F1E26">
            <w:rPr>
              <w:noProof/>
            </w:rPr>
            <w:t>5</w:t>
          </w:r>
        </w:fldSimple>
        <w:r w:rsidR="00B80A43">
          <w:rPr>
            <w:noProof/>
          </w:rPr>
          <w:tab/>
          <w:t>10/26/2011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A64" w:rsidRDefault="007B0A64" w:rsidP="009C740C">
      <w:r>
        <w:separator/>
      </w:r>
    </w:p>
  </w:footnote>
  <w:footnote w:type="continuationSeparator" w:id="0">
    <w:p w:rsidR="007B0A64" w:rsidRDefault="007B0A64" w:rsidP="009C74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A43" w:rsidRDefault="00B80A43" w:rsidP="009C740C">
    <w:pPr>
      <w:pStyle w:val="Header"/>
      <w:pBdr>
        <w:bottom w:val="single" w:sz="4" w:space="1" w:color="auto"/>
      </w:pBdr>
      <w:tabs>
        <w:tab w:val="clear" w:pos="4680"/>
        <w:tab w:val="center" w:pos="6750"/>
      </w:tabs>
    </w:pPr>
    <w:r w:rsidRPr="009C740C">
      <w:rPr>
        <w:sz w:val="28"/>
      </w:rPr>
      <w:t>(Big) Green Button Initiative</w:t>
    </w:r>
    <w:r w:rsidRPr="009C740C">
      <w:rPr>
        <w:sz w:val="28"/>
      </w:rPr>
      <w:tab/>
      <w:t>Functional Requirements</w:t>
    </w:r>
    <w:r>
      <w:tab/>
    </w:r>
    <w:r>
      <w:tab/>
    </w:r>
    <w:r w:rsidR="00A27974">
      <w:rPr>
        <w:noProof/>
      </w:rPr>
      <w:drawing>
        <wp:inline distT="0" distB="0" distL="0" distR="0">
          <wp:extent cx="1504950" cy="742950"/>
          <wp:effectExtent l="19050" t="0" r="0" b="0"/>
          <wp:docPr id="2" name="Picture 1" descr="green-DownloadText6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-DownloadText6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0D0"/>
    <w:multiLevelType w:val="hybridMultilevel"/>
    <w:tmpl w:val="05C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57CAC"/>
    <w:multiLevelType w:val="hybridMultilevel"/>
    <w:tmpl w:val="B95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B7DE7"/>
    <w:multiLevelType w:val="hybridMultilevel"/>
    <w:tmpl w:val="DB1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3013E"/>
    <w:multiLevelType w:val="hybridMultilevel"/>
    <w:tmpl w:val="89AAB722"/>
    <w:lvl w:ilvl="0" w:tplc="3C448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E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43C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2ACEA">
      <w:start w:val="201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A4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8D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64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A27355"/>
    <w:multiLevelType w:val="hybridMultilevel"/>
    <w:tmpl w:val="8A3E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358CA"/>
    <w:multiLevelType w:val="hybridMultilevel"/>
    <w:tmpl w:val="1FF8C974"/>
    <w:lvl w:ilvl="0" w:tplc="1026BD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C1CB486">
      <w:start w:val="157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B8048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C0066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92C9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FE809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F06D4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7961A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62C3C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01F27"/>
    <w:rsid w:val="00001B93"/>
    <w:rsid w:val="00016B82"/>
    <w:rsid w:val="00054BA1"/>
    <w:rsid w:val="00076712"/>
    <w:rsid w:val="000774B4"/>
    <w:rsid w:val="000C6778"/>
    <w:rsid w:val="00115EE6"/>
    <w:rsid w:val="00152975"/>
    <w:rsid w:val="00166EEE"/>
    <w:rsid w:val="0017608B"/>
    <w:rsid w:val="001B4F1E"/>
    <w:rsid w:val="001C6816"/>
    <w:rsid w:val="001F6A20"/>
    <w:rsid w:val="00202CF4"/>
    <w:rsid w:val="00231828"/>
    <w:rsid w:val="00246D28"/>
    <w:rsid w:val="0026637B"/>
    <w:rsid w:val="00272079"/>
    <w:rsid w:val="0027658A"/>
    <w:rsid w:val="002A3335"/>
    <w:rsid w:val="002E478D"/>
    <w:rsid w:val="002F1FD6"/>
    <w:rsid w:val="002F5D8B"/>
    <w:rsid w:val="00300365"/>
    <w:rsid w:val="00314939"/>
    <w:rsid w:val="0033278F"/>
    <w:rsid w:val="00382BA6"/>
    <w:rsid w:val="00395FF4"/>
    <w:rsid w:val="003A02C9"/>
    <w:rsid w:val="003C54DC"/>
    <w:rsid w:val="00445FFB"/>
    <w:rsid w:val="00483B64"/>
    <w:rsid w:val="004973E9"/>
    <w:rsid w:val="004A4732"/>
    <w:rsid w:val="004C3E6A"/>
    <w:rsid w:val="004D21DB"/>
    <w:rsid w:val="004E5B0E"/>
    <w:rsid w:val="005024F1"/>
    <w:rsid w:val="00503385"/>
    <w:rsid w:val="00533522"/>
    <w:rsid w:val="00547FD7"/>
    <w:rsid w:val="00560634"/>
    <w:rsid w:val="00563934"/>
    <w:rsid w:val="005D6872"/>
    <w:rsid w:val="005D7BC8"/>
    <w:rsid w:val="005F2AD2"/>
    <w:rsid w:val="00642557"/>
    <w:rsid w:val="00651A34"/>
    <w:rsid w:val="00660FA5"/>
    <w:rsid w:val="00676435"/>
    <w:rsid w:val="00693903"/>
    <w:rsid w:val="006B159C"/>
    <w:rsid w:val="006C0CA4"/>
    <w:rsid w:val="006F36A6"/>
    <w:rsid w:val="00707309"/>
    <w:rsid w:val="00712196"/>
    <w:rsid w:val="00712533"/>
    <w:rsid w:val="00735ABC"/>
    <w:rsid w:val="007429DA"/>
    <w:rsid w:val="00747155"/>
    <w:rsid w:val="007572F1"/>
    <w:rsid w:val="007B0A64"/>
    <w:rsid w:val="007D6153"/>
    <w:rsid w:val="007F1E26"/>
    <w:rsid w:val="007F67E5"/>
    <w:rsid w:val="00806A0D"/>
    <w:rsid w:val="008A44B0"/>
    <w:rsid w:val="008A4A5C"/>
    <w:rsid w:val="008E74AA"/>
    <w:rsid w:val="00946863"/>
    <w:rsid w:val="009474F7"/>
    <w:rsid w:val="009679D4"/>
    <w:rsid w:val="009826CC"/>
    <w:rsid w:val="009C740C"/>
    <w:rsid w:val="009E1057"/>
    <w:rsid w:val="009E1F1E"/>
    <w:rsid w:val="00A02D8F"/>
    <w:rsid w:val="00A0371A"/>
    <w:rsid w:val="00A169DA"/>
    <w:rsid w:val="00A27974"/>
    <w:rsid w:val="00A53EA6"/>
    <w:rsid w:val="00A6124D"/>
    <w:rsid w:val="00A90D30"/>
    <w:rsid w:val="00AC7787"/>
    <w:rsid w:val="00AC7DC4"/>
    <w:rsid w:val="00AE3AD2"/>
    <w:rsid w:val="00B13563"/>
    <w:rsid w:val="00B148E8"/>
    <w:rsid w:val="00B34EC3"/>
    <w:rsid w:val="00B358E1"/>
    <w:rsid w:val="00B57CAF"/>
    <w:rsid w:val="00B67792"/>
    <w:rsid w:val="00B713BF"/>
    <w:rsid w:val="00B80A43"/>
    <w:rsid w:val="00B916F6"/>
    <w:rsid w:val="00BC1372"/>
    <w:rsid w:val="00BC5A5B"/>
    <w:rsid w:val="00C05A57"/>
    <w:rsid w:val="00C24C8F"/>
    <w:rsid w:val="00C30E69"/>
    <w:rsid w:val="00C5085D"/>
    <w:rsid w:val="00C64162"/>
    <w:rsid w:val="00C703F7"/>
    <w:rsid w:val="00CA738A"/>
    <w:rsid w:val="00D01F27"/>
    <w:rsid w:val="00D03179"/>
    <w:rsid w:val="00D1182A"/>
    <w:rsid w:val="00D13FE6"/>
    <w:rsid w:val="00D22F22"/>
    <w:rsid w:val="00D35524"/>
    <w:rsid w:val="00D50FCB"/>
    <w:rsid w:val="00D526F8"/>
    <w:rsid w:val="00D70640"/>
    <w:rsid w:val="00D93A2C"/>
    <w:rsid w:val="00DA3D95"/>
    <w:rsid w:val="00DD59C9"/>
    <w:rsid w:val="00DF3DA3"/>
    <w:rsid w:val="00E130C4"/>
    <w:rsid w:val="00E271B8"/>
    <w:rsid w:val="00E50868"/>
    <w:rsid w:val="00E527EE"/>
    <w:rsid w:val="00E5376F"/>
    <w:rsid w:val="00E60968"/>
    <w:rsid w:val="00E673FE"/>
    <w:rsid w:val="00EA30C7"/>
    <w:rsid w:val="00EB1C55"/>
    <w:rsid w:val="00EB7AEA"/>
    <w:rsid w:val="00EC2D85"/>
    <w:rsid w:val="00EE73B7"/>
    <w:rsid w:val="00F21B5C"/>
    <w:rsid w:val="00F35067"/>
    <w:rsid w:val="00F7101E"/>
    <w:rsid w:val="00F96114"/>
    <w:rsid w:val="00FD739E"/>
    <w:rsid w:val="00FF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6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27"/>
    <w:pPr>
      <w:ind w:left="720"/>
    </w:pPr>
  </w:style>
  <w:style w:type="table" w:styleId="TableGrid">
    <w:name w:val="Table Grid"/>
    <w:basedOn w:val="TableNormal"/>
    <w:uiPriority w:val="59"/>
    <w:rsid w:val="00B34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0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7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40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0C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0F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0FA5"/>
    <w:rPr>
      <w:rFonts w:ascii="Calibri" w:eastAsia="Times New Roman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6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27"/>
    <w:pPr>
      <w:ind w:left="720"/>
    </w:pPr>
  </w:style>
  <w:style w:type="table" w:styleId="TableGrid">
    <w:name w:val="Table Grid"/>
    <w:basedOn w:val="TableNormal"/>
    <w:uiPriority w:val="59"/>
    <w:rsid w:val="00B34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0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7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40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0C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F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FA5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4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1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0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81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94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1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40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98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8C8ED-3375-42C1-96AA-B8D0059C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button initiative</vt:lpstr>
    </vt:vector>
  </TitlesOfParts>
  <Company>Sempra Energy Utilities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button initiative</dc:title>
  <dc:subject/>
  <dc:creator>MBowne</dc:creator>
  <cp:keywords/>
  <dc:description/>
  <cp:lastModifiedBy>MBowne</cp:lastModifiedBy>
  <cp:revision>6</cp:revision>
  <cp:lastPrinted>2011-10-25T21:05:00Z</cp:lastPrinted>
  <dcterms:created xsi:type="dcterms:W3CDTF">2011-11-03T19:03:00Z</dcterms:created>
  <dcterms:modified xsi:type="dcterms:W3CDTF">2011-11-17T19:37:00Z</dcterms:modified>
</cp:coreProperties>
</file>