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1DB954"/>
          <w:sz w:val="52"/>
          <w:szCs w:val="52"/>
        </w:rPr>
        <w:t xml:space="preserve">SPOTIFY-STYLE MUSIC RECOMMENDATION SYSTEM</w:t>
      </w:r>
    </w:p>
    <w:p>
      <w:pPr>
        <w:spacing w:after="800"/>
        <w:jc w:val="center"/>
      </w:pPr>
      <w:r>
        <w:rPr>
          <w:i/>
          <w:iCs/>
          <w:color w:val="191414"/>
          <w:sz w:val="28"/>
          <w:szCs w:val="28"/>
        </w:rPr>
        <w:t xml:space="preserve">Predicting Repeat-Listen Behavior with Machine Learning</w:t>
      </w:r>
    </w:p>
    <w:p>
      <w:pPr>
        <w:spacing w:after="120"/>
        <w:jc w:val="center"/>
      </w:pPr>
      <w:r>
        <w:rPr>
          <w:b/>
          <w:bCs/>
          <w:color w:val="535353"/>
          <w:sz w:val="26"/>
          <w:szCs w:val="26"/>
        </w:rPr>
        <w:t xml:space="preserve">Internship Project Report</w:t>
      </w:r>
    </w:p>
    <w:p>
      <w:pPr>
        <w:spacing w:after="2200"/>
        <w:jc w:val="center"/>
      </w:pPr>
      <w:r>
        <w:rPr>
          <w:color w:val="535353"/>
          <w:sz w:val="22"/>
          <w:szCs w:val="22"/>
        </w:rPr>
        <w:t xml:space="preserve">End-to-End Data Science &amp; Machine Learning Pipeline</w:t>
      </w:r>
    </w:p>
    <w:p>
      <w:pPr>
        <w:jc w:val="center"/>
      </w:pPr>
      <w:r>
        <w:rPr>
          <w:color w:val="535353"/>
          <w:sz w:val="20"/>
          <w:szCs w:val="20"/>
        </w:rPr>
        <w:t xml:space="preserve">Prepared: August 2026</w:t>
      </w:r>
    </w:p>
    <w:p>
      <w:pPr>
        <w:jc w:val="center"/>
      </w:pPr>
      <w:r>
        <w:rPr>
          <w:color w:val="535353"/>
          <w:sz w:val="20"/>
          <w:szCs w:val="20"/>
        </w:rPr>
        <w:t xml:space="preserve">Tech Stack: Python · pandas · scikit-learn · matplotlib · seaborn</w:t>
      </w:r>
    </w:p>
    <w:p>
      <w:r>
        <w:br w:type="page"/>
      </w:r>
    </w:p>
    <w:p>
      <w:pPr>
        <w:sectPr>
          <w:pgSz w:w="12240" w:h="15840" w:orient="portrait"/>
          <w:pgMar w:top="1440" w:right="1440" w:bottom="1440" w:left="1440" w:header="708" w:footer="708" w:gutter="0"/>
          <w:pgNumType/>
          <w:docGrid w:linePitch="360"/>
        </w:sectPr>
      </w:pPr>
    </w:p>
    <w:p>
      <w:pPr>
        <w:pStyle w:val="Heading1"/>
        <w:spacing w:after="180" w:before="360"/>
      </w:pPr>
      <w:r>
        <w:t xml:space="preserve">Table of Contents</w:t>
      </w:r>
    </w:p>
    <w:p>
      <w:pPr>
        <w:spacing w:after="140"/>
      </w:pPr>
      <w:r>
        <w:rPr>
          <w:sz w:val="24"/>
          <w:szCs w:val="24"/>
        </w:rPr>
        <w:t xml:space="preserve">1. Executive Summary</w:t>
      </w:r>
    </w:p>
    <w:p>
      <w:pPr>
        <w:spacing w:after="140"/>
      </w:pPr>
      <w:r>
        <w:rPr>
          <w:sz w:val="24"/>
          <w:szCs w:val="24"/>
        </w:rPr>
        <w:t xml:space="preserve">2. Data Source &amp; Methodology Note</w:t>
      </w:r>
    </w:p>
    <w:p>
      <w:pPr>
        <w:spacing w:after="140"/>
      </w:pPr>
      <w:r>
        <w:rPr>
          <w:sz w:val="24"/>
          <w:szCs w:val="24"/>
        </w:rPr>
        <w:t xml:space="preserve">3. Project Architecture — Seven Tasks</w:t>
      </w:r>
    </w:p>
    <w:p>
      <w:pPr>
        <w:spacing w:after="140"/>
      </w:pPr>
      <w:r>
        <w:rPr>
          <w:sz w:val="24"/>
          <w:szCs w:val="24"/>
        </w:rPr>
        <w:t xml:space="preserve">4. Exploratory Data Analysis</w:t>
      </w:r>
    </w:p>
    <w:p>
      <w:pPr>
        <w:spacing w:after="140"/>
      </w:pPr>
      <w:r>
        <w:rPr>
          <w:sz w:val="24"/>
          <w:szCs w:val="24"/>
        </w:rPr>
        <w:t xml:space="preserve">5. Feature Engineering</w:t>
      </w:r>
    </w:p>
    <w:p>
      <w:pPr>
        <w:spacing w:after="140"/>
      </w:pPr>
      <w:r>
        <w:rPr>
          <w:sz w:val="24"/>
          <w:szCs w:val="24"/>
        </w:rPr>
        <w:t xml:space="preserve">6. Model Training &amp; Evaluation</w:t>
      </w:r>
    </w:p>
    <w:p>
      <w:pPr>
        <w:spacing w:after="140"/>
      </w:pPr>
      <w:r>
        <w:rPr>
          <w:sz w:val="24"/>
          <w:szCs w:val="24"/>
        </w:rPr>
        <w:t xml:space="preserve">7. Recommendation Engine</w:t>
      </w:r>
    </w:p>
    <w:p>
      <w:pPr>
        <w:spacing w:after="140"/>
      </w:pPr>
      <w:r>
        <w:rPr>
          <w:sz w:val="24"/>
          <w:szCs w:val="24"/>
        </w:rPr>
        <w:t xml:space="preserve">8. Limitations &amp; Future Work</w:t>
      </w:r>
    </w:p>
    <w:p>
      <w:pPr>
        <w:spacing w:after="140"/>
      </w:pPr>
      <w:r>
        <w:rPr>
          <w:sz w:val="24"/>
          <w:szCs w:val="24"/>
        </w:rPr>
        <w:t xml:space="preserve">9. Conclusion</w:t>
      </w:r>
    </w:p>
    <w:p>
      <w:pPr>
        <w:spacing w:after="140"/>
      </w:pPr>
      <w:r>
        <w:rPr>
          <w:sz w:val="24"/>
          <w:szCs w:val="24"/>
        </w:rPr>
        <w:t xml:space="preserve">Appendix A — File Manifest</w:t>
      </w:r>
    </w:p>
    <w:p>
      <w:r>
        <w:br w:type="page"/>
      </w:r>
    </w:p>
    <w:p>
      <w:pPr>
        <w:pStyle w:val="Heading1"/>
        <w:spacing w:after="180" w:before="360"/>
      </w:pPr>
      <w:r>
        <w:t xml:space="preserve">1. Executive Summary</w:t>
      </w:r>
    </w:p>
    <w:p>
      <w:pPr>
        <w:spacing w:after="160"/>
        <w:jc w:val="both"/>
      </w:pPr>
      <w:r>
        <w:t xml:space="preserve">This report documents the design, implementation, and evaluation of an end-to-end machine learning pipeline that predicts whether a user will repeatedly listen to a song within 30 days of first playing it — the core signal Spotify-style recommendation systems use to identify tracks worth actively promoting to a listener.</w:t>
      </w:r>
    </w:p>
    <w:p>
      <w:pPr>
        <w:spacing w:after="160"/>
        <w:jc w:val="both"/>
      </w:pPr>
      <w:r>
        <w:t xml:space="preserve">The project follows a complete data-science lifecycle across seven tasks: dataset construction, data cleaning, exploratory data analysis, feature engineering, model training, model evaluation, and finally a working recommendation engine that converts model predictions into ranked, personalized song lists for individual users.</w:t>
      </w:r>
    </w:p>
    <w:p>
      <w:pPr>
        <w:pStyle w:val="Heading3"/>
        <w:spacing w:after="100" w:before="200"/>
      </w:pPr>
      <w:r>
        <w:t xml:space="preserve">Key Results</w:t>
      </w:r>
    </w:p>
    <w:p>
      <w:pPr>
        <w:pStyle w:val="ListParagraph"/>
        <w:numPr>
          <w:ilvl w:val="0"/>
          <w:numId w:val="1"/>
        </w:numPr>
        <w:spacing w:after="80"/>
      </w:pPr>
      <w:r>
        <w:t xml:space="preserve">Best performing model: Logistic Regression, selected by ROC-AUC on a time-based (chronological) train/test split.</w:t>
      </w:r>
    </w:p>
    <w:p>
      <w:pPr>
        <w:pStyle w:val="ListParagraph"/>
        <w:numPr>
          <w:ilvl w:val="0"/>
          <w:numId w:val="1"/>
        </w:numPr>
        <w:spacing w:after="80"/>
      </w:pPr>
      <w:r>
        <w:t xml:space="preserve">ROC-AUC: 0.7064  |  PR-AUC: 0.0473  |  F1 (tuned threshold 0.7689): recomputed in Section 6.</w:t>
      </w:r>
    </w:p>
    <w:p>
      <w:pPr>
        <w:pStyle w:val="ListParagraph"/>
        <w:numPr>
          <w:ilvl w:val="0"/>
          <w:numId w:val="1"/>
        </w:numPr>
        <w:spacing w:after="80"/>
      </w:pPr>
      <w:r>
        <w:t xml:space="preserve">A full candidate-generation + ranking + diversity-aware recommendation engine was built on top of the trained model and validated on 10 sample users.</w:t>
      </w:r>
    </w:p>
    <w:p>
      <w:pPr>
        <w:pStyle w:val="ListParagraph"/>
        <w:numPr>
          <w:ilvl w:val="0"/>
          <w:numId w:val="1"/>
        </w:numPr>
        <w:spacing w:after="80"/>
      </w:pPr>
      <w:r>
        <w:t xml:space="preserve">An initial version of the model reached an unrealistic 0.99 ROC-AUC due to target leakage (aggregate play-count/engagement features computed across the entire history, including the repeat plays themselves). This was identified and corrected — see Section 5.2 — resulting in the honest, leakage-free performance reported above.</w:t>
      </w:r>
    </w:p>
    <w:p>
      <w:pPr>
        <w:pStyle w:val="Heading1"/>
        <w:spacing w:after="180" w:before="360"/>
      </w:pPr>
      <w:r>
        <w:t xml:space="preserve">2. Data Source &amp; Methodology Note</w:t>
      </w:r>
    </w:p>
    <w:p>
      <w:pPr>
        <w:spacing w:after="160"/>
        <w:jc w:val="both"/>
      </w:pPr>
      <w:r>
        <w:t xml:space="preserve">A note on data provenance, in the interest of full transparency: Spotify does not publicly release raw per-user listening logs (this is sensitive behavioral data protected for privacy reasons). Publicly available “Spotify datasets” (e.g. on Kaggle, or pulled via the Spotify Web API) contain only track-level audio features — danceability, energy, tempo, valence, etc. — for large catalogs of songs, not user listening behavior.</w:t>
      </w:r>
    </w:p>
    <w:p>
      <w:pPr>
        <w:spacing w:after="160"/>
        <w:jc w:val="both"/>
      </w:pPr>
      <w:r>
        <w:t xml:space="preserve">To build a genuine repeat-listen predictor, a user listening-history dataset was therefore synthetically generated using realistic, statistically-grounded behavioral simulation:</w:t>
      </w:r>
    </w:p>
    <w:p>
      <w:pPr>
        <w:pStyle w:val="ListParagraph"/>
        <w:numPr>
          <w:ilvl w:val="0"/>
          <w:numId w:val="1"/>
        </w:numPr>
        <w:spacing w:after="80"/>
      </w:pPr>
      <w:r>
        <w:t xml:space="preserve">Song catalog audio features were sampled from distributions matching publicly documented Spotify audio-feature statistics (e.g. danceability ≈ N(0.55, 0.17), energy ≈ N(0.63, 0.20), tempo ≈ N(120, 28) BPM).</w:t>
      </w:r>
    </w:p>
    <w:p>
      <w:pPr>
        <w:pStyle w:val="ListParagraph"/>
        <w:numPr>
          <w:ilvl w:val="0"/>
          <w:numId w:val="1"/>
        </w:numPr>
        <w:spacing w:after="80"/>
      </w:pPr>
      <w:r>
        <w:t xml:space="preserve">Song popularity follows a power-law (Pareto) distribution — a small number of hit songs receive a disproportionate share of plays, matching real streaming platform behavior.</w:t>
      </w:r>
    </w:p>
    <w:p>
      <w:pPr>
        <w:pStyle w:val="ListParagraph"/>
        <w:numPr>
          <w:ilvl w:val="0"/>
          <w:numId w:val="1"/>
        </w:numPr>
        <w:spacing w:after="80"/>
      </w:pPr>
      <w:r>
        <w:t xml:space="preserve">User listening events were simulated with genre-affinity bias (65% of plays drawn from a user's preferred genres), variable per-user listening intensity, and realistic time-of-day / day-of-week patterns.</w:t>
      </w:r>
    </w:p>
    <w:p>
      <w:pPr>
        <w:pStyle w:val="ListParagraph"/>
        <w:numPr>
          <w:ilvl w:val="0"/>
          <w:numId w:val="1"/>
        </w:numPr>
        <w:spacing w:after="80"/>
      </w:pPr>
      <w:r>
        <w:t xml:space="preserve">Scale: 2,000 users × 1,500 songs × 150,000 raw listening events → 118,544 unique (user, song) interaction pairs after cleaning.</w:t>
      </w:r>
    </w:p>
    <w:p>
      <w:pPr>
        <w:spacing w:after="160"/>
        <w:jc w:val="both"/>
      </w:pPr>
      <w:r>
        <w:t xml:space="preserve">This is a standard, defensible methodology for this class of problem when real interaction logs cannot be obtained, and is disclosed here so the results are interpreted correctly: the ML methodology, pipeline architecture, and code are fully production-representative; the absolute performance numbers reflect the synthetic data's behavioral patterns rather than real Spotify user behavior. The pipeline (Tasks 1–7) is designed to plug into real listening-history data with no structural changes if such data becomes available (e.g. via a partner-approved Spotify data export or an internal company dataset).</w:t>
      </w:r>
    </w:p>
    <w:p>
      <w:pPr>
        <w:pStyle w:val="Heading1"/>
        <w:spacing w:after="180" w:before="360"/>
      </w:pPr>
      <w:r>
        <w:t xml:space="preserve">3. Project Architecture — Seven Tasks</w:t>
      </w:r>
    </w:p>
    <w:p>
      <w:pPr>
        <w:spacing w:after="160"/>
        <w:jc w:val="both"/>
      </w:pPr>
      <w:r>
        <w:t xml:space="preserve">The pipeline is implemented as seven independent, sequentially-run Python scripts, each responsible for one stage of the ML lifecycle. This separation makes every stage independently testable, re-runnable, and auditable.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300"/>
      </w:tblGrid>
      <w:tr>
        <w:trPr>
          <w:tblHeader/>
        </w:trPr>
        <w:tc>
          <w:tcPr>
            <w:tcW w:type="dxa" w:w="500"/>
            <w:shd w:fill="1DB954" w:val="clear"/>
            <w:tcMar>
              <w:top w:type="dxa" w:w="80"/>
              <w:left w:type="dxa" w:w="120"/>
              <w:bottom w:type="dxa" w:w="80"/>
              <w:right w:type="dxa" w:w="120"/>
            </w:tcMar>
            <w:vAlign w:val="center"/>
          </w:tcPr>
          <w:p>
            <w:r>
              <w:rPr>
                <w:b/>
                <w:bCs/>
                <w:color w:val="FFFFFF"/>
                <w:sz w:val="20"/>
                <w:szCs w:val="20"/>
              </w:rPr>
              <w:t xml:space="preserve">#</w:t>
            </w:r>
          </w:p>
        </w:tc>
        <w:tc>
          <w:tcPr>
            <w:tcW w:type="dxa" w:w="500"/>
            <w:shd w:fill="1DB954" w:val="clear"/>
            <w:tcMar>
              <w:top w:type="dxa" w:w="80"/>
              <w:left w:type="dxa" w:w="120"/>
              <w:bottom w:type="dxa" w:w="80"/>
              <w:right w:type="dxa" w:w="120"/>
            </w:tcMar>
            <w:vAlign w:val="center"/>
          </w:tcPr>
          <w:p>
            <w:r>
              <w:rPr>
                <w:b/>
                <w:bCs/>
                <w:color w:val="FFFFFF"/>
                <w:sz w:val="20"/>
                <w:szCs w:val="20"/>
              </w:rPr>
              <w:t xml:space="preserve">Script</w:t>
            </w:r>
          </w:p>
        </w:tc>
        <w:tc>
          <w:tcPr>
            <w:tcW w:type="dxa" w:w="500"/>
            <w:shd w:fill="1DB954" w:val="clear"/>
            <w:tcMar>
              <w:top w:type="dxa" w:w="80"/>
              <w:left w:type="dxa" w:w="120"/>
              <w:bottom w:type="dxa" w:w="80"/>
              <w:right w:type="dxa" w:w="120"/>
            </w:tcMar>
            <w:vAlign w:val="center"/>
          </w:tcPr>
          <w:p>
            <w:r>
              <w:rPr>
                <w:b/>
                <w:bCs/>
                <w:color w:val="FFFFFF"/>
                <w:sz w:val="20"/>
                <w:szCs w:val="20"/>
              </w:rPr>
              <w:t xml:space="preserve">Purpose</w:t>
            </w:r>
          </w:p>
        </w:tc>
      </w:tr>
      <w:tr>
        <w:tc>
          <w:tcPr>
            <w:tcW w:type="dxa" w:w="500"/>
            <w:tcMar>
              <w:top w:type="dxa" w:w="70"/>
              <w:left w:type="dxa" w:w="120"/>
              <w:bottom w:type="dxa" w:w="70"/>
              <w:right w:type="dxa" w:w="120"/>
            </w:tcMar>
            <w:vAlign w:val="center"/>
          </w:tcPr>
          <w:p>
            <w:r>
              <w:rPr>
                <w:sz w:val="20"/>
                <w:szCs w:val="20"/>
              </w:rPr>
              <w:t xml:space="preserve">1</w:t>
            </w:r>
          </w:p>
        </w:tc>
        <w:tc>
          <w:tcPr>
            <w:tcW w:type="dxa" w:w="3200"/>
            <w:tcMar>
              <w:top w:type="dxa" w:w="70"/>
              <w:left w:type="dxa" w:w="120"/>
              <w:bottom w:type="dxa" w:w="70"/>
              <w:right w:type="dxa" w:w="120"/>
            </w:tcMar>
            <w:vAlign w:val="center"/>
          </w:tcPr>
          <w:p>
            <w:r>
              <w:rPr>
                <w:sz w:val="20"/>
                <w:szCs w:val="20"/>
              </w:rPr>
              <w:t xml:space="preserve">01_data_generation.py</w:t>
            </w:r>
          </w:p>
        </w:tc>
        <w:tc>
          <w:tcPr>
            <w:tcW w:type="dxa" w:w="5300"/>
            <w:tcMar>
              <w:top w:type="dxa" w:w="70"/>
              <w:left w:type="dxa" w:w="120"/>
              <w:bottom w:type="dxa" w:w="70"/>
              <w:right w:type="dxa" w:w="120"/>
            </w:tcMar>
            <w:vAlign w:val="center"/>
          </w:tcPr>
          <w:p>
            <w:r>
              <w:rPr>
                <w:sz w:val="20"/>
                <w:szCs w:val="20"/>
              </w:rPr>
              <w:t xml:space="preserve">Builds the song catalog, user profiles, and raw listening-event log</w:t>
            </w:r>
          </w:p>
        </w:tc>
      </w:tr>
      <w:tr>
        <w:tc>
          <w:tcPr>
            <w:tcW w:type="dxa" w:w="500"/>
            <w:shd w:fill="F2F2F2" w:val="clear"/>
            <w:tcMar>
              <w:top w:type="dxa" w:w="70"/>
              <w:left w:type="dxa" w:w="120"/>
              <w:bottom w:type="dxa" w:w="70"/>
              <w:right w:type="dxa" w:w="120"/>
            </w:tcMar>
            <w:vAlign w:val="center"/>
          </w:tcPr>
          <w:p>
            <w:r>
              <w:rPr>
                <w:sz w:val="20"/>
                <w:szCs w:val="20"/>
              </w:rPr>
              <w:t xml:space="preserve">2</w:t>
            </w:r>
          </w:p>
        </w:tc>
        <w:tc>
          <w:tcPr>
            <w:tcW w:type="dxa" w:w="3200"/>
            <w:shd w:fill="F2F2F2" w:val="clear"/>
            <w:tcMar>
              <w:top w:type="dxa" w:w="70"/>
              <w:left w:type="dxa" w:w="120"/>
              <w:bottom w:type="dxa" w:w="70"/>
              <w:right w:type="dxa" w:w="120"/>
            </w:tcMar>
            <w:vAlign w:val="center"/>
          </w:tcPr>
          <w:p>
            <w:r>
              <w:rPr>
                <w:sz w:val="20"/>
                <w:szCs w:val="20"/>
              </w:rPr>
              <w:t xml:space="preserve">02_data_cleaning.py</w:t>
            </w:r>
          </w:p>
        </w:tc>
        <w:tc>
          <w:tcPr>
            <w:tcW w:type="dxa" w:w="5300"/>
            <w:shd w:fill="F2F2F2" w:val="clear"/>
            <w:tcMar>
              <w:top w:type="dxa" w:w="70"/>
              <w:left w:type="dxa" w:w="120"/>
              <w:bottom w:type="dxa" w:w="70"/>
              <w:right w:type="dxa" w:w="120"/>
            </w:tcMar>
            <w:vAlign w:val="center"/>
          </w:tcPr>
          <w:p>
            <w:r>
              <w:rPr>
                <w:sz w:val="20"/>
                <w:szCs w:val="20"/>
              </w:rPr>
              <w:t xml:space="preserve">Deduplication, missing-value handling, referential integrity checks, and construction of the labeled (user,song) interaction table with the target variable</w:t>
            </w:r>
          </w:p>
        </w:tc>
      </w:tr>
      <w:tr>
        <w:tc>
          <w:tcPr>
            <w:tcW w:type="dxa" w:w="500"/>
            <w:tcMar>
              <w:top w:type="dxa" w:w="70"/>
              <w:left w:type="dxa" w:w="120"/>
              <w:bottom w:type="dxa" w:w="70"/>
              <w:right w:type="dxa" w:w="120"/>
            </w:tcMar>
            <w:vAlign w:val="center"/>
          </w:tcPr>
          <w:p>
            <w:r>
              <w:rPr>
                <w:sz w:val="20"/>
                <w:szCs w:val="20"/>
              </w:rPr>
              <w:t xml:space="preserve">3</w:t>
            </w:r>
          </w:p>
        </w:tc>
        <w:tc>
          <w:tcPr>
            <w:tcW w:type="dxa" w:w="3200"/>
            <w:tcMar>
              <w:top w:type="dxa" w:w="70"/>
              <w:left w:type="dxa" w:w="120"/>
              <w:bottom w:type="dxa" w:w="70"/>
              <w:right w:type="dxa" w:w="120"/>
            </w:tcMar>
            <w:vAlign w:val="center"/>
          </w:tcPr>
          <w:p>
            <w:r>
              <w:rPr>
                <w:sz w:val="20"/>
                <w:szCs w:val="20"/>
              </w:rPr>
              <w:t xml:space="preserve">03_eda_visualization.py</w:t>
            </w:r>
          </w:p>
        </w:tc>
        <w:tc>
          <w:tcPr>
            <w:tcW w:type="dxa" w:w="5300"/>
            <w:tcMar>
              <w:top w:type="dxa" w:w="70"/>
              <w:left w:type="dxa" w:w="120"/>
              <w:bottom w:type="dxa" w:w="70"/>
              <w:right w:type="dxa" w:w="120"/>
            </w:tcMar>
            <w:vAlign w:val="center"/>
          </w:tcPr>
          <w:p>
            <w:r>
              <w:rPr>
                <w:sz w:val="20"/>
                <w:szCs w:val="20"/>
              </w:rPr>
              <w:t xml:space="preserve">8 exploratory visualizations covering class balance, genre trends, audio features, and temporal listening patterns</w:t>
            </w:r>
          </w:p>
        </w:tc>
      </w:tr>
      <w:tr>
        <w:tc>
          <w:tcPr>
            <w:tcW w:type="dxa" w:w="500"/>
            <w:shd w:fill="F2F2F2" w:val="clear"/>
            <w:tcMar>
              <w:top w:type="dxa" w:w="70"/>
              <w:left w:type="dxa" w:w="120"/>
              <w:bottom w:type="dxa" w:w="70"/>
              <w:right w:type="dxa" w:w="120"/>
            </w:tcMar>
            <w:vAlign w:val="center"/>
          </w:tcPr>
          <w:p>
            <w:r>
              <w:rPr>
                <w:sz w:val="20"/>
                <w:szCs w:val="20"/>
              </w:rPr>
              <w:t xml:space="preserve">4</w:t>
            </w:r>
          </w:p>
        </w:tc>
        <w:tc>
          <w:tcPr>
            <w:tcW w:type="dxa" w:w="3200"/>
            <w:shd w:fill="F2F2F2" w:val="clear"/>
            <w:tcMar>
              <w:top w:type="dxa" w:w="70"/>
              <w:left w:type="dxa" w:w="120"/>
              <w:bottom w:type="dxa" w:w="70"/>
              <w:right w:type="dxa" w:w="120"/>
            </w:tcMar>
            <w:vAlign w:val="center"/>
          </w:tcPr>
          <w:p>
            <w:r>
              <w:rPr>
                <w:sz w:val="20"/>
                <w:szCs w:val="20"/>
              </w:rPr>
              <w:t xml:space="preserve">04_feature_engineering.py</w:t>
            </w:r>
          </w:p>
        </w:tc>
        <w:tc>
          <w:tcPr>
            <w:tcW w:type="dxa" w:w="5300"/>
            <w:shd w:fill="F2F2F2" w:val="clear"/>
            <w:tcMar>
              <w:top w:type="dxa" w:w="70"/>
              <w:left w:type="dxa" w:w="120"/>
              <w:bottom w:type="dxa" w:w="70"/>
              <w:right w:type="dxa" w:w="120"/>
            </w:tcMar>
            <w:vAlign w:val="center"/>
          </w:tcPr>
          <w:p>
            <w:r>
              <w:rPr>
                <w:sz w:val="20"/>
                <w:szCs w:val="20"/>
              </w:rPr>
              <w:t xml:space="preserve">Builds the 33-feature model-ready matrix from song, user, and interaction-level signals</w:t>
            </w:r>
          </w:p>
        </w:tc>
      </w:tr>
      <w:tr>
        <w:tc>
          <w:tcPr>
            <w:tcW w:type="dxa" w:w="500"/>
            <w:tcMar>
              <w:top w:type="dxa" w:w="70"/>
              <w:left w:type="dxa" w:w="120"/>
              <w:bottom w:type="dxa" w:w="70"/>
              <w:right w:type="dxa" w:w="120"/>
            </w:tcMar>
            <w:vAlign w:val="center"/>
          </w:tcPr>
          <w:p>
            <w:r>
              <w:rPr>
                <w:sz w:val="20"/>
                <w:szCs w:val="20"/>
              </w:rPr>
              <w:t xml:space="preserve">5</w:t>
            </w:r>
          </w:p>
        </w:tc>
        <w:tc>
          <w:tcPr>
            <w:tcW w:type="dxa" w:w="3200"/>
            <w:tcMar>
              <w:top w:type="dxa" w:w="70"/>
              <w:left w:type="dxa" w:w="120"/>
              <w:bottom w:type="dxa" w:w="70"/>
              <w:right w:type="dxa" w:w="120"/>
            </w:tcMar>
            <w:vAlign w:val="center"/>
          </w:tcPr>
          <w:p>
            <w:r>
              <w:rPr>
                <w:sz w:val="20"/>
                <w:szCs w:val="20"/>
              </w:rPr>
              <w:t xml:space="preserve">05_model_training.py</w:t>
            </w:r>
          </w:p>
        </w:tc>
        <w:tc>
          <w:tcPr>
            <w:tcW w:type="dxa" w:w="5300"/>
            <w:tcMar>
              <w:top w:type="dxa" w:w="70"/>
              <w:left w:type="dxa" w:w="120"/>
              <w:bottom w:type="dxa" w:w="70"/>
              <w:right w:type="dxa" w:w="120"/>
            </w:tcMar>
            <w:vAlign w:val="center"/>
          </w:tcPr>
          <w:p>
            <w:r>
              <w:rPr>
                <w:sz w:val="20"/>
                <w:szCs w:val="20"/>
              </w:rPr>
              <w:t xml:space="preserve">Trains &amp; compares 4 classifiers using a time-based train/test split</w:t>
            </w:r>
          </w:p>
        </w:tc>
      </w:tr>
      <w:tr>
        <w:tc>
          <w:tcPr>
            <w:tcW w:type="dxa" w:w="500"/>
            <w:shd w:fill="F2F2F2" w:val="clear"/>
            <w:tcMar>
              <w:top w:type="dxa" w:w="70"/>
              <w:left w:type="dxa" w:w="120"/>
              <w:bottom w:type="dxa" w:w="70"/>
              <w:right w:type="dxa" w:w="120"/>
            </w:tcMar>
            <w:vAlign w:val="center"/>
          </w:tcPr>
          <w:p>
            <w:r>
              <w:rPr>
                <w:sz w:val="20"/>
                <w:szCs w:val="20"/>
              </w:rPr>
              <w:t xml:space="preserve">6</w:t>
            </w:r>
          </w:p>
        </w:tc>
        <w:tc>
          <w:tcPr>
            <w:tcW w:type="dxa" w:w="3200"/>
            <w:shd w:fill="F2F2F2" w:val="clear"/>
            <w:tcMar>
              <w:top w:type="dxa" w:w="70"/>
              <w:left w:type="dxa" w:w="120"/>
              <w:bottom w:type="dxa" w:w="70"/>
              <w:right w:type="dxa" w:w="120"/>
            </w:tcMar>
            <w:vAlign w:val="center"/>
          </w:tcPr>
          <w:p>
            <w:r>
              <w:rPr>
                <w:sz w:val="20"/>
                <w:szCs w:val="20"/>
              </w:rPr>
              <w:t xml:space="preserve">06_model_evaluation.py</w:t>
            </w:r>
          </w:p>
        </w:tc>
        <w:tc>
          <w:tcPr>
            <w:tcW w:type="dxa" w:w="5300"/>
            <w:shd w:fill="F2F2F2" w:val="clear"/>
            <w:tcMar>
              <w:top w:type="dxa" w:w="70"/>
              <w:left w:type="dxa" w:w="120"/>
              <w:bottom w:type="dxa" w:w="70"/>
              <w:right w:type="dxa" w:w="120"/>
            </w:tcMar>
            <w:vAlign w:val="center"/>
          </w:tcPr>
          <w:p>
            <w:r>
              <w:rPr>
                <w:sz w:val="20"/>
                <w:szCs w:val="20"/>
              </w:rPr>
              <w:t xml:space="preserve">ROC/PR curves, confusion matrix, threshold tuning, feature importance (6 more visualizations)</w:t>
            </w:r>
          </w:p>
        </w:tc>
      </w:tr>
      <w:tr>
        <w:tc>
          <w:tcPr>
            <w:tcW w:type="dxa" w:w="500"/>
            <w:tcMar>
              <w:top w:type="dxa" w:w="70"/>
              <w:left w:type="dxa" w:w="120"/>
              <w:bottom w:type="dxa" w:w="70"/>
              <w:right w:type="dxa" w:w="120"/>
            </w:tcMar>
            <w:vAlign w:val="center"/>
          </w:tcPr>
          <w:p>
            <w:r>
              <w:rPr>
                <w:sz w:val="20"/>
                <w:szCs w:val="20"/>
              </w:rPr>
              <w:t xml:space="preserve">7</w:t>
            </w:r>
          </w:p>
        </w:tc>
        <w:tc>
          <w:tcPr>
            <w:tcW w:type="dxa" w:w="3200"/>
            <w:tcMar>
              <w:top w:type="dxa" w:w="70"/>
              <w:left w:type="dxa" w:w="120"/>
              <w:bottom w:type="dxa" w:w="70"/>
              <w:right w:type="dxa" w:w="120"/>
            </w:tcMar>
            <w:vAlign w:val="center"/>
          </w:tcPr>
          <w:p>
            <w:r>
              <w:rPr>
                <w:sz w:val="20"/>
                <w:szCs w:val="20"/>
              </w:rPr>
              <w:t xml:space="preserve">07_recommendation_engine.py</w:t>
            </w:r>
          </w:p>
        </w:tc>
        <w:tc>
          <w:tcPr>
            <w:tcW w:type="dxa" w:w="5300"/>
            <w:tcMar>
              <w:top w:type="dxa" w:w="70"/>
              <w:left w:type="dxa" w:w="120"/>
              <w:bottom w:type="dxa" w:w="70"/>
              <w:right w:type="dxa" w:w="120"/>
            </w:tcMar>
            <w:vAlign w:val="center"/>
          </w:tcPr>
          <w:p>
            <w:r>
              <w:rPr>
                <w:sz w:val="20"/>
                <w:szCs w:val="20"/>
              </w:rPr>
              <w:t xml:space="preserve">Candidate generation → model scoring → diversity re-ranking → Top-N recommendations per user</w:t>
            </w:r>
          </w:p>
        </w:tc>
      </w:tr>
    </w:tbl>
    <w:p>
      <w:pPr>
        <w:pStyle w:val="Heading1"/>
        <w:spacing w:after="180" w:before="360"/>
      </w:pPr>
      <w:r>
        <w:t xml:space="preserve">4. Exploratory Data Analysis</w:t>
      </w:r>
    </w:p>
    <w:p>
      <w:pPr>
        <w:spacing w:after="160"/>
        <w:jc w:val="both"/>
      </w:pPr>
      <w:r>
        <w:t xml:space="preserve">Before modeling, the dataset was explored to understand class balance, genre-level behavior, audio-feature distributions, and temporal listening patterns.</w:t>
      </w:r>
    </w:p>
    <w:p>
      <w:pPr>
        <w:pStyle w:val="Heading2"/>
        <w:spacing w:after="140" w:before="280"/>
      </w:pPr>
      <w:r>
        <w:t xml:space="preserve">4.1 Target Class Distribution</w:t>
      </w:r>
    </w:p>
    <w:p>
      <w:pPr>
        <w:spacing w:after="160"/>
        <w:jc w:val="both"/>
      </w:pPr>
      <w:r>
        <w:t xml:space="preserve">The prediction target is heavily imbalanced: only 2.09% of (user, song) pairs result in a repeat listen within 30 days. This imbalance is realistic — most songs a user tries are not replayed — and directly shapes model choice and evaluation strategy in later sections.</w:t>
      </w:r>
    </w:p>
    <w:p>
      <w:pPr>
        <w:spacing w:after="80" w:before="160"/>
        <w:jc w:val="center"/>
      </w:pPr>
      <w:r>
        <w:drawing>
          <wp:inline distT="0" distB="0" distL="0" distR="0">
            <wp:extent cx="3619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028950"/>
                    </a:xfrm>
                    <a:prstGeom prst="rect">
                      <a:avLst/>
                    </a:prstGeom>
                  </pic:spPr>
                </pic:pic>
              </a:graphicData>
            </a:graphic>
          </wp:inline>
        </w:drawing>
      </w:r>
    </w:p>
    <w:p>
      <w:pPr>
        <w:spacing w:after="320"/>
        <w:jc w:val="center"/>
      </w:pPr>
      <w:r>
        <w:rPr>
          <w:i/>
          <w:iCs/>
          <w:color w:val="535353"/>
          <w:sz w:val="20"/>
          <w:szCs w:val="20"/>
        </w:rPr>
        <w:t xml:space="preserve">Figure 1. Target class distribution: repeat listen (1) vs. no repeat (0).</w:t>
      </w:r>
    </w:p>
    <w:p>
      <w:pPr>
        <w:pStyle w:val="Heading2"/>
        <w:spacing w:after="140" w:before="280"/>
      </w:pPr>
      <w:r>
        <w:t xml:space="preserve">4.2 Genre Trends</w:t>
      </w:r>
    </w:p>
    <w:p>
      <w:pPr>
        <w:spacing w:after="80" w:before="160"/>
        <w:jc w:val="center"/>
      </w:pPr>
      <w:r>
        <w:drawing>
          <wp:inline distT="0" distB="0" distL="0" distR="0">
            <wp:extent cx="4572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419475"/>
                    </a:xfrm>
                    <a:prstGeom prst="rect">
                      <a:avLst/>
                    </a:prstGeom>
                  </pic:spPr>
                </pic:pic>
              </a:graphicData>
            </a:graphic>
          </wp:inline>
        </w:drawing>
      </w:r>
    </w:p>
    <w:p>
      <w:pPr>
        <w:spacing w:after="320"/>
        <w:jc w:val="center"/>
      </w:pPr>
      <w:r>
        <w:rPr>
          <w:i/>
          <w:iCs/>
          <w:color w:val="535353"/>
          <w:sz w:val="20"/>
          <w:szCs w:val="20"/>
        </w:rPr>
        <w:t xml:space="preserve">Figure 2. Total plays by genre across the full listening history.</w:t>
      </w:r>
    </w:p>
    <w:p>
      <w:pPr>
        <w:spacing w:after="80" w:before="160"/>
        <w:jc w:val="center"/>
      </w:pPr>
      <w:r>
        <w:drawing>
          <wp:inline distT="0" distB="0" distL="0" distR="0">
            <wp:extent cx="4572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19475"/>
                    </a:xfrm>
                    <a:prstGeom prst="rect">
                      <a:avLst/>
                    </a:prstGeom>
                  </pic:spPr>
                </pic:pic>
              </a:graphicData>
            </a:graphic>
          </wp:inline>
        </w:drawing>
      </w:r>
    </w:p>
    <w:p>
      <w:pPr>
        <w:spacing w:after="320"/>
        <w:jc w:val="center"/>
      </w:pPr>
      <w:r>
        <w:rPr>
          <w:i/>
          <w:iCs/>
          <w:color w:val="535353"/>
          <w:sz w:val="20"/>
          <w:szCs w:val="20"/>
        </w:rPr>
        <w:t xml:space="preserve">Figure 3. Repeat-listen rate by genre — highlights which genres retain listeners best.</w:t>
      </w:r>
    </w:p>
    <w:p>
      <w:pPr>
        <w:pStyle w:val="Heading2"/>
        <w:spacing w:after="140" w:before="280"/>
      </w:pPr>
      <w:r>
        <w:t xml:space="preserve">4.3 Audio Feature Distributions</w:t>
      </w:r>
    </w:p>
    <w:p>
      <w:pPr>
        <w:spacing w:after="160"/>
        <w:jc w:val="both"/>
      </w:pPr>
      <w:r>
        <w:t xml:space="preserve">The song catalog's audio features follow realistic, Spotify-consistent distributions across danceability, energy, valence, acousticness, tempo, and loudness.</w:t>
      </w:r>
    </w:p>
    <w:p>
      <w:pPr>
        <w:spacing w:after="80" w:before="16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52775"/>
                    </a:xfrm>
                    <a:prstGeom prst="rect">
                      <a:avLst/>
                    </a:prstGeom>
                  </pic:spPr>
                </pic:pic>
              </a:graphicData>
            </a:graphic>
          </wp:inline>
        </w:drawing>
      </w:r>
    </w:p>
    <w:p>
      <w:pPr>
        <w:spacing w:after="320"/>
        <w:jc w:val="center"/>
      </w:pPr>
      <w:r>
        <w:rPr>
          <w:i/>
          <w:iCs/>
          <w:color w:val="535353"/>
          <w:sz w:val="20"/>
          <w:szCs w:val="20"/>
        </w:rPr>
        <w:t xml:space="preserve">Figure 4. Distribution of six core audio features across the song catalog.</w:t>
      </w:r>
    </w:p>
    <w:p>
      <w:pPr>
        <w:pStyle w:val="Heading2"/>
        <w:spacing w:after="140" w:before="280"/>
      </w:pPr>
      <w:r>
        <w:t xml:space="preserve">4.4 Popularity vs. Repeat-Listen Behavior</w:t>
      </w:r>
    </w:p>
    <w:p>
      <w:pPr>
        <w:spacing w:after="80" w:before="160"/>
        <w:jc w:val="center"/>
      </w:pPr>
      <w:r>
        <w:drawing>
          <wp:inline distT="0" distB="0" distL="0" distR="0">
            <wp:extent cx="4762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95600"/>
                    </a:xfrm>
                    <a:prstGeom prst="rect">
                      <a:avLst/>
                    </a:prstGeom>
                  </pic:spPr>
                </pic:pic>
              </a:graphicData>
            </a:graphic>
          </wp:inline>
        </w:drawing>
      </w:r>
    </w:p>
    <w:p>
      <w:pPr>
        <w:spacing w:after="320"/>
        <w:jc w:val="center"/>
      </w:pPr>
      <w:r>
        <w:rPr>
          <w:i/>
          <w:iCs/>
          <w:color w:val="535353"/>
          <w:sz w:val="20"/>
          <w:szCs w:val="20"/>
        </w:rPr>
        <w:t xml:space="preserve">Figure 5. Song popularity bucket vs. repeat-listen rate — more popular songs tend to be replayed more often.</w:t>
      </w:r>
    </w:p>
    <w:p>
      <w:pPr>
        <w:pStyle w:val="Heading2"/>
        <w:spacing w:after="140" w:before="280"/>
      </w:pPr>
      <w:r>
        <w:t xml:space="preserve">4.5 Temporal Listening Patterns</w:t>
      </w:r>
    </w:p>
    <w:p>
      <w:pPr>
        <w:spacing w:after="80" w:before="160"/>
        <w:jc w:val="center"/>
      </w:pPr>
      <w:r>
        <w:drawing>
          <wp:inline distT="0" distB="0" distL="0" distR="0">
            <wp:extent cx="5334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19350"/>
                    </a:xfrm>
                    <a:prstGeom prst="rect">
                      <a:avLst/>
                    </a:prstGeom>
                  </pic:spPr>
                </pic:pic>
              </a:graphicData>
            </a:graphic>
          </wp:inline>
        </w:drawing>
      </w:r>
    </w:p>
    <w:p>
      <w:pPr>
        <w:spacing w:after="320"/>
        <w:jc w:val="center"/>
      </w:pPr>
      <w:r>
        <w:rPr>
          <w:i/>
          <w:iCs/>
          <w:color w:val="535353"/>
          <w:sz w:val="20"/>
          <w:szCs w:val="20"/>
        </w:rPr>
        <w:t xml:space="preserve">Figure 6. Listening activity heatmap across hour-of-day and day-of-week.</w:t>
      </w:r>
    </w:p>
    <w:p>
      <w:pPr>
        <w:pStyle w:val="Heading2"/>
        <w:spacing w:after="140" w:before="280"/>
      </w:pPr>
      <w:r>
        <w:t xml:space="preserve">4.6 Subscription Tier Behavior</w:t>
      </w:r>
    </w:p>
    <w:p>
      <w:pPr>
        <w:spacing w:after="80" w:before="16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857500"/>
                    </a:xfrm>
                    <a:prstGeom prst="rect">
                      <a:avLst/>
                    </a:prstGeom>
                  </pic:spPr>
                </pic:pic>
              </a:graphicData>
            </a:graphic>
          </wp:inline>
        </w:drawing>
      </w:r>
    </w:p>
    <w:p>
      <w:pPr>
        <w:spacing w:after="320"/>
        <w:jc w:val="center"/>
      </w:pPr>
      <w:r>
        <w:rPr>
          <w:i/>
          <w:iCs/>
          <w:color w:val="535353"/>
          <w:sz w:val="20"/>
          <w:szCs w:val="20"/>
        </w:rPr>
        <w:t xml:space="preserve">Figure 7. Repeat-listen rate by subscription tier.</w:t>
      </w:r>
    </w:p>
    <w:p>
      <w:pPr>
        <w:pStyle w:val="Heading2"/>
        <w:spacing w:after="140" w:before="280"/>
      </w:pPr>
      <w:r>
        <w:t xml:space="preserve">4.7 Audio Feature Correlations</w:t>
      </w:r>
    </w:p>
    <w:p>
      <w:pPr>
        <w:spacing w:after="80" w:before="160"/>
        <w:jc w:val="center"/>
      </w:pPr>
      <w:r>
        <w:drawing>
          <wp:inline distT="0" distB="0" distL="0" distR="0">
            <wp:extent cx="4381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943350"/>
                    </a:xfrm>
                    <a:prstGeom prst="rect">
                      <a:avLst/>
                    </a:prstGeom>
                  </pic:spPr>
                </pic:pic>
              </a:graphicData>
            </a:graphic>
          </wp:inline>
        </w:drawing>
      </w:r>
    </w:p>
    <w:p>
      <w:pPr>
        <w:spacing w:after="320"/>
        <w:jc w:val="center"/>
      </w:pPr>
      <w:r>
        <w:rPr>
          <w:i/>
          <w:iCs/>
          <w:color w:val="535353"/>
          <w:sz w:val="20"/>
          <w:szCs w:val="20"/>
        </w:rPr>
        <w:t xml:space="preserve">Figure 8. Correlation matrix of audio features and song popularity.</w:t>
      </w:r>
    </w:p>
    <w:p>
      <w:pPr>
        <w:pStyle w:val="Heading1"/>
        <w:spacing w:after="180" w:before="360"/>
      </w:pPr>
      <w:r>
        <w:t xml:space="preserve">5. Feature Engineering</w:t>
      </w:r>
    </w:p>
    <w:p>
      <w:pPr>
        <w:spacing w:after="160"/>
        <w:jc w:val="both"/>
      </w:pPr>
      <w:r>
        <w:t xml:space="preserve">33 features were engineered across four categories to feed the classification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DB954" w:val="clear"/>
            <w:tcMar>
              <w:top w:type="dxa" w:w="80"/>
              <w:left w:type="dxa" w:w="120"/>
              <w:bottom w:type="dxa" w:w="80"/>
              <w:right w:type="dxa" w:w="120"/>
            </w:tcMar>
            <w:vAlign w:val="center"/>
          </w:tcPr>
          <w:p>
            <w:r>
              <w:rPr>
                <w:b/>
                <w:bCs/>
                <w:color w:val="FFFFFF"/>
                <w:sz w:val="20"/>
                <w:szCs w:val="20"/>
              </w:rPr>
              <w:t xml:space="preserve">Category</w:t>
            </w:r>
          </w:p>
        </w:tc>
        <w:tc>
          <w:tcPr>
            <w:tcW w:type="dxa" w:w="3000"/>
            <w:shd w:fill="1DB954" w:val="clear"/>
            <w:tcMar>
              <w:top w:type="dxa" w:w="80"/>
              <w:left w:type="dxa" w:w="120"/>
              <w:bottom w:type="dxa" w:w="80"/>
              <w:right w:type="dxa" w:w="120"/>
            </w:tcMar>
            <w:vAlign w:val="center"/>
          </w:tcPr>
          <w:p>
            <w:r>
              <w:rPr>
                <w:b/>
                <w:bCs/>
                <w:color w:val="FFFFFF"/>
                <w:sz w:val="20"/>
                <w:szCs w:val="20"/>
              </w:rPr>
              <w:t xml:space="preserve">Example Features</w:t>
            </w:r>
          </w:p>
        </w:tc>
      </w:tr>
      <w:tr>
        <w:tc>
          <w:tcPr>
            <w:tcW w:type="dxa" w:w="3000"/>
            <w:tcMar>
              <w:top w:type="dxa" w:w="70"/>
              <w:left w:type="dxa" w:w="120"/>
              <w:bottom w:type="dxa" w:w="70"/>
              <w:right w:type="dxa" w:w="120"/>
            </w:tcMar>
            <w:vAlign w:val="center"/>
          </w:tcPr>
          <w:p>
            <w:r>
              <w:rPr>
                <w:sz w:val="20"/>
                <w:szCs w:val="20"/>
              </w:rPr>
              <w:t xml:space="preserve">Song audio features</w:t>
            </w:r>
          </w:p>
        </w:tc>
        <w:tc>
          <w:tcPr>
            <w:tcW w:type="dxa" w:w="6000"/>
            <w:tcMar>
              <w:top w:type="dxa" w:w="70"/>
              <w:left w:type="dxa" w:w="120"/>
              <w:bottom w:type="dxa" w:w="70"/>
              <w:right w:type="dxa" w:w="120"/>
            </w:tcMar>
            <w:vAlign w:val="center"/>
          </w:tcPr>
          <w:p>
            <w:r>
              <w:rPr>
                <w:sz w:val="20"/>
                <w:szCs w:val="20"/>
              </w:rPr>
              <w:t xml:space="preserve">danceability, energy, valence, acousticness, tempo, loudness, duration</w:t>
            </w:r>
          </w:p>
        </w:tc>
      </w:tr>
      <w:tr>
        <w:tc>
          <w:tcPr>
            <w:tcW w:type="dxa" w:w="3000"/>
            <w:shd w:fill="F2F2F2" w:val="clear"/>
            <w:tcMar>
              <w:top w:type="dxa" w:w="70"/>
              <w:left w:type="dxa" w:w="120"/>
              <w:bottom w:type="dxa" w:w="70"/>
              <w:right w:type="dxa" w:w="120"/>
            </w:tcMar>
            <w:vAlign w:val="center"/>
          </w:tcPr>
          <w:p>
            <w:r>
              <w:rPr>
                <w:sz w:val="20"/>
                <w:szCs w:val="20"/>
              </w:rPr>
              <w:t xml:space="preserve">Song popularity signals</w:t>
            </w:r>
          </w:p>
        </w:tc>
        <w:tc>
          <w:tcPr>
            <w:tcW w:type="dxa" w:w="6000"/>
            <w:shd w:fill="F2F2F2" w:val="clear"/>
            <w:tcMar>
              <w:top w:type="dxa" w:w="70"/>
              <w:left w:type="dxa" w:w="120"/>
              <w:bottom w:type="dxa" w:w="70"/>
              <w:right w:type="dxa" w:w="120"/>
            </w:tcMar>
            <w:vAlign w:val="center"/>
          </w:tcPr>
          <w:p>
            <w:r>
              <w:rPr>
                <w:sz w:val="20"/>
                <w:szCs w:val="20"/>
              </w:rPr>
              <w:t xml:space="preserve">popularity score, total historical plays, unique listeners, average skip rate</w:t>
            </w:r>
          </w:p>
        </w:tc>
      </w:tr>
      <w:tr>
        <w:tc>
          <w:tcPr>
            <w:tcW w:type="dxa" w:w="3000"/>
            <w:tcMar>
              <w:top w:type="dxa" w:w="70"/>
              <w:left w:type="dxa" w:w="120"/>
              <w:bottom w:type="dxa" w:w="70"/>
              <w:right w:type="dxa" w:w="120"/>
            </w:tcMar>
            <w:vAlign w:val="center"/>
          </w:tcPr>
          <w:p>
            <w:r>
              <w:rPr>
                <w:sz w:val="20"/>
                <w:szCs w:val="20"/>
              </w:rPr>
              <w:t xml:space="preserve">User behavioral profile</w:t>
            </w:r>
          </w:p>
        </w:tc>
        <w:tc>
          <w:tcPr>
            <w:tcW w:type="dxa" w:w="6000"/>
            <w:tcMar>
              <w:top w:type="dxa" w:w="70"/>
              <w:left w:type="dxa" w:w="120"/>
              <w:bottom w:type="dxa" w:w="70"/>
              <w:right w:type="dxa" w:w="120"/>
            </w:tcMar>
            <w:vAlign w:val="center"/>
          </w:tcPr>
          <w:p>
            <w:r>
              <w:rPr>
                <w:sz w:val="20"/>
                <w:szCs w:val="20"/>
              </w:rPr>
              <w:t xml:space="preserve">total plays, unique songs played, average engagement ratio, skip rate, repeat tendency, genre diversity</w:t>
            </w:r>
          </w:p>
        </w:tc>
      </w:tr>
      <w:tr>
        <w:tc>
          <w:tcPr>
            <w:tcW w:type="dxa" w:w="3000"/>
            <w:shd w:fill="F2F2F2" w:val="clear"/>
            <w:tcMar>
              <w:top w:type="dxa" w:w="70"/>
              <w:left w:type="dxa" w:w="120"/>
              <w:bottom w:type="dxa" w:w="70"/>
              <w:right w:type="dxa" w:w="120"/>
            </w:tcMar>
            <w:vAlign w:val="center"/>
          </w:tcPr>
          <w:p>
            <w:r>
              <w:rPr>
                <w:sz w:val="20"/>
                <w:szCs w:val="20"/>
              </w:rPr>
              <w:t xml:space="preserve">Interaction / temporal</w:t>
            </w:r>
          </w:p>
        </w:tc>
        <w:tc>
          <w:tcPr>
            <w:tcW w:type="dxa" w:w="6000"/>
            <w:shd w:fill="F2F2F2" w:val="clear"/>
            <w:tcMar>
              <w:top w:type="dxa" w:w="70"/>
              <w:left w:type="dxa" w:w="120"/>
              <w:bottom w:type="dxa" w:w="70"/>
              <w:right w:type="dxa" w:w="120"/>
            </w:tcMar>
            <w:vAlign w:val="center"/>
          </w:tcPr>
          <w:p>
            <w:r>
              <w:rPr>
                <w:sz w:val="20"/>
                <w:szCs w:val="20"/>
              </w:rPr>
              <w:t xml:space="preserve">first-listen engagement quality, days since release, user tenure, hour/day of first listen, weekend flag, new-release flag</w:t>
            </w:r>
          </w:p>
        </w:tc>
      </w:tr>
    </w:tbl>
    <w:p>
      <w:pPr>
        <w:pStyle w:val="Heading2"/>
        <w:spacing w:after="140" w:before="280"/>
      </w:pPr>
      <w:r>
        <w:t xml:space="preserve">5.1 Target Definition</w:t>
      </w:r>
    </w:p>
    <w:p>
      <w:pPr>
        <w:spacing w:after="160"/>
        <w:jc w:val="both"/>
      </w:pPr>
      <w:r>
        <w:t xml:space="preserve">For every (user, song) pair, repeat_within_30_days = 1 if the user played that song again at least once within 30 days of their first listen of it, else 0. This mirrors exactly the kind of signal a real recommendation system would use to identify tracks a user has developed a genuine affinity for, versus a one-off, incidental play.</w:t>
      </w:r>
    </w:p>
    <w:p>
      <w:pPr>
        <w:pStyle w:val="Heading2"/>
        <w:spacing w:after="140" w:before="280"/>
      </w:pPr>
      <w:r>
        <w:t xml:space="preserve">5.2 Data Leakage — Identified &amp; Corrected</w:t>
      </w:r>
    </w:p>
    <w:p>
      <w:pPr>
        <w:spacing w:after="160"/>
        <w:jc w:val="both"/>
      </w:pPr>
      <w:r>
        <w:t xml:space="preserve">During initial development, the model achieved an implausible 0.99 ROC-AUC. Investigation traced this to target leakage: two features (total_play_count and an averaged engagement ratio) were computed across a song's entire play history for a user — which includes the very repeat plays the model was supposed to predict. A play count greater than 1 near-perfectly encodes the label itself.</w:t>
      </w:r>
    </w:p>
    <w:p>
      <w:pPr>
        <w:spacing w:after="160"/>
        <w:jc w:val="both"/>
      </w:pPr>
      <w:r>
        <w:t xml:space="preserve">Fix applied: all interaction-level behavioral features (engagement ratio, skip flag, listening context) were recomputed using only the user's FIRST listen event for that song, and the raw total_play_count feature was excluded entirely from the model (retained only as reporting metadata). After this correction, ROC-AUC dropped to a realistic ~0.70-0.71 range — the honest, leakage-free result reported throughout this document. This is documented here deliberately: catching and correcting this kind of leakage is a core, expected skill in any real recommendation-system project.</w:t>
      </w:r>
    </w:p>
    <w:p>
      <w:pPr>
        <w:pStyle w:val="Heading1"/>
        <w:spacing w:after="180" w:before="360"/>
      </w:pPr>
      <w:r>
        <w:t xml:space="preserve">6. Model Training &amp; Evaluation</w:t>
      </w:r>
    </w:p>
    <w:p>
      <w:pPr>
        <w:pStyle w:val="Heading2"/>
        <w:spacing w:after="140" w:before="280"/>
      </w:pPr>
      <w:r>
        <w:t xml:space="preserve">6.1 Train / Test Split</w:t>
      </w:r>
    </w:p>
    <w:p>
      <w:pPr>
        <w:spacing w:after="160"/>
        <w:jc w:val="both"/>
      </w:pPr>
      <w:r>
        <w:t xml:space="preserve">A chronological (time-based) 80/20 split was used — the model is trained on earlier interactions and tested on strictly later ones. This is critical for any temporal ML task: a random split would let the model implicitly learn from the future, producing metrics that look good in testing but fail in production.</w:t>
      </w:r>
    </w:p>
    <w:p>
      <w:pPr>
        <w:pStyle w:val="Heading2"/>
        <w:spacing w:after="140" w:before="280"/>
      </w:pPr>
      <w:r>
        <w:t xml:space="preserve">6.2 Models Compared</w:t>
      </w:r>
    </w:p>
    <w:p>
      <w:pPr>
        <w:pStyle w:val="ListParagraph"/>
        <w:numPr>
          <w:ilvl w:val="0"/>
          <w:numId w:val="1"/>
        </w:numPr>
        <w:spacing w:after="80"/>
      </w:pPr>
      <w:r>
        <w:t xml:space="preserve">Logistic Regression (class-weight balanced) — fast, interpretable baseline</w:t>
      </w:r>
    </w:p>
    <w:p>
      <w:pPr>
        <w:pStyle w:val="ListParagraph"/>
        <w:numPr>
          <w:ilvl w:val="0"/>
          <w:numId w:val="1"/>
        </w:numPr>
        <w:spacing w:after="80"/>
      </w:pPr>
      <w:r>
        <w:t xml:space="preserve">Random Forest — captures non-linear feature interactions</w:t>
      </w:r>
    </w:p>
    <w:p>
      <w:pPr>
        <w:pStyle w:val="ListParagraph"/>
        <w:numPr>
          <w:ilvl w:val="0"/>
          <w:numId w:val="1"/>
        </w:numPr>
        <w:spacing w:after="80"/>
      </w:pPr>
      <w:r>
        <w:t xml:space="preserve">Random Forest (class-weight balanced) — imbalance-aware variant</w:t>
      </w:r>
    </w:p>
    <w:p>
      <w:pPr>
        <w:pStyle w:val="ListParagraph"/>
        <w:numPr>
          <w:ilvl w:val="0"/>
          <w:numId w:val="1"/>
        </w:numPr>
        <w:spacing w:after="80"/>
      </w:pPr>
      <w:r>
        <w:t xml:space="preserve">Gradient Boosting — sklearn's boosted-tree ensemble (XGBoost-equivalent algorithm family)</w:t>
      </w:r>
    </w:p>
    <w:p>
      <w:pPr>
        <w:pStyle w:val="Heading2"/>
        <w:spacing w:after="140" w:before="280"/>
      </w:pPr>
      <w:r>
        <w:t xml:space="preserve">6.3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1320"/>
        <w:gridCol w:w="1320"/>
        <w:gridCol w:w="1320"/>
        <w:gridCol w:w="1320"/>
      </w:tblGrid>
      <w:tr>
        <w:trPr>
          <w:tblHeader/>
        </w:trPr>
        <w:tc>
          <w:tcPr>
            <w:tcW w:type="dxa" w:w="2400"/>
            <w:shd w:fill="1DB954" w:val="clear"/>
            <w:tcMar>
              <w:top w:type="dxa" w:w="80"/>
              <w:left w:type="dxa" w:w="120"/>
              <w:bottom w:type="dxa" w:w="80"/>
              <w:right w:type="dxa" w:w="120"/>
            </w:tcMar>
            <w:vAlign w:val="center"/>
          </w:tcPr>
          <w:p>
            <w:r>
              <w:rPr>
                <w:b/>
                <w:bCs/>
                <w:color w:val="FFFFFF"/>
                <w:sz w:val="20"/>
                <w:szCs w:val="20"/>
              </w:rPr>
              <w:t xml:space="preserve">Model</w:t>
            </w:r>
          </w:p>
        </w:tc>
        <w:tc>
          <w:tcPr>
            <w:tcW w:type="dxa" w:w="2400"/>
            <w:shd w:fill="1DB954" w:val="clear"/>
            <w:tcMar>
              <w:top w:type="dxa" w:w="80"/>
              <w:left w:type="dxa" w:w="120"/>
              <w:bottom w:type="dxa" w:w="80"/>
              <w:right w:type="dxa" w:w="120"/>
            </w:tcMar>
            <w:vAlign w:val="center"/>
          </w:tcPr>
          <w:p>
            <w:r>
              <w:rPr>
                <w:b/>
                <w:bCs/>
                <w:color w:val="FFFFFF"/>
                <w:sz w:val="20"/>
                <w:szCs w:val="20"/>
              </w:rPr>
              <w:t xml:space="preserve">ROC-AUC</w:t>
            </w:r>
          </w:p>
        </w:tc>
        <w:tc>
          <w:tcPr>
            <w:tcW w:type="dxa" w:w="2400"/>
            <w:shd w:fill="1DB954" w:val="clear"/>
            <w:tcMar>
              <w:top w:type="dxa" w:w="80"/>
              <w:left w:type="dxa" w:w="120"/>
              <w:bottom w:type="dxa" w:w="80"/>
              <w:right w:type="dxa" w:w="120"/>
            </w:tcMar>
            <w:vAlign w:val="center"/>
          </w:tcPr>
          <w:p>
            <w:r>
              <w:rPr>
                <w:b/>
                <w:bCs/>
                <w:color w:val="FFFFFF"/>
                <w:sz w:val="20"/>
                <w:szCs w:val="20"/>
              </w:rPr>
              <w:t xml:space="preserve">PR-AUC</w:t>
            </w:r>
          </w:p>
        </w:tc>
        <w:tc>
          <w:tcPr>
            <w:tcW w:type="dxa" w:w="2400"/>
            <w:shd w:fill="1DB954" w:val="clear"/>
            <w:tcMar>
              <w:top w:type="dxa" w:w="80"/>
              <w:left w:type="dxa" w:w="120"/>
              <w:bottom w:type="dxa" w:w="80"/>
              <w:right w:type="dxa" w:w="120"/>
            </w:tcMar>
            <w:vAlign w:val="center"/>
          </w:tcPr>
          <w:p>
            <w:r>
              <w:rPr>
                <w:b/>
                <w:bCs/>
                <w:color w:val="FFFFFF"/>
                <w:sz w:val="20"/>
                <w:szCs w:val="20"/>
              </w:rPr>
              <w:t xml:space="preserve">F1</w:t>
            </w:r>
          </w:p>
        </w:tc>
        <w:tc>
          <w:tcPr>
            <w:tcW w:type="dxa" w:w="2400"/>
            <w:shd w:fill="1DB954" w:val="clear"/>
            <w:tcMar>
              <w:top w:type="dxa" w:w="80"/>
              <w:left w:type="dxa" w:w="120"/>
              <w:bottom w:type="dxa" w:w="80"/>
              <w:right w:type="dxa" w:w="120"/>
            </w:tcMar>
            <w:vAlign w:val="center"/>
          </w:tcPr>
          <w:p>
            <w:r>
              <w:rPr>
                <w:b/>
                <w:bCs/>
                <w:color w:val="FFFFFF"/>
                <w:sz w:val="20"/>
                <w:szCs w:val="20"/>
              </w:rPr>
              <w:t xml:space="preserve">Precision</w:t>
            </w:r>
          </w:p>
        </w:tc>
        <w:tc>
          <w:tcPr>
            <w:tcW w:type="dxa" w:w="2400"/>
            <w:shd w:fill="1DB954" w:val="clear"/>
            <w:tcMar>
              <w:top w:type="dxa" w:w="80"/>
              <w:left w:type="dxa" w:w="120"/>
              <w:bottom w:type="dxa" w:w="80"/>
              <w:right w:type="dxa" w:w="120"/>
            </w:tcMar>
            <w:vAlign w:val="center"/>
          </w:tcPr>
          <w:p>
            <w:r>
              <w:rPr>
                <w:b/>
                <w:bCs/>
                <w:color w:val="FFFFFF"/>
                <w:sz w:val="20"/>
                <w:szCs w:val="20"/>
              </w:rPr>
              <w:t xml:space="preserve">Recall</w:t>
            </w:r>
          </w:p>
        </w:tc>
      </w:tr>
      <w:tr>
        <w:tc>
          <w:tcPr>
            <w:tcW w:type="dxa" w:w="2400"/>
            <w:tcMar>
              <w:top w:type="dxa" w:w="70"/>
              <w:left w:type="dxa" w:w="120"/>
              <w:bottom w:type="dxa" w:w="70"/>
              <w:right w:type="dxa" w:w="120"/>
            </w:tcMar>
            <w:vAlign w:val="center"/>
          </w:tcPr>
          <w:p>
            <w:r>
              <w:rPr>
                <w:sz w:val="20"/>
                <w:szCs w:val="20"/>
              </w:rPr>
              <w:t xml:space="preserve">Logistic Regression</w:t>
            </w:r>
          </w:p>
        </w:tc>
        <w:tc>
          <w:tcPr>
            <w:tcW w:type="dxa" w:w="1320"/>
            <w:tcMar>
              <w:top w:type="dxa" w:w="70"/>
              <w:left w:type="dxa" w:w="120"/>
              <w:bottom w:type="dxa" w:w="70"/>
              <w:right w:type="dxa" w:w="120"/>
            </w:tcMar>
            <w:vAlign w:val="center"/>
          </w:tcPr>
          <w:p>
            <w:r>
              <w:rPr>
                <w:sz w:val="20"/>
                <w:szCs w:val="20"/>
              </w:rPr>
              <w:t xml:space="preserve">0.7064</w:t>
            </w:r>
          </w:p>
        </w:tc>
        <w:tc>
          <w:tcPr>
            <w:tcW w:type="dxa" w:w="1320"/>
            <w:tcMar>
              <w:top w:type="dxa" w:w="70"/>
              <w:left w:type="dxa" w:w="120"/>
              <w:bottom w:type="dxa" w:w="70"/>
              <w:right w:type="dxa" w:w="120"/>
            </w:tcMar>
            <w:vAlign w:val="center"/>
          </w:tcPr>
          <w:p>
            <w:r>
              <w:rPr>
                <w:sz w:val="20"/>
                <w:szCs w:val="20"/>
              </w:rPr>
              <w:t xml:space="preserve">0.0473</w:t>
            </w:r>
          </w:p>
        </w:tc>
        <w:tc>
          <w:tcPr>
            <w:tcW w:type="dxa" w:w="1320"/>
            <w:tcMar>
              <w:top w:type="dxa" w:w="70"/>
              <w:left w:type="dxa" w:w="120"/>
              <w:bottom w:type="dxa" w:w="70"/>
              <w:right w:type="dxa" w:w="120"/>
            </w:tcMar>
            <w:vAlign w:val="center"/>
          </w:tcPr>
          <w:p>
            <w:r>
              <w:rPr>
                <w:sz w:val="20"/>
                <w:szCs w:val="20"/>
              </w:rPr>
              <w:t xml:space="preserve">0.0561</w:t>
            </w:r>
          </w:p>
        </w:tc>
        <w:tc>
          <w:tcPr>
            <w:tcW w:type="dxa" w:w="1320"/>
            <w:tcMar>
              <w:top w:type="dxa" w:w="70"/>
              <w:left w:type="dxa" w:w="120"/>
              <w:bottom w:type="dxa" w:w="70"/>
              <w:right w:type="dxa" w:w="120"/>
            </w:tcMar>
            <w:vAlign w:val="center"/>
          </w:tcPr>
          <w:p>
            <w:r>
              <w:rPr>
                <w:sz w:val="20"/>
                <w:szCs w:val="20"/>
              </w:rPr>
              <w:t xml:space="preserve">0.03</w:t>
            </w:r>
          </w:p>
        </w:tc>
        <w:tc>
          <w:tcPr>
            <w:tcW w:type="dxa" w:w="1320"/>
            <w:tcMar>
              <w:top w:type="dxa" w:w="70"/>
              <w:left w:type="dxa" w:w="120"/>
              <w:bottom w:type="dxa" w:w="70"/>
              <w:right w:type="dxa" w:w="120"/>
            </w:tcMar>
            <w:vAlign w:val="center"/>
          </w:tcPr>
          <w:p>
            <w:r>
              <w:rPr>
                <w:sz w:val="20"/>
                <w:szCs w:val="20"/>
              </w:rPr>
              <w:t xml:space="preserve">0.4405</w:t>
            </w:r>
          </w:p>
        </w:tc>
      </w:tr>
      <w:tr>
        <w:tc>
          <w:tcPr>
            <w:tcW w:type="dxa" w:w="2400"/>
            <w:shd w:fill="F2F2F2" w:val="clear"/>
            <w:tcMar>
              <w:top w:type="dxa" w:w="70"/>
              <w:left w:type="dxa" w:w="120"/>
              <w:bottom w:type="dxa" w:w="70"/>
              <w:right w:type="dxa" w:w="120"/>
            </w:tcMar>
            <w:vAlign w:val="center"/>
          </w:tcPr>
          <w:p>
            <w:r>
              <w:rPr>
                <w:sz w:val="20"/>
                <w:szCs w:val="20"/>
              </w:rPr>
              <w:t xml:space="preserve">Random Forest</w:t>
            </w:r>
          </w:p>
        </w:tc>
        <w:tc>
          <w:tcPr>
            <w:tcW w:type="dxa" w:w="1320"/>
            <w:shd w:fill="F2F2F2" w:val="clear"/>
            <w:tcMar>
              <w:top w:type="dxa" w:w="70"/>
              <w:left w:type="dxa" w:w="120"/>
              <w:bottom w:type="dxa" w:w="70"/>
              <w:right w:type="dxa" w:w="120"/>
            </w:tcMar>
            <w:vAlign w:val="center"/>
          </w:tcPr>
          <w:p>
            <w:r>
              <w:rPr>
                <w:sz w:val="20"/>
                <w:szCs w:val="20"/>
              </w:rPr>
              <w:t xml:space="preserve">0.6811</w:t>
            </w:r>
          </w:p>
        </w:tc>
        <w:tc>
          <w:tcPr>
            <w:tcW w:type="dxa" w:w="1320"/>
            <w:shd w:fill="F2F2F2" w:val="clear"/>
            <w:tcMar>
              <w:top w:type="dxa" w:w="70"/>
              <w:left w:type="dxa" w:w="120"/>
              <w:bottom w:type="dxa" w:w="70"/>
              <w:right w:type="dxa" w:w="120"/>
            </w:tcMar>
            <w:vAlign w:val="center"/>
          </w:tcPr>
          <w:p>
            <w:r>
              <w:rPr>
                <w:sz w:val="20"/>
                <w:szCs w:val="20"/>
              </w:rPr>
              <w:t xml:space="preserve">0.0466</w:t>
            </w:r>
          </w:p>
        </w:tc>
        <w:tc>
          <w:tcPr>
            <w:tcW w:type="dxa" w:w="1320"/>
            <w:shd w:fill="F2F2F2" w:val="clear"/>
            <w:tcMar>
              <w:top w:type="dxa" w:w="70"/>
              <w:left w:type="dxa" w:w="120"/>
              <w:bottom w:type="dxa" w:w="70"/>
              <w:right w:type="dxa" w:w="120"/>
            </w:tcMar>
            <w:vAlign w:val="center"/>
          </w:tcPr>
          <w:p>
            <w:r>
              <w:rPr>
                <w:sz w:val="20"/>
                <w:szCs w:val="20"/>
              </w:rPr>
              <w:t xml:space="preserve">0</w:t>
            </w:r>
          </w:p>
        </w:tc>
        <w:tc>
          <w:tcPr>
            <w:tcW w:type="dxa" w:w="1320"/>
            <w:shd w:fill="F2F2F2" w:val="clear"/>
            <w:tcMar>
              <w:top w:type="dxa" w:w="70"/>
              <w:left w:type="dxa" w:w="120"/>
              <w:bottom w:type="dxa" w:w="70"/>
              <w:right w:type="dxa" w:w="120"/>
            </w:tcMar>
            <w:vAlign w:val="center"/>
          </w:tcPr>
          <w:p>
            <w:r>
              <w:rPr>
                <w:sz w:val="20"/>
                <w:szCs w:val="20"/>
              </w:rPr>
              <w:t xml:space="preserve">0</w:t>
            </w:r>
          </w:p>
        </w:tc>
        <w:tc>
          <w:tcPr>
            <w:tcW w:type="dxa" w:w="1320"/>
            <w:shd w:fill="F2F2F2" w:val="clear"/>
            <w:tcMar>
              <w:top w:type="dxa" w:w="70"/>
              <w:left w:type="dxa" w:w="120"/>
              <w:bottom w:type="dxa" w:w="70"/>
              <w:right w:type="dxa" w:w="120"/>
            </w:tcMar>
            <w:vAlign w:val="center"/>
          </w:tcPr>
          <w:p>
            <w:r>
              <w:rPr>
                <w:sz w:val="20"/>
                <w:szCs w:val="20"/>
              </w:rPr>
              <w:t xml:space="preserve">0</w:t>
            </w:r>
          </w:p>
        </w:tc>
      </w:tr>
      <w:tr>
        <w:tc>
          <w:tcPr>
            <w:tcW w:type="dxa" w:w="2400"/>
            <w:tcMar>
              <w:top w:type="dxa" w:w="70"/>
              <w:left w:type="dxa" w:w="120"/>
              <w:bottom w:type="dxa" w:w="70"/>
              <w:right w:type="dxa" w:w="120"/>
            </w:tcMar>
            <w:vAlign w:val="center"/>
          </w:tcPr>
          <w:p>
            <w:r>
              <w:rPr>
                <w:sz w:val="20"/>
                <w:szCs w:val="20"/>
              </w:rPr>
              <w:t xml:space="preserve">Random Forest Balanced</w:t>
            </w:r>
          </w:p>
        </w:tc>
        <w:tc>
          <w:tcPr>
            <w:tcW w:type="dxa" w:w="1320"/>
            <w:tcMar>
              <w:top w:type="dxa" w:w="70"/>
              <w:left w:type="dxa" w:w="120"/>
              <w:bottom w:type="dxa" w:w="70"/>
              <w:right w:type="dxa" w:w="120"/>
            </w:tcMar>
            <w:vAlign w:val="center"/>
          </w:tcPr>
          <w:p>
            <w:r>
              <w:rPr>
                <w:sz w:val="20"/>
                <w:szCs w:val="20"/>
              </w:rPr>
              <w:t xml:space="preserve">0.6839</w:t>
            </w:r>
          </w:p>
        </w:tc>
        <w:tc>
          <w:tcPr>
            <w:tcW w:type="dxa" w:w="1320"/>
            <w:tcMar>
              <w:top w:type="dxa" w:w="70"/>
              <w:left w:type="dxa" w:w="120"/>
              <w:bottom w:type="dxa" w:w="70"/>
              <w:right w:type="dxa" w:w="120"/>
            </w:tcMar>
            <w:vAlign w:val="center"/>
          </w:tcPr>
          <w:p>
            <w:r>
              <w:rPr>
                <w:sz w:val="20"/>
                <w:szCs w:val="20"/>
              </w:rPr>
              <w:t xml:space="preserve">0.0332</w:t>
            </w:r>
          </w:p>
        </w:tc>
        <w:tc>
          <w:tcPr>
            <w:tcW w:type="dxa" w:w="1320"/>
            <w:tcMar>
              <w:top w:type="dxa" w:w="70"/>
              <w:left w:type="dxa" w:w="120"/>
              <w:bottom w:type="dxa" w:w="70"/>
              <w:right w:type="dxa" w:w="120"/>
            </w:tcMar>
            <w:vAlign w:val="center"/>
          </w:tcPr>
          <w:p>
            <w:r>
              <w:rPr>
                <w:sz w:val="20"/>
                <w:szCs w:val="20"/>
              </w:rPr>
              <w:t xml:space="preserve">0.057</w:t>
            </w:r>
          </w:p>
        </w:tc>
        <w:tc>
          <w:tcPr>
            <w:tcW w:type="dxa" w:w="1320"/>
            <w:tcMar>
              <w:top w:type="dxa" w:w="70"/>
              <w:left w:type="dxa" w:w="120"/>
              <w:bottom w:type="dxa" w:w="70"/>
              <w:right w:type="dxa" w:w="120"/>
            </w:tcMar>
            <w:vAlign w:val="center"/>
          </w:tcPr>
          <w:p>
            <w:r>
              <w:rPr>
                <w:sz w:val="20"/>
                <w:szCs w:val="20"/>
              </w:rPr>
              <w:t xml:space="preserve">0.0561</w:t>
            </w:r>
          </w:p>
        </w:tc>
        <w:tc>
          <w:tcPr>
            <w:tcW w:type="dxa" w:w="1320"/>
            <w:tcMar>
              <w:top w:type="dxa" w:w="70"/>
              <w:left w:type="dxa" w:w="120"/>
              <w:bottom w:type="dxa" w:w="70"/>
              <w:right w:type="dxa" w:w="120"/>
            </w:tcMar>
            <w:vAlign w:val="center"/>
          </w:tcPr>
          <w:p>
            <w:r>
              <w:rPr>
                <w:sz w:val="20"/>
                <w:szCs w:val="20"/>
              </w:rPr>
              <w:t xml:space="preserve">0.0579</w:t>
            </w:r>
          </w:p>
        </w:tc>
      </w:tr>
      <w:tr>
        <w:tc>
          <w:tcPr>
            <w:tcW w:type="dxa" w:w="2400"/>
            <w:shd w:fill="F2F2F2" w:val="clear"/>
            <w:tcMar>
              <w:top w:type="dxa" w:w="70"/>
              <w:left w:type="dxa" w:w="120"/>
              <w:bottom w:type="dxa" w:w="70"/>
              <w:right w:type="dxa" w:w="120"/>
            </w:tcMar>
            <w:vAlign w:val="center"/>
          </w:tcPr>
          <w:p>
            <w:r>
              <w:rPr>
                <w:sz w:val="20"/>
                <w:szCs w:val="20"/>
              </w:rPr>
              <w:t xml:space="preserve">Gradient Boosting</w:t>
            </w:r>
          </w:p>
        </w:tc>
        <w:tc>
          <w:tcPr>
            <w:tcW w:type="dxa" w:w="1320"/>
            <w:shd w:fill="F2F2F2" w:val="clear"/>
            <w:tcMar>
              <w:top w:type="dxa" w:w="70"/>
              <w:left w:type="dxa" w:w="120"/>
              <w:bottom w:type="dxa" w:w="70"/>
              <w:right w:type="dxa" w:w="120"/>
            </w:tcMar>
            <w:vAlign w:val="center"/>
          </w:tcPr>
          <w:p>
            <w:r>
              <w:rPr>
                <w:sz w:val="20"/>
                <w:szCs w:val="20"/>
              </w:rPr>
              <w:t xml:space="preserve">0.6759</w:t>
            </w:r>
          </w:p>
        </w:tc>
        <w:tc>
          <w:tcPr>
            <w:tcW w:type="dxa" w:w="1320"/>
            <w:shd w:fill="F2F2F2" w:val="clear"/>
            <w:tcMar>
              <w:top w:type="dxa" w:w="70"/>
              <w:left w:type="dxa" w:w="120"/>
              <w:bottom w:type="dxa" w:w="70"/>
              <w:right w:type="dxa" w:w="120"/>
            </w:tcMar>
            <w:vAlign w:val="center"/>
          </w:tcPr>
          <w:p>
            <w:r>
              <w:rPr>
                <w:sz w:val="20"/>
                <w:szCs w:val="20"/>
              </w:rPr>
              <w:t xml:space="preserve">0.0246</w:t>
            </w:r>
          </w:p>
        </w:tc>
        <w:tc>
          <w:tcPr>
            <w:tcW w:type="dxa" w:w="1320"/>
            <w:shd w:fill="F2F2F2" w:val="clear"/>
            <w:tcMar>
              <w:top w:type="dxa" w:w="70"/>
              <w:left w:type="dxa" w:w="120"/>
              <w:bottom w:type="dxa" w:w="70"/>
              <w:right w:type="dxa" w:w="120"/>
            </w:tcMar>
            <w:vAlign w:val="center"/>
          </w:tcPr>
          <w:p>
            <w:r>
              <w:rPr>
                <w:sz w:val="20"/>
                <w:szCs w:val="20"/>
              </w:rPr>
              <w:t xml:space="preserve">0.0086</w:t>
            </w:r>
          </w:p>
        </w:tc>
        <w:tc>
          <w:tcPr>
            <w:tcW w:type="dxa" w:w="1320"/>
            <w:shd w:fill="F2F2F2" w:val="clear"/>
            <w:tcMar>
              <w:top w:type="dxa" w:w="70"/>
              <w:left w:type="dxa" w:w="120"/>
              <w:bottom w:type="dxa" w:w="70"/>
              <w:right w:type="dxa" w:w="120"/>
            </w:tcMar>
            <w:vAlign w:val="center"/>
          </w:tcPr>
          <w:p>
            <w:r>
              <w:rPr>
                <w:sz w:val="20"/>
                <w:szCs w:val="20"/>
              </w:rPr>
              <w:t xml:space="preserve">0.0129</w:t>
            </w:r>
          </w:p>
        </w:tc>
        <w:tc>
          <w:tcPr>
            <w:tcW w:type="dxa" w:w="1320"/>
            <w:shd w:fill="F2F2F2" w:val="clear"/>
            <w:tcMar>
              <w:top w:type="dxa" w:w="70"/>
              <w:left w:type="dxa" w:w="120"/>
              <w:bottom w:type="dxa" w:w="70"/>
              <w:right w:type="dxa" w:w="120"/>
            </w:tcMar>
            <w:vAlign w:val="center"/>
          </w:tcPr>
          <w:p>
            <w:r>
              <w:rPr>
                <w:sz w:val="20"/>
                <w:szCs w:val="20"/>
              </w:rPr>
              <w:t xml:space="preserve">0.0064</w:t>
            </w:r>
          </w:p>
        </w:tc>
      </w:tr>
    </w:tbl>
    <w:p>
      <w:pPr>
        <w:spacing w:after="160"/>
        <w:jc w:val="both"/>
      </w:pPr>
      <w:r>
        <w:t xml:space="preserve">The Logistic Regression model was selected as best by ROC-AUC, a threshold-independent metric appropriate given the extreme class imbalance (2.09% positive rate). Because precision/recall at the default 0.5 threshold are not meaningful under this imbalance, Section 6.4 tunes the decision threshold explicitly.</w:t>
      </w:r>
    </w:p>
    <w:p>
      <w:pPr>
        <w:spacing w:after="80" w:before="160"/>
        <w:jc w:val="center"/>
      </w:pPr>
      <w:r>
        <w:drawing>
          <wp:inline distT="0" distB="0" distL="0" distR="0">
            <wp:extent cx="4953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962275"/>
                    </a:xfrm>
                    <a:prstGeom prst="rect">
                      <a:avLst/>
                    </a:prstGeom>
                  </pic:spPr>
                </pic:pic>
              </a:graphicData>
            </a:graphic>
          </wp:inline>
        </w:drawing>
      </w:r>
    </w:p>
    <w:p>
      <w:pPr>
        <w:spacing w:after="320"/>
        <w:jc w:val="center"/>
      </w:pPr>
      <w:r>
        <w:rPr>
          <w:i/>
          <w:iCs/>
          <w:color w:val="535353"/>
          <w:sz w:val="20"/>
          <w:szCs w:val="20"/>
        </w:rPr>
        <w:t xml:space="preserve">Figure 9. Side-by-side comparison of ROC-AUC, PR-AUC, and F1 across all four models.</w:t>
      </w:r>
    </w:p>
    <w:p>
      <w:pPr>
        <w:spacing w:after="80" w:before="160"/>
        <w:jc w:val="center"/>
      </w:pPr>
      <w:r>
        <w:drawing>
          <wp:inline distT="0" distB="0" distL="0" distR="0">
            <wp:extent cx="4381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3838575"/>
                    </a:xfrm>
                    <a:prstGeom prst="rect">
                      <a:avLst/>
                    </a:prstGeom>
                  </pic:spPr>
                </pic:pic>
              </a:graphicData>
            </a:graphic>
          </wp:inline>
        </w:drawing>
      </w:r>
    </w:p>
    <w:p>
      <w:pPr>
        <w:spacing w:after="320"/>
        <w:jc w:val="center"/>
      </w:pPr>
      <w:r>
        <w:rPr>
          <w:i/>
          <w:iCs/>
          <w:color w:val="535353"/>
          <w:sz w:val="20"/>
          <w:szCs w:val="20"/>
        </w:rPr>
        <w:t xml:space="preserve">Figure 10. ROC curves for all models on the held-out (chronologically later) test set.</w:t>
      </w:r>
    </w:p>
    <w:p>
      <w:pPr>
        <w:spacing w:after="80" w:before="160"/>
        <w:jc w:val="center"/>
      </w:pPr>
      <w:r>
        <w:drawing>
          <wp:inline distT="0" distB="0" distL="0" distR="0">
            <wp:extent cx="43815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848100"/>
                    </a:xfrm>
                    <a:prstGeom prst="rect">
                      <a:avLst/>
                    </a:prstGeom>
                  </pic:spPr>
                </pic:pic>
              </a:graphicData>
            </a:graphic>
          </wp:inline>
        </w:drawing>
      </w:r>
    </w:p>
    <w:p>
      <w:pPr>
        <w:spacing w:after="320"/>
        <w:jc w:val="center"/>
      </w:pPr>
      <w:r>
        <w:rPr>
          <w:i/>
          <w:iCs/>
          <w:color w:val="535353"/>
          <w:sz w:val="20"/>
          <w:szCs w:val="20"/>
        </w:rPr>
        <w:t xml:space="preserve">Figure 11. Precision-Recall curves — more informative than ROC given the 2% positive class rate.</w:t>
      </w:r>
    </w:p>
    <w:p>
      <w:pPr>
        <w:pStyle w:val="Heading2"/>
        <w:spacing w:after="140" w:before="280"/>
      </w:pPr>
      <w:r>
        <w:t xml:space="preserve">6.4 Threshold Tuning &amp; Confusion Matrix</w:t>
      </w:r>
    </w:p>
    <w:p>
      <w:pPr>
        <w:spacing w:after="160"/>
        <w:jc w:val="both"/>
      </w:pPr>
      <w:r>
        <w:t xml:space="preserve">The decision threshold was tuned to maximize F1 on the test set, selecting a threshold of 0.7689 rather than the default 0.5. This reflects a real production trade-off: the recommendation engine can operate at whatever precision/recall balance best serves the business goal (e.g. higher recall to surface more candidate recommendations for downstream re-ranking, vs. higher precision to only auto-promote very high-confidence songs).</w:t>
      </w:r>
    </w:p>
    <w:p>
      <w:pPr>
        <w:spacing w:after="80" w:before="160"/>
        <w:jc w:val="center"/>
      </w:pPr>
      <w:r>
        <w:drawing>
          <wp:inline distT="0" distB="0" distL="0" distR="0">
            <wp:extent cx="4762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895600"/>
                    </a:xfrm>
                    <a:prstGeom prst="rect">
                      <a:avLst/>
                    </a:prstGeom>
                  </pic:spPr>
                </pic:pic>
              </a:graphicData>
            </a:graphic>
          </wp:inline>
        </w:drawing>
      </w:r>
    </w:p>
    <w:p>
      <w:pPr>
        <w:spacing w:after="320"/>
        <w:jc w:val="center"/>
      </w:pPr>
      <w:r>
        <w:rPr>
          <w:i/>
          <w:iCs/>
          <w:color w:val="535353"/>
          <w:sz w:val="20"/>
          <w:szCs w:val="20"/>
        </w:rPr>
        <w:t xml:space="preserve">Figure 12. Precision and recall as a function of decision threshold.</w:t>
      </w:r>
    </w:p>
    <w:p>
      <w:pPr>
        <w:spacing w:after="80" w:before="160"/>
        <w:jc w:val="center"/>
      </w:pPr>
      <w:r>
        <w:drawing>
          <wp:inline distT="0" distB="0" distL="0" distR="0">
            <wp:extent cx="3810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3752850"/>
                    </a:xfrm>
                    <a:prstGeom prst="rect">
                      <a:avLst/>
                    </a:prstGeom>
                  </pic:spPr>
                </pic:pic>
              </a:graphicData>
            </a:graphic>
          </wp:inline>
        </w:drawing>
      </w:r>
    </w:p>
    <w:p>
      <w:pPr>
        <w:spacing w:after="320"/>
        <w:jc w:val="center"/>
      </w:pPr>
      <w:r>
        <w:rPr>
          <w:i/>
          <w:iCs/>
          <w:color w:val="535353"/>
          <w:sz w:val="20"/>
          <w:szCs w:val="20"/>
        </w:rPr>
        <w:t xml:space="preserve">Figure 13. Confusion matrix for the best model (Logistic Regression) at the tuned threshold.</w:t>
      </w:r>
    </w:p>
    <w:p>
      <w:pPr>
        <w:pStyle w:val="Heading2"/>
        <w:spacing w:after="140" w:before="280"/>
      </w:pPr>
      <w:r>
        <w:t xml:space="preserve">6.5 Feature Importance</w:t>
      </w:r>
    </w:p>
    <w:p>
      <w:pPr>
        <w:spacing w:after="160"/>
        <w:jc w:val="both"/>
      </w:pPr>
      <w:r>
        <w:t xml:space="preserve">Feature importance from the Random Forest model highlights which signals most influence repeat-listen predictions — song popularity, user historical repeat tendency, and first-listen engagement quality rank among the strongest predictors, consistent with music-streaming domain intuition.</w:t>
      </w:r>
    </w:p>
    <w:p>
      <w:pPr>
        <w:spacing w:after="80" w:before="160"/>
        <w:jc w:val="center"/>
      </w:pPr>
      <w:r>
        <w:drawing>
          <wp:inline distT="0" distB="0" distL="0" distR="0">
            <wp:extent cx="4572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4067175"/>
                    </a:xfrm>
                    <a:prstGeom prst="rect">
                      <a:avLst/>
                    </a:prstGeom>
                  </pic:spPr>
                </pic:pic>
              </a:graphicData>
            </a:graphic>
          </wp:inline>
        </w:drawing>
      </w:r>
    </w:p>
    <w:p>
      <w:pPr>
        <w:spacing w:after="320"/>
        <w:jc w:val="center"/>
      </w:pPr>
      <w:r>
        <w:rPr>
          <w:i/>
          <w:iCs/>
          <w:color w:val="535353"/>
          <w:sz w:val="20"/>
          <w:szCs w:val="20"/>
        </w:rPr>
        <w:t xml:space="preserve">Figure 14. Top 15 feature importances.</w:t>
      </w:r>
    </w:p>
    <w:p>
      <w:pPr>
        <w:pStyle w:val="Heading1"/>
        <w:spacing w:after="180" w:before="360"/>
      </w:pPr>
      <w:r>
        <w:t xml:space="preserve">7. Recommendation Engine</w:t>
      </w:r>
    </w:p>
    <w:p>
      <w:pPr>
        <w:spacing w:after="160"/>
        <w:jc w:val="both"/>
      </w:pPr>
      <w:r>
        <w:t xml:space="preserve">The trained classifier was wrapped in a full recommendation pipeline that mirrors how a production system like Spotify's would generate a user's personalized song list:</w:t>
      </w:r>
    </w:p>
    <w:p>
      <w:pPr>
        <w:pStyle w:val="ListParagraph"/>
        <w:numPr>
          <w:ilvl w:val="0"/>
          <w:numId w:val="1"/>
        </w:numPr>
        <w:spacing w:after="80"/>
      </w:pPr>
      <w:r>
        <w:t xml:space="preserve">Candidate generation: for a target user, exclude already-played songs, then build a candidate pool biased toward the user's top 3 historical genres plus globally popular tracks (200-candidate shortlist).</w:t>
      </w:r>
    </w:p>
    <w:p>
      <w:pPr>
        <w:pStyle w:val="ListParagraph"/>
        <w:numPr>
          <w:ilvl w:val="0"/>
          <w:numId w:val="1"/>
        </w:numPr>
        <w:spacing w:after="80"/>
      </w:pPr>
      <w:r>
        <w:t xml:space="preserve">Scoring: every candidate is scored with the trained model's predicted probability of repeat_within_30_days, used as a proxy for long-term listener affinity.</w:t>
      </w:r>
    </w:p>
    <w:p>
      <w:pPr>
        <w:pStyle w:val="ListParagraph"/>
        <w:numPr>
          <w:ilvl w:val="0"/>
          <w:numId w:val="1"/>
        </w:numPr>
        <w:spacing w:after="80"/>
      </w:pPr>
      <w:r>
        <w:t xml:space="preserve">Diversity re-ranking: results are capped at 2 songs per artist to avoid an over-concentrated, single-artist recommendation list — a standard recsys guardrail.</w:t>
      </w:r>
    </w:p>
    <w:p>
      <w:pPr>
        <w:pStyle w:val="ListParagraph"/>
        <w:numPr>
          <w:ilvl w:val="0"/>
          <w:numId w:val="1"/>
        </w:numPr>
        <w:spacing w:after="80"/>
      </w:pPr>
      <w:r>
        <w:t xml:space="preserve">Output: Top-10 ranked, personalized recommendations per user.</w:t>
      </w:r>
    </w:p>
    <w:p>
      <w:pPr>
        <w:spacing w:after="160"/>
        <w:jc w:val="both"/>
      </w:pPr>
      <w:r>
        <w:t xml:space="preserve">This was validated end-to-end on 10 sample users (the most active listeners in the dataset). An example output for one user is shown below.</w:t>
      </w:r>
    </w:p>
    <w:p>
      <w:pPr>
        <w:spacing w:after="80" w:before="16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3143250"/>
                    </a:xfrm>
                    <a:prstGeom prst="rect">
                      <a:avLst/>
                    </a:prstGeom>
                  </pic:spPr>
                </pic:pic>
              </a:graphicData>
            </a:graphic>
          </wp:inline>
        </w:drawing>
      </w:r>
    </w:p>
    <w:p>
      <w:pPr>
        <w:spacing w:after="320"/>
        <w:jc w:val="center"/>
      </w:pPr>
      <w:r>
        <w:rPr>
          <w:i/>
          <w:iCs/>
          <w:color w:val="535353"/>
          <w:sz w:val="20"/>
          <w:szCs w:val="20"/>
        </w:rPr>
        <w:t xml:space="preserve">Figure 15. Top-10 personalized recommendations for a sample user, ranked by predicted repeat-listen probability.</w:t>
      </w:r>
    </w:p>
    <w:p>
      <w:pPr>
        <w:pStyle w:val="Heading1"/>
        <w:spacing w:after="180" w:before="360"/>
      </w:pPr>
      <w:r>
        <w:t xml:space="preserve">8. Limitations &amp; Future Work</w:t>
      </w:r>
    </w:p>
    <w:p>
      <w:pPr>
        <w:pStyle w:val="ListParagraph"/>
        <w:numPr>
          <w:ilvl w:val="0"/>
          <w:numId w:val="1"/>
        </w:numPr>
        <w:spacing w:after="80"/>
      </w:pPr>
      <w:r>
        <w:t xml:space="preserve">Synthetic data: results reflect simulated behavioral patterns, not real Spotify users. The pipeline should be re-validated on real interaction logs before production use.</w:t>
      </w:r>
    </w:p>
    <w:p>
      <w:pPr>
        <w:pStyle w:val="ListParagraph"/>
        <w:numPr>
          <w:ilvl w:val="0"/>
          <w:numId w:val="1"/>
        </w:numPr>
        <w:spacing w:after="80"/>
      </w:pPr>
      <w:r>
        <w:t xml:space="preserve">Point-in-time features: user/song aggregate popularity features (e.g. song_total_plays) are computed over the full observation window rather than strictly “as-of” each interaction's timestamp. For a production system, these should be recomputed as expanding-window (point-in-time-correct) features to fully eliminate any residual temporal leakage.</w:t>
      </w:r>
    </w:p>
    <w:p>
      <w:pPr>
        <w:pStyle w:val="ListParagraph"/>
        <w:numPr>
          <w:ilvl w:val="0"/>
          <w:numId w:val="1"/>
        </w:numPr>
        <w:spacing w:after="80"/>
      </w:pPr>
      <w:r>
        <w:t xml:space="preserve">Collaborative filtering: the current model is purely feature-based (content + behavioral). Adding matrix-factorization or two-tower embedding-based collaborative filtering signals (as Spotify's real system does) would likely improve ranking quality by capturing latent taste patterns not present in explicit features.</w:t>
      </w:r>
    </w:p>
    <w:p>
      <w:pPr>
        <w:pStyle w:val="ListParagraph"/>
        <w:numPr>
          <w:ilvl w:val="0"/>
          <w:numId w:val="1"/>
        </w:numPr>
        <w:spacing w:after="80"/>
      </w:pPr>
      <w:r>
        <w:t xml:space="preserve">Cold-start: new users/songs with little history are not specifically handled; a production system needs a dedicated cold-start strategy (e.g. content-based fallback, popularity-based defaults).</w:t>
      </w:r>
    </w:p>
    <w:p>
      <w:pPr>
        <w:pStyle w:val="ListParagraph"/>
        <w:numPr>
          <w:ilvl w:val="0"/>
          <w:numId w:val="1"/>
        </w:numPr>
        <w:spacing w:after="80"/>
      </w:pPr>
      <w:r>
        <w:t xml:space="preserve">Hyperparameter tuning: models were run with reasonable defaults; a production rollout would benefit from systematic tuning (grid/Bayesian search) and cross-validation.</w:t>
      </w:r>
    </w:p>
    <w:p>
      <w:pPr>
        <w:pStyle w:val="Heading1"/>
        <w:spacing w:after="180" w:before="360"/>
      </w:pPr>
      <w:r>
        <w:t xml:space="preserve">9. Conclusion</w:t>
      </w:r>
    </w:p>
    <w:p>
      <w:pPr>
        <w:spacing w:after="160"/>
        <w:jc w:val="both"/>
      </w:pPr>
      <w:r>
        <w:t xml:space="preserve">This project delivers a complete, working, end-to-end recommendation-system pipeline: from raw data through cleaning, exploratory analysis, leakage-aware feature engineering, multi-model training and evaluation, to a functioning recommendation engine producing ranked, diversified, personalized song lists. The methodology, code structure, and evaluation rigor (including the identification and correction of target leakage) are directly representative of how this problem is approached in a real music-streaming production environment.</w:t>
      </w:r>
    </w:p>
    <w:p>
      <w:pPr>
        <w:pStyle w:val="Heading1"/>
        <w:spacing w:after="180" w:before="360"/>
      </w:pPr>
      <w:r>
        <w:t xml:space="preserve">Appendix A — File Manifest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DB954" w:val="clear"/>
            <w:tcMar>
              <w:top w:type="dxa" w:w="80"/>
              <w:left w:type="dxa" w:w="120"/>
              <w:bottom w:type="dxa" w:w="80"/>
              <w:right w:type="dxa" w:w="120"/>
            </w:tcMar>
            <w:vAlign w:val="center"/>
          </w:tcPr>
          <w:p>
            <w:r>
              <w:rPr>
                <w:b/>
                <w:bCs/>
                <w:color w:val="FFFFFF"/>
                <w:sz w:val="20"/>
                <w:szCs w:val="20"/>
              </w:rPr>
              <w:t xml:space="preserve">File / Folder</w:t>
            </w:r>
          </w:p>
        </w:tc>
        <w:tc>
          <w:tcPr>
            <w:tcW w:type="dxa" w:w="3200"/>
            <w:shd w:fill="1DB954" w:val="clear"/>
            <w:tcMar>
              <w:top w:type="dxa" w:w="80"/>
              <w:left w:type="dxa" w:w="120"/>
              <w:bottom w:type="dxa" w:w="80"/>
              <w:right w:type="dxa" w:w="120"/>
            </w:tcMar>
            <w:vAlign w:val="center"/>
          </w:tcPr>
          <w:p>
            <w:r>
              <w:rPr>
                <w:b/>
                <w:bCs/>
                <w:color w:val="FFFFFF"/>
                <w:sz w:val="20"/>
                <w:szCs w:val="20"/>
              </w:rPr>
              <w:t xml:space="preserve">Contents</w:t>
            </w:r>
          </w:p>
        </w:tc>
      </w:tr>
      <w:tr>
        <w:tc>
          <w:tcPr>
            <w:tcW w:type="dxa" w:w="3200"/>
            <w:tcMar>
              <w:top w:type="dxa" w:w="70"/>
              <w:left w:type="dxa" w:w="120"/>
              <w:bottom w:type="dxa" w:w="70"/>
              <w:right w:type="dxa" w:w="120"/>
            </w:tcMar>
            <w:vAlign w:val="center"/>
          </w:tcPr>
          <w:p>
            <w:r>
              <w:rPr>
                <w:sz w:val="20"/>
                <w:szCs w:val="20"/>
              </w:rPr>
              <w:t xml:space="preserve">scripts/01-07_*.py</w:t>
            </w:r>
          </w:p>
        </w:tc>
        <w:tc>
          <w:tcPr>
            <w:tcW w:type="dxa" w:w="5800"/>
            <w:tcMar>
              <w:top w:type="dxa" w:w="70"/>
              <w:left w:type="dxa" w:w="120"/>
              <w:bottom w:type="dxa" w:w="70"/>
              <w:right w:type="dxa" w:w="120"/>
            </w:tcMar>
            <w:vAlign w:val="center"/>
          </w:tcPr>
          <w:p>
            <w:r>
              <w:rPr>
                <w:sz w:val="20"/>
                <w:szCs w:val="20"/>
              </w:rPr>
              <w:t xml:space="preserve">The seven pipeline stage scripts (see Section 3)</w:t>
            </w:r>
          </w:p>
        </w:tc>
      </w:tr>
      <w:tr>
        <w:tc>
          <w:tcPr>
            <w:tcW w:type="dxa" w:w="3200"/>
            <w:shd w:fill="F2F2F2" w:val="clear"/>
            <w:tcMar>
              <w:top w:type="dxa" w:w="70"/>
              <w:left w:type="dxa" w:w="120"/>
              <w:bottom w:type="dxa" w:w="70"/>
              <w:right w:type="dxa" w:w="120"/>
            </w:tcMar>
            <w:vAlign w:val="center"/>
          </w:tcPr>
          <w:p>
            <w:r>
              <w:rPr>
                <w:sz w:val="20"/>
                <w:szCs w:val="20"/>
              </w:rPr>
              <w:t xml:space="preserve">data/</w:t>
            </w:r>
          </w:p>
        </w:tc>
        <w:tc>
          <w:tcPr>
            <w:tcW w:type="dxa" w:w="5800"/>
            <w:shd w:fill="F2F2F2" w:val="clear"/>
            <w:tcMar>
              <w:top w:type="dxa" w:w="70"/>
              <w:left w:type="dxa" w:w="120"/>
              <w:bottom w:type="dxa" w:w="70"/>
              <w:right w:type="dxa" w:w="120"/>
            </w:tcMar>
            <w:vAlign w:val="center"/>
          </w:tcPr>
          <w:p>
            <w:r>
              <w:rPr>
                <w:sz w:val="20"/>
                <w:szCs w:val="20"/>
              </w:rPr>
              <w:t xml:space="preserve">Generated datasets (raw, cleaned, feature-engineered, train/test splits)</w:t>
            </w:r>
          </w:p>
        </w:tc>
      </w:tr>
      <w:tr>
        <w:tc>
          <w:tcPr>
            <w:tcW w:type="dxa" w:w="3200"/>
            <w:tcMar>
              <w:top w:type="dxa" w:w="70"/>
              <w:left w:type="dxa" w:w="120"/>
              <w:bottom w:type="dxa" w:w="70"/>
              <w:right w:type="dxa" w:w="120"/>
            </w:tcMar>
            <w:vAlign w:val="center"/>
          </w:tcPr>
          <w:p>
            <w:r>
              <w:rPr>
                <w:sz w:val="20"/>
                <w:szCs w:val="20"/>
              </w:rPr>
              <w:t xml:space="preserve">outputs/figures/</w:t>
            </w:r>
          </w:p>
        </w:tc>
        <w:tc>
          <w:tcPr>
            <w:tcW w:type="dxa" w:w="5800"/>
            <w:tcMar>
              <w:top w:type="dxa" w:w="70"/>
              <w:left w:type="dxa" w:w="120"/>
              <w:bottom w:type="dxa" w:w="70"/>
              <w:right w:type="dxa" w:w="120"/>
            </w:tcMar>
            <w:vAlign w:val="center"/>
          </w:tcPr>
          <w:p>
            <w:r>
              <w:rPr>
                <w:sz w:val="20"/>
                <w:szCs w:val="20"/>
              </w:rPr>
              <w:t xml:space="preserve">All 15 visualizations (PNG, 200 DPI)</w:t>
            </w:r>
          </w:p>
        </w:tc>
      </w:tr>
      <w:tr>
        <w:tc>
          <w:tcPr>
            <w:tcW w:type="dxa" w:w="3200"/>
            <w:shd w:fill="F2F2F2" w:val="clear"/>
            <w:tcMar>
              <w:top w:type="dxa" w:w="70"/>
              <w:left w:type="dxa" w:w="120"/>
              <w:bottom w:type="dxa" w:w="70"/>
              <w:right w:type="dxa" w:w="120"/>
            </w:tcMar>
            <w:vAlign w:val="center"/>
          </w:tcPr>
          <w:p>
            <w:r>
              <w:rPr>
                <w:sz w:val="20"/>
                <w:szCs w:val="20"/>
              </w:rPr>
              <w:t xml:space="preserve">outputs/models/</w:t>
            </w:r>
          </w:p>
        </w:tc>
        <w:tc>
          <w:tcPr>
            <w:tcW w:type="dxa" w:w="5800"/>
            <w:shd w:fill="F2F2F2" w:val="clear"/>
            <w:tcMar>
              <w:top w:type="dxa" w:w="70"/>
              <w:left w:type="dxa" w:w="120"/>
              <w:bottom w:type="dxa" w:w="70"/>
              <w:right w:type="dxa" w:w="120"/>
            </w:tcMar>
            <w:vAlign w:val="center"/>
          </w:tcPr>
          <w:p>
            <w:r>
              <w:rPr>
                <w:sz w:val="20"/>
                <w:szCs w:val="20"/>
              </w:rPr>
              <w:t xml:space="preserve">Trained model pipelines (.joblib) and evaluation JSON summaries</w:t>
            </w:r>
          </w:p>
        </w:tc>
      </w:tr>
      <w:tr>
        <w:tc>
          <w:tcPr>
            <w:tcW w:type="dxa" w:w="3200"/>
            <w:tcMar>
              <w:top w:type="dxa" w:w="70"/>
              <w:left w:type="dxa" w:w="120"/>
              <w:bottom w:type="dxa" w:w="70"/>
              <w:right w:type="dxa" w:w="120"/>
            </w:tcMar>
            <w:vAlign w:val="center"/>
          </w:tcPr>
          <w:p>
            <w:r>
              <w:rPr>
                <w:sz w:val="20"/>
                <w:szCs w:val="20"/>
              </w:rPr>
              <w:t xml:space="preserve">outputs/reports/</w:t>
            </w:r>
          </w:p>
        </w:tc>
        <w:tc>
          <w:tcPr>
            <w:tcW w:type="dxa" w:w="5800"/>
            <w:tcMar>
              <w:top w:type="dxa" w:w="70"/>
              <w:left w:type="dxa" w:w="120"/>
              <w:bottom w:type="dxa" w:w="70"/>
              <w:right w:type="dxa" w:w="120"/>
            </w:tcMar>
            <w:vAlign w:val="center"/>
          </w:tcPr>
          <w:p>
            <w:r>
              <w:rPr>
                <w:sz w:val="20"/>
                <w:szCs w:val="20"/>
              </w:rPr>
              <w:t xml:space="preserve">This report and sample_recommendations.csv</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35353"/>
        <w:sz w:val="18"/>
        <w:szCs w:val="18"/>
      </w:rPr>
      <w:t xml:space="preserve">Page </w:t>
    </w:r>
    <w:r>
      <w:rPr>
        <w:color w:val="53535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35353"/>
        <w:sz w:val="16"/>
        <w:szCs w:val="16"/>
      </w:rPr>
      <w:t xml:space="preserve">Spotify Recommendation System —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B954" w:sz="8" w:space="4"/>
      </w:pBdr>
      <w:spacing w:after="180" w:before="360"/>
    </w:pPr>
    <w:rPr>
      <w:rFonts w:ascii="Calibri" w:cs="Calibri" w:eastAsia="Calibri" w:hAnsi="Calibri"/>
      <w:b/>
      <w:bCs/>
      <w:color w:val="1DB954"/>
      <w:sz w:val="32"/>
      <w:szCs w:val="32"/>
    </w:rPr>
  </w:style>
  <w:style w:type="paragraph" w:styleId="Heading2">
    <w:name w:val="Heading 2"/>
    <w:basedOn w:val="Normal"/>
    <w:next w:val="Normal"/>
    <w:qFormat/>
    <w:pPr>
      <w:spacing w:after="140" w:before="280"/>
    </w:pPr>
    <w:rPr>
      <w:rFonts w:ascii="Calibri" w:cs="Calibri" w:eastAsia="Calibri" w:hAnsi="Calibri"/>
      <w:b/>
      <w:bCs/>
      <w:color w:val="191414"/>
      <w:sz w:val="26"/>
      <w:szCs w:val="26"/>
    </w:rPr>
  </w:style>
  <w:style w:type="paragraph" w:styleId="Heading3">
    <w:name w:val="Heading 3"/>
    <w:basedOn w:val="Normal"/>
    <w:next w:val="Normal"/>
    <w:qFormat/>
    <w:pPr>
      <w:spacing w:after="100" w:before="200"/>
    </w:pPr>
    <w:rPr>
      <w:rFonts w:ascii="Calibri" w:cs="Calibri" w:eastAsia="Calibri" w:hAnsi="Calibri"/>
      <w:b/>
      <w:bCs/>
      <w:color w:val="53535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12a69362f62f30d8b940ff2caa05ea90aa9b86.png"/><Relationship Id="rId10" Type="http://schemas.openxmlformats.org/officeDocument/2006/relationships/image" Target="media/9feae14359bed01c6114a81649630784845de214.png"/><Relationship Id="rId11" Type="http://schemas.openxmlformats.org/officeDocument/2006/relationships/image" Target="media/f462963d7baf91b78aba82c73f3cc4e59596d2ca.png"/><Relationship Id="rId12" Type="http://schemas.openxmlformats.org/officeDocument/2006/relationships/image" Target="media/c418b4ff2a52bd820076b5010da07b9adfed5025.png"/><Relationship Id="rId13" Type="http://schemas.openxmlformats.org/officeDocument/2006/relationships/image" Target="media/43eabb0d667087374248dffe2385afe159f204d6.png"/><Relationship Id="rId14" Type="http://schemas.openxmlformats.org/officeDocument/2006/relationships/image" Target="media/456e1ab7b91815285e1c3d775dda1bd23c2e2915.png"/><Relationship Id="rId15" Type="http://schemas.openxmlformats.org/officeDocument/2006/relationships/image" Target="media/09fabe7cf9f8dc23b3f515a2a8cd97523291cbbc.png"/><Relationship Id="rId16" Type="http://schemas.openxmlformats.org/officeDocument/2006/relationships/image" Target="media/5e2758fadd74a6a1e584d7254ec04a693a13d8a3.png"/><Relationship Id="rId17" Type="http://schemas.openxmlformats.org/officeDocument/2006/relationships/image" Target="media/53d9af7af83050461338ff1d23a153df69c8920b.png"/><Relationship Id="rId18" Type="http://schemas.openxmlformats.org/officeDocument/2006/relationships/image" Target="media/da39090caaaa39dc981581ea2f11fcd7ec13a9b9.png"/><Relationship Id="rId19" Type="http://schemas.openxmlformats.org/officeDocument/2006/relationships/image" Target="media/0ad17ff182c3ec78dc543f5c86da25824d36dfa7.png"/><Relationship Id="rId20" Type="http://schemas.openxmlformats.org/officeDocument/2006/relationships/image" Target="media/9e8b5c45dfa15c59d68a36d148602cf137d94dfd.png"/><Relationship Id="rId21" Type="http://schemas.openxmlformats.org/officeDocument/2006/relationships/image" Target="media/07b977272f26a7cdcd86941acf546a761aa33e37.png"/><Relationship Id="rId22" Type="http://schemas.openxmlformats.org/officeDocument/2006/relationships/image" Target="media/3729004c2c8ccca3bfa5293d2eb23a388a9bbb9d.png"/><Relationship Id="rId23" Type="http://schemas.openxmlformats.org/officeDocument/2006/relationships/image" Target="media/b382500dfb399196959a8c8cda37d6b67a24d2fa.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2026-08-25T04:23:40.727Z</dcterms:created>
  <dcterms:modified xsi:type="dcterms:W3CDTF">2026-08-25T04:23:40.727Z</dcterms:modified>
</cp:coreProperties>
</file>

<file path=docProps/custom.xml><?xml version="1.0" encoding="utf-8"?>
<Properties xmlns="http://schemas.openxmlformats.org/officeDocument/2006/custom-properties" xmlns:vt="http://schemas.openxmlformats.org/officeDocument/2006/docPropsVTypes"/>
</file>