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6"/>
        </w:rPr>
        <w:t>CREDIT SCORING MODEL</w:t>
        <w:br/>
      </w:r>
      <w:r>
        <w:rPr>
          <w:sz w:val="30"/>
        </w:rPr>
        <w:t>End-to-End Machine Learning Project</w:t>
      </w:r>
    </w:p>
    <w:p>
      <w:r>
        <w:t>Predicting creditworthiness using applicant financial and credit-history characteristics.</w:t>
      </w:r>
    </w:p>
    <w:p>
      <w:pPr>
        <w:pStyle w:val="Heading1"/>
      </w:pPr>
      <w:r>
        <w:t>1. Executive Summary</w:t>
      </w:r>
    </w:p>
    <w:p>
      <w:r>
        <w:t>This project develops an end-to-end machine-learning credit scoring system using the UCI Statlog German Credit dataset. The objective is to classify applicants as good or bad credit risks while emphasizing model interpretability, cost-sensitive evaluation and professional visualization.</w:t>
      </w:r>
    </w:p>
    <w:p>
      <w:pPr>
        <w:pStyle w:val="Heading1"/>
      </w:pPr>
      <w:r>
        <w:t>2. Dataset</w:t>
      </w:r>
    </w:p>
    <w:p>
      <w:r>
        <w:t>The dataset contains 1,000 applicants and 20 predictor variables. Variables describe checking accounts, credit history, loan duration, credit amount, savings, employment, installment burden, property, housing, existing credits and other applicant characteristics.</w:t>
      </w:r>
    </w:p>
    <w:p>
      <w:r>
        <w:t>Important limitation: the dataset does not contain a literal annual-income field. Therefore, income is not invented. Financial capacity is represented using the available credit amount, installment rate, checking/savings status and related variables.</w:t>
      </w:r>
    </w:p>
    <w:p>
      <w:pPr>
        <w:pStyle w:val="Heading1"/>
      </w:pPr>
      <w:r>
        <w:t>3. Model Performance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model</w:t>
            </w:r>
          </w:p>
        </w:tc>
        <w:tc>
          <w:tcPr>
            <w:tcW w:type="dxa" w:w="1419"/>
          </w:tcPr>
          <w:p>
            <w:r>
              <w:t>accuracy</w:t>
            </w:r>
          </w:p>
        </w:tc>
        <w:tc>
          <w:tcPr>
            <w:tcW w:type="dxa" w:w="1419"/>
          </w:tcPr>
          <w:p>
            <w:r>
              <w:t>precision</w:t>
            </w:r>
          </w:p>
        </w:tc>
        <w:tc>
          <w:tcPr>
            <w:tcW w:type="dxa" w:w="1419"/>
          </w:tcPr>
          <w:p>
            <w:r>
              <w:t>recall</w:t>
            </w:r>
          </w:p>
        </w:tc>
        <w:tc>
          <w:tcPr>
            <w:tcW w:type="dxa" w:w="1419"/>
          </w:tcPr>
          <w:p>
            <w:r>
              <w:t>f1</w:t>
            </w:r>
          </w:p>
        </w:tc>
        <w:tc>
          <w:tcPr>
            <w:tcW w:type="dxa" w:w="1419"/>
          </w:tcPr>
          <w:p>
            <w:r>
              <w:t>roc_auc</w:t>
            </w:r>
          </w:p>
        </w:tc>
        <w:tc>
          <w:tcPr>
            <w:tcW w:type="dxa" w:w="1419"/>
          </w:tcPr>
          <w:p>
            <w:r>
              <w:t>pr_auc</w:t>
            </w:r>
          </w:p>
        </w:tc>
      </w:tr>
      <w:tr>
        <w:tc>
          <w:tcPr>
            <w:tcW w:type="dxa" w:w="1419"/>
          </w:tcPr>
          <w:p>
            <w:r>
              <w:t>Random Forest</w:t>
            </w:r>
          </w:p>
        </w:tc>
        <w:tc>
          <w:tcPr>
            <w:tcW w:type="dxa" w:w="1419"/>
          </w:tcPr>
          <w:p>
            <w:r>
              <w:t>0.7750</w:t>
            </w:r>
          </w:p>
        </w:tc>
        <w:tc>
          <w:tcPr>
            <w:tcW w:type="dxa" w:w="1419"/>
          </w:tcPr>
          <w:p>
            <w:r>
              <w:t>0.6190</w:t>
            </w:r>
          </w:p>
        </w:tc>
        <w:tc>
          <w:tcPr>
            <w:tcW w:type="dxa" w:w="1419"/>
          </w:tcPr>
          <w:p>
            <w:r>
              <w:t>0.6500</w:t>
            </w:r>
          </w:p>
        </w:tc>
        <w:tc>
          <w:tcPr>
            <w:tcW w:type="dxa" w:w="1419"/>
          </w:tcPr>
          <w:p>
            <w:r>
              <w:t>0.6341</w:t>
            </w:r>
          </w:p>
        </w:tc>
        <w:tc>
          <w:tcPr>
            <w:tcW w:type="dxa" w:w="1419"/>
          </w:tcPr>
          <w:p>
            <w:r>
              <w:t>0.8107</w:t>
            </w:r>
          </w:p>
        </w:tc>
        <w:tc>
          <w:tcPr>
            <w:tcW w:type="dxa" w:w="1419"/>
          </w:tcPr>
          <w:p>
            <w:r>
              <w:t>0.6761</w:t>
            </w:r>
          </w:p>
        </w:tc>
      </w:tr>
      <w:tr>
        <w:tc>
          <w:tcPr>
            <w:tcW w:type="dxa" w:w="1419"/>
          </w:tcPr>
          <w:p>
            <w:r>
              <w:t>Logistic Regression</w:t>
            </w:r>
          </w:p>
        </w:tc>
        <w:tc>
          <w:tcPr>
            <w:tcW w:type="dxa" w:w="1419"/>
          </w:tcPr>
          <w:p>
            <w:r>
              <w:t>0.7350</w:t>
            </w:r>
          </w:p>
        </w:tc>
        <w:tc>
          <w:tcPr>
            <w:tcW w:type="dxa" w:w="1419"/>
          </w:tcPr>
          <w:p>
            <w:r>
              <w:t>0.5402</w:t>
            </w:r>
          </w:p>
        </w:tc>
        <w:tc>
          <w:tcPr>
            <w:tcW w:type="dxa" w:w="1419"/>
          </w:tcPr>
          <w:p>
            <w:r>
              <w:t>0.7833</w:t>
            </w:r>
          </w:p>
        </w:tc>
        <w:tc>
          <w:tcPr>
            <w:tcW w:type="dxa" w:w="1419"/>
          </w:tcPr>
          <w:p>
            <w:r>
              <w:t>0.6395</w:t>
            </w:r>
          </w:p>
        </w:tc>
        <w:tc>
          <w:tcPr>
            <w:tcW w:type="dxa" w:w="1419"/>
          </w:tcPr>
          <w:p>
            <w:r>
              <w:t>0.7944</w:t>
            </w:r>
          </w:p>
        </w:tc>
        <w:tc>
          <w:tcPr>
            <w:tcW w:type="dxa" w:w="1419"/>
          </w:tcPr>
          <w:p>
            <w:r>
              <w:t>0.6194</w:t>
            </w:r>
          </w:p>
        </w:tc>
      </w:tr>
      <w:tr>
        <w:tc>
          <w:tcPr>
            <w:tcW w:type="dxa" w:w="1419"/>
          </w:tcPr>
          <w:p>
            <w:r>
              <w:t>Extra Trees</w:t>
            </w:r>
          </w:p>
        </w:tc>
        <w:tc>
          <w:tcPr>
            <w:tcW w:type="dxa" w:w="1419"/>
          </w:tcPr>
          <w:p>
            <w:r>
              <w:t>0.7750</w:t>
            </w:r>
          </w:p>
        </w:tc>
        <w:tc>
          <w:tcPr>
            <w:tcW w:type="dxa" w:w="1419"/>
          </w:tcPr>
          <w:p>
            <w:r>
              <w:t>0.6923</w:t>
            </w:r>
          </w:p>
        </w:tc>
        <w:tc>
          <w:tcPr>
            <w:tcW w:type="dxa" w:w="1419"/>
          </w:tcPr>
          <w:p>
            <w:r>
              <w:t>0.4500</w:t>
            </w:r>
          </w:p>
        </w:tc>
        <w:tc>
          <w:tcPr>
            <w:tcW w:type="dxa" w:w="1419"/>
          </w:tcPr>
          <w:p>
            <w:r>
              <w:t>0.5455</w:t>
            </w:r>
          </w:p>
        </w:tc>
        <w:tc>
          <w:tcPr>
            <w:tcW w:type="dxa" w:w="1419"/>
          </w:tcPr>
          <w:p>
            <w:r>
              <w:t>0.7937</w:t>
            </w:r>
          </w:p>
        </w:tc>
        <w:tc>
          <w:tcPr>
            <w:tcW w:type="dxa" w:w="1419"/>
          </w:tcPr>
          <w:p>
            <w:r>
              <w:t>0.6105</w:t>
            </w:r>
          </w:p>
        </w:tc>
      </w:tr>
      <w:tr>
        <w:tc>
          <w:tcPr>
            <w:tcW w:type="dxa" w:w="1419"/>
          </w:tcPr>
          <w:p>
            <w:r>
              <w:t>Hist Gradient Boosting</w:t>
            </w:r>
          </w:p>
        </w:tc>
        <w:tc>
          <w:tcPr>
            <w:tcW w:type="dxa" w:w="1419"/>
          </w:tcPr>
          <w:p>
            <w:r>
              <w:t>0.7650</w:t>
            </w:r>
          </w:p>
        </w:tc>
        <w:tc>
          <w:tcPr>
            <w:tcW w:type="dxa" w:w="1419"/>
          </w:tcPr>
          <w:p>
            <w:r>
              <w:t>0.6182</w:t>
            </w:r>
          </w:p>
        </w:tc>
        <w:tc>
          <w:tcPr>
            <w:tcW w:type="dxa" w:w="1419"/>
          </w:tcPr>
          <w:p>
            <w:r>
              <w:t>0.5667</w:t>
            </w:r>
          </w:p>
        </w:tc>
        <w:tc>
          <w:tcPr>
            <w:tcW w:type="dxa" w:w="1419"/>
          </w:tcPr>
          <w:p>
            <w:r>
              <w:t>0.5913</w:t>
            </w:r>
          </w:p>
        </w:tc>
        <w:tc>
          <w:tcPr>
            <w:tcW w:type="dxa" w:w="1419"/>
          </w:tcPr>
          <w:p>
            <w:r>
              <w:t>0.7731</w:t>
            </w:r>
          </w:p>
        </w:tc>
        <w:tc>
          <w:tcPr>
            <w:tcW w:type="dxa" w:w="1419"/>
          </w:tcPr>
          <w:p>
            <w:r>
              <w:t>0.6311</w:t>
            </w:r>
          </w:p>
        </w:tc>
      </w:tr>
    </w:tbl>
    <w:p>
      <w:pPr>
        <w:pStyle w:val="Heading1"/>
      </w:pPr>
      <w:r>
        <w:t>4. Exploratory Analysis</w:t>
      </w:r>
    </w:p>
    <w:p>
      <w:pPr>
        <w:jc w:val="center"/>
      </w:pPr>
      <w:r>
        <w:drawing>
          <wp:inline xmlns:a="http://schemas.openxmlformats.org/drawingml/2006/main" xmlns:pic="http://schemas.openxmlformats.org/drawingml/2006/picture">
            <wp:extent cx="5760720" cy="3801609"/>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760720" cy="3801609"/>
                    </a:xfrm>
                    <a:prstGeom prst="rect"/>
                  </pic:spPr>
                </pic:pic>
              </a:graphicData>
            </a:graphic>
          </wp:inline>
        </w:drawing>
      </w:r>
    </w:p>
    <w:p>
      <w:pPr>
        <w:jc w:val="center"/>
      </w:pPr>
      <w:r>
        <w:drawing>
          <wp:inline xmlns:a="http://schemas.openxmlformats.org/drawingml/2006/main" xmlns:pic="http://schemas.openxmlformats.org/drawingml/2006/picture">
            <wp:extent cx="5760720" cy="3631345"/>
            <wp:docPr id="2" name="Picture 2"/>
            <wp:cNvGraphicFramePr>
              <a:graphicFrameLocks noChangeAspect="1"/>
            </wp:cNvGraphicFramePr>
            <a:graphic>
              <a:graphicData uri="http://schemas.openxmlformats.org/drawingml/2006/picture">
                <pic:pic>
                  <pic:nvPicPr>
                    <pic:cNvPr id="0" name="02_credit_amount_risk.png"/>
                    <pic:cNvPicPr/>
                  </pic:nvPicPr>
                  <pic:blipFill>
                    <a:blip r:embed="rId10"/>
                    <a:stretch>
                      <a:fillRect/>
                    </a:stretch>
                  </pic:blipFill>
                  <pic:spPr>
                    <a:xfrm>
                      <a:off x="0" y="0"/>
                      <a:ext cx="5760720" cy="3631345"/>
                    </a:xfrm>
                    <a:prstGeom prst="rect"/>
                  </pic:spPr>
                </pic:pic>
              </a:graphicData>
            </a:graphic>
          </wp:inline>
        </w:drawing>
      </w:r>
    </w:p>
    <w:p>
      <w:pPr>
        <w:jc w:val="center"/>
      </w:pPr>
      <w:r>
        <w:drawing>
          <wp:inline xmlns:a="http://schemas.openxmlformats.org/drawingml/2006/main" xmlns:pic="http://schemas.openxmlformats.org/drawingml/2006/picture">
            <wp:extent cx="5760720" cy="3631345"/>
            <wp:docPr id="3" name="Picture 3"/>
            <wp:cNvGraphicFramePr>
              <a:graphicFrameLocks noChangeAspect="1"/>
            </wp:cNvGraphicFramePr>
            <a:graphic>
              <a:graphicData uri="http://schemas.openxmlformats.org/drawingml/2006/picture">
                <pic:pic>
                  <pic:nvPicPr>
                    <pic:cNvPr id="0" name="03_age_distribution.png"/>
                    <pic:cNvPicPr/>
                  </pic:nvPicPr>
                  <pic:blipFill>
                    <a:blip r:embed="rId11"/>
                    <a:stretch>
                      <a:fillRect/>
                    </a:stretch>
                  </pic:blipFill>
                  <pic:spPr>
                    <a:xfrm>
                      <a:off x="0" y="0"/>
                      <a:ext cx="5760720" cy="3631345"/>
                    </a:xfrm>
                    <a:prstGeom prst="rect"/>
                  </pic:spPr>
                </pic:pic>
              </a:graphicData>
            </a:graphic>
          </wp:inline>
        </w:drawing>
      </w:r>
    </w:p>
    <w:p>
      <w:pPr>
        <w:jc w:val="center"/>
      </w:pPr>
      <w:r>
        <w:drawing>
          <wp:inline xmlns:a="http://schemas.openxmlformats.org/drawingml/2006/main" xmlns:pic="http://schemas.openxmlformats.org/drawingml/2006/picture">
            <wp:extent cx="5760720" cy="3631345"/>
            <wp:docPr id="4" name="Picture 4"/>
            <wp:cNvGraphicFramePr>
              <a:graphicFrameLocks noChangeAspect="1"/>
            </wp:cNvGraphicFramePr>
            <a:graphic>
              <a:graphicData uri="http://schemas.openxmlformats.org/drawingml/2006/picture">
                <pic:pic>
                  <pic:nvPicPr>
                    <pic:cNvPr id="0" name="04_loan_duration.png"/>
                    <pic:cNvPicPr/>
                  </pic:nvPicPr>
                  <pic:blipFill>
                    <a:blip r:embed="rId12"/>
                    <a:stretch>
                      <a:fillRect/>
                    </a:stretch>
                  </pic:blipFill>
                  <pic:spPr>
                    <a:xfrm>
                      <a:off x="0" y="0"/>
                      <a:ext cx="5760720" cy="3631345"/>
                    </a:xfrm>
                    <a:prstGeom prst="rect"/>
                  </pic:spPr>
                </pic:pic>
              </a:graphicData>
            </a:graphic>
          </wp:inline>
        </w:drawing>
      </w:r>
    </w:p>
    <w:p>
      <w:pPr>
        <w:jc w:val="center"/>
      </w:pPr>
      <w:r>
        <w:drawing>
          <wp:inline xmlns:a="http://schemas.openxmlformats.org/drawingml/2006/main" xmlns:pic="http://schemas.openxmlformats.org/drawingml/2006/picture">
            <wp:extent cx="5760720" cy="3324162"/>
            <wp:docPr id="5" name="Picture 5"/>
            <wp:cNvGraphicFramePr>
              <a:graphicFrameLocks noChangeAspect="1"/>
            </wp:cNvGraphicFramePr>
            <a:graphic>
              <a:graphicData uri="http://schemas.openxmlformats.org/drawingml/2006/picture">
                <pic:pic>
                  <pic:nvPicPr>
                    <pic:cNvPr id="0" name="06_credit_history_risk.png"/>
                    <pic:cNvPicPr/>
                  </pic:nvPicPr>
                  <pic:blipFill>
                    <a:blip r:embed="rId13"/>
                    <a:stretch>
                      <a:fillRect/>
                    </a:stretch>
                  </pic:blipFill>
                  <pic:spPr>
                    <a:xfrm>
                      <a:off x="0" y="0"/>
                      <a:ext cx="5760720" cy="3324162"/>
                    </a:xfrm>
                    <a:prstGeom prst="rect"/>
                  </pic:spPr>
                </pic:pic>
              </a:graphicData>
            </a:graphic>
          </wp:inline>
        </w:drawing>
      </w:r>
    </w:p>
    <w:p>
      <w:pPr>
        <w:jc w:val="center"/>
      </w:pPr>
      <w:r>
        <w:drawing>
          <wp:inline xmlns:a="http://schemas.openxmlformats.org/drawingml/2006/main" xmlns:pic="http://schemas.openxmlformats.org/drawingml/2006/picture">
            <wp:extent cx="5760720" cy="4634847"/>
            <wp:docPr id="6" name="Picture 6"/>
            <wp:cNvGraphicFramePr>
              <a:graphicFrameLocks noChangeAspect="1"/>
            </wp:cNvGraphicFramePr>
            <a:graphic>
              <a:graphicData uri="http://schemas.openxmlformats.org/drawingml/2006/picture">
                <pic:pic>
                  <pic:nvPicPr>
                    <pic:cNvPr id="0" name="07_correlation_matrix.png"/>
                    <pic:cNvPicPr/>
                  </pic:nvPicPr>
                  <pic:blipFill>
                    <a:blip r:embed="rId14"/>
                    <a:stretch>
                      <a:fillRect/>
                    </a:stretch>
                  </pic:blipFill>
                  <pic:spPr>
                    <a:xfrm>
                      <a:off x="0" y="0"/>
                      <a:ext cx="5760720" cy="4634847"/>
                    </a:xfrm>
                    <a:prstGeom prst="rect"/>
                  </pic:spPr>
                </pic:pic>
              </a:graphicData>
            </a:graphic>
          </wp:inline>
        </w:drawing>
      </w:r>
    </w:p>
    <w:p>
      <w:pPr>
        <w:jc w:val="center"/>
      </w:pPr>
      <w:r>
        <w:drawing>
          <wp:inline xmlns:a="http://schemas.openxmlformats.org/drawingml/2006/main" xmlns:pic="http://schemas.openxmlformats.org/drawingml/2006/picture">
            <wp:extent cx="5760720" cy="4300256"/>
            <wp:docPr id="7" name="Picture 7"/>
            <wp:cNvGraphicFramePr>
              <a:graphicFrameLocks noChangeAspect="1"/>
            </wp:cNvGraphicFramePr>
            <a:graphic>
              <a:graphicData uri="http://schemas.openxmlformats.org/drawingml/2006/picture">
                <pic:pic>
                  <pic:nvPicPr>
                    <pic:cNvPr id="0" name="09_confusion_matrix.png"/>
                    <pic:cNvPicPr/>
                  </pic:nvPicPr>
                  <pic:blipFill>
                    <a:blip r:embed="rId15"/>
                    <a:stretch>
                      <a:fillRect/>
                    </a:stretch>
                  </pic:blipFill>
                  <pic:spPr>
                    <a:xfrm>
                      <a:off x="0" y="0"/>
                      <a:ext cx="5760720" cy="4300256"/>
                    </a:xfrm>
                    <a:prstGeom prst="rect"/>
                  </pic:spPr>
                </pic:pic>
              </a:graphicData>
            </a:graphic>
          </wp:inline>
        </w:drawing>
      </w:r>
    </w:p>
    <w:p>
      <w:pPr>
        <w:jc w:val="center"/>
      </w:pPr>
      <w:r>
        <w:drawing>
          <wp:inline xmlns:a="http://schemas.openxmlformats.org/drawingml/2006/main" xmlns:pic="http://schemas.openxmlformats.org/drawingml/2006/picture">
            <wp:extent cx="5760720" cy="4465368"/>
            <wp:docPr id="8" name="Picture 8"/>
            <wp:cNvGraphicFramePr>
              <a:graphicFrameLocks noChangeAspect="1"/>
            </wp:cNvGraphicFramePr>
            <a:graphic>
              <a:graphicData uri="http://schemas.openxmlformats.org/drawingml/2006/picture">
                <pic:pic>
                  <pic:nvPicPr>
                    <pic:cNvPr id="0" name="10_roc_curve.png"/>
                    <pic:cNvPicPr/>
                  </pic:nvPicPr>
                  <pic:blipFill>
                    <a:blip r:embed="rId16"/>
                    <a:stretch>
                      <a:fillRect/>
                    </a:stretch>
                  </pic:blipFill>
                  <pic:spPr>
                    <a:xfrm>
                      <a:off x="0" y="0"/>
                      <a:ext cx="5760720" cy="4465368"/>
                    </a:xfrm>
                    <a:prstGeom prst="rect"/>
                  </pic:spPr>
                </pic:pic>
              </a:graphicData>
            </a:graphic>
          </wp:inline>
        </w:drawing>
      </w:r>
    </w:p>
    <w:p>
      <w:pPr>
        <w:jc w:val="center"/>
      </w:pPr>
      <w:r>
        <w:drawing>
          <wp:inline xmlns:a="http://schemas.openxmlformats.org/drawingml/2006/main" xmlns:pic="http://schemas.openxmlformats.org/drawingml/2006/picture">
            <wp:extent cx="5760720" cy="4461770"/>
            <wp:docPr id="9" name="Picture 9"/>
            <wp:cNvGraphicFramePr>
              <a:graphicFrameLocks noChangeAspect="1"/>
            </wp:cNvGraphicFramePr>
            <a:graphic>
              <a:graphicData uri="http://schemas.openxmlformats.org/drawingml/2006/picture">
                <pic:pic>
                  <pic:nvPicPr>
                    <pic:cNvPr id="0" name="11_precision_recall_curve.png"/>
                    <pic:cNvPicPr/>
                  </pic:nvPicPr>
                  <pic:blipFill>
                    <a:blip r:embed="rId17"/>
                    <a:stretch>
                      <a:fillRect/>
                    </a:stretch>
                  </pic:blipFill>
                  <pic:spPr>
                    <a:xfrm>
                      <a:off x="0" y="0"/>
                      <a:ext cx="5760720" cy="4461770"/>
                    </a:xfrm>
                    <a:prstGeom prst="rect"/>
                  </pic:spPr>
                </pic:pic>
              </a:graphicData>
            </a:graphic>
          </wp:inline>
        </w:drawing>
      </w:r>
    </w:p>
    <w:p>
      <w:pPr>
        <w:jc w:val="center"/>
      </w:pPr>
      <w:r>
        <w:drawing>
          <wp:inline xmlns:a="http://schemas.openxmlformats.org/drawingml/2006/main" xmlns:pic="http://schemas.openxmlformats.org/drawingml/2006/picture">
            <wp:extent cx="5760720" cy="4461770"/>
            <wp:docPr id="10" name="Picture 10"/>
            <wp:cNvGraphicFramePr>
              <a:graphicFrameLocks noChangeAspect="1"/>
            </wp:cNvGraphicFramePr>
            <a:graphic>
              <a:graphicData uri="http://schemas.openxmlformats.org/drawingml/2006/picture">
                <pic:pic>
                  <pic:nvPicPr>
                    <pic:cNvPr id="0" name="12_calibration_curve.png"/>
                    <pic:cNvPicPr/>
                  </pic:nvPicPr>
                  <pic:blipFill>
                    <a:blip r:embed="rId18"/>
                    <a:stretch>
                      <a:fillRect/>
                    </a:stretch>
                  </pic:blipFill>
                  <pic:spPr>
                    <a:xfrm>
                      <a:off x="0" y="0"/>
                      <a:ext cx="5760720" cy="4461770"/>
                    </a:xfrm>
                    <a:prstGeom prst="rect"/>
                  </pic:spPr>
                </pic:pic>
              </a:graphicData>
            </a:graphic>
          </wp:inline>
        </w:drawing>
      </w:r>
    </w:p>
    <w:p>
      <w:pPr>
        <w:jc w:val="center"/>
      </w:pPr>
      <w:r>
        <w:drawing>
          <wp:inline xmlns:a="http://schemas.openxmlformats.org/drawingml/2006/main" xmlns:pic="http://schemas.openxmlformats.org/drawingml/2006/picture">
            <wp:extent cx="5760720" cy="4318719"/>
            <wp:docPr id="11" name="Picture 11"/>
            <wp:cNvGraphicFramePr>
              <a:graphicFrameLocks noChangeAspect="1"/>
            </wp:cNvGraphicFramePr>
            <a:graphic>
              <a:graphicData uri="http://schemas.openxmlformats.org/drawingml/2006/picture">
                <pic:pic>
                  <pic:nvPicPr>
                    <pic:cNvPr id="0" name="13_shap_feature_importance.png"/>
                    <pic:cNvPicPr/>
                  </pic:nvPicPr>
                  <pic:blipFill>
                    <a:blip r:embed="rId19"/>
                    <a:stretch>
                      <a:fillRect/>
                    </a:stretch>
                  </pic:blipFill>
                  <pic:spPr>
                    <a:xfrm>
                      <a:off x="0" y="0"/>
                      <a:ext cx="5760720" cy="4318719"/>
                    </a:xfrm>
                    <a:prstGeom prst="rect"/>
                  </pic:spPr>
                </pic:pic>
              </a:graphicData>
            </a:graphic>
          </wp:inline>
        </w:drawing>
      </w:r>
    </w:p>
    <w:p>
      <w:pPr>
        <w:pStyle w:val="Heading1"/>
      </w:pPr>
      <w:r>
        <w:t>5. Conclusion</w:t>
      </w:r>
    </w:p>
    <w:p>
      <w:r>
        <w:t>The resulting system provides a complete credit-risk workflow covering data acquisition, validation, exploratory analysis, feature engineering, model development, evaluation, threshold optimization, explainability and applicant-level prediction.</w:t>
      </w:r>
    </w:p>
    <w:p>
      <w:r>
        <w:t>For production deployment, additional validation on recent institution-specific data, monitoring for population drift, probability calibration, fairness assessment, governance review and regulatory compliance would be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