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jc w:val="center"/>
      </w:pPr>
      <w:r>
        <w:rPr>
          <w:rFonts w:ascii="맑은 고딕" w:hAnsi="맑은 고딕" w:eastAsia="맑은 고딕"/>
          <w:b/>
          <w:color w:val="2F6BFF"/>
          <w:sz w:val="30"/>
        </w:rPr>
        <w:t>FleaMarket AX</w:t>
      </w:r>
    </w:p>
    <w:p>
      <w:pPr>
        <w:pStyle w:val="Title"/>
        <w:spacing w:after="200"/>
        <w:jc w:val="center"/>
      </w:pPr>
      <w:r>
        <w:rPr>
          <w:rFonts w:ascii="맑은 고딕" w:hAnsi="맑은 고딕" w:eastAsia="맑은 고딕"/>
          <w:color w:val="000000"/>
        </w:rPr>
        <w:t>플리마켓 셀러 모집 운영 플랫폼</w:t>
        <w:br/>
        <w:t>MVP 서비스 기획서</w:t>
      </w:r>
    </w:p>
    <w:p>
      <w:pPr>
        <w:spacing w:before="0" w:after="320"/>
        <w:jc w:val="center"/>
      </w:pPr>
      <w:r>
        <w:rPr>
          <w:rFonts w:ascii="맑은 고딕" w:hAnsi="맑은 고딕" w:eastAsia="맑은 고딕"/>
          <w:b/>
          <w:color w:val="6F52ED"/>
          <w:sz w:val="26"/>
        </w:rPr>
        <w:t>Pilot Project : 2026 자운대 축제 플리마켓</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기획 방향</w:t>
            </w:r>
          </w:p>
          <w:p>
            <w:pPr>
              <w:spacing w:after="80" w:before="80"/>
            </w:pPr>
            <w:r>
              <w:rPr>
                <w:rFonts w:ascii="맑은 고딕" w:hAnsi="맑은 고딕" w:eastAsia="맑은 고딕"/>
                <w:color w:val="000000"/>
                <w:sz w:val="19"/>
              </w:rPr>
              <w:t>자운대 축제를 위한 1회성 시스템이 아니라, 여러 축제·야시장·마켓을 동시에 운영할 수 있는 “프로젝트형 플리마켓 운영 플랫폼”을 먼저 만들고 자운대를 첫 실증 프로젝트로 적용한다.</w:t>
            </w:r>
          </w:p>
        </w:tc>
      </w:tr>
    </w:tbl>
    <w:p>
      <w:pPr>
        <w:spacing w:after="20"/>
      </w:pPr>
    </w:p>
    <w:p>
      <w:pPr>
        <w:spacing w:before="200" w:after="80"/>
      </w:pPr>
      <w:r>
        <w:rPr>
          <w:rFonts w:ascii="맑은 고딕" w:hAnsi="맑은 고딕" w:eastAsia="맑은 고딕"/>
          <w:b/>
          <w:color w:val="17324D"/>
          <w:sz w:val="22"/>
        </w:rPr>
        <w:t>문서 목적</w:t>
      </w:r>
    </w:p>
    <w:p>
      <w:pPr>
        <w:pStyle w:val="ListBullet"/>
        <w:spacing w:after="40"/>
      </w:pPr>
      <w:r>
        <w:rPr>
          <w:rFonts w:ascii="맑은 고딕" w:hAnsi="맑은 고딕" w:eastAsia="맑은 고딕"/>
          <w:sz w:val="21"/>
        </w:rPr>
        <w:t>서비스의 목적·고객·핵심가치·MVP 범위를 확정한다.</w:t>
      </w:r>
    </w:p>
    <w:p>
      <w:pPr>
        <w:pStyle w:val="ListBullet"/>
        <w:spacing w:after="40"/>
      </w:pPr>
      <w:r>
        <w:rPr>
          <w:rFonts w:ascii="맑은 고딕" w:hAnsi="맑은 고딕" w:eastAsia="맑은 고딕"/>
          <w:sz w:val="21"/>
        </w:rPr>
        <w:t>이후 기능명세서, 화면설계서, 데이터 구조, 바이브코딩 개발명세의 기준 문서로 사용한다.</w:t>
      </w:r>
    </w:p>
    <w:p>
      <w:pPr>
        <w:pStyle w:val="ListBullet"/>
        <w:spacing w:after="40"/>
      </w:pPr>
      <w:r>
        <w:rPr>
          <w:rFonts w:ascii="맑은 고딕" w:hAnsi="맑은 고딕" w:eastAsia="맑은 고딕"/>
          <w:sz w:val="21"/>
        </w:rPr>
        <w:t>첫 실증 프로젝트인 자운대 축제에서 실제 운영하며 검증한다.</w:t>
      </w:r>
    </w:p>
    <w:p>
      <w:pPr>
        <w:spacing w:before="560" w:after="80"/>
        <w:jc w:val="right"/>
      </w:pPr>
      <w:r>
        <w:rPr>
          <w:rFonts w:ascii="맑은 고딕" w:hAnsi="맑은 고딕" w:eastAsia="맑은 고딕"/>
          <w:b w:val="0"/>
          <w:color w:val="6B7280"/>
          <w:sz w:val="19"/>
        </w:rPr>
        <w:t>Version 1.3  |  2026.10.08</w:t>
      </w:r>
    </w:p>
    <w:p>
      <w:r>
        <w:rPr>
          <w:rFonts w:ascii="맑은 고딕" w:hAnsi="맑은 고딕" w:eastAsia="맑은 고딕"/>
        </w:rPr>
        <w:t>문서 적용 기준: 본 문서는 2026년 10월 8일 v1.3 기준안이다. 공통 용어·상태·MVP 경계는 00_변경요약_공통계약_v1.3.docx를 따른다. 사업자 확인이 필요한 배포·행사 설정값은 공통계약의 운영 전 확인 목록으로 관리한다.</w:t>
      </w:r>
    </w:p>
    <w:p>
      <w:r>
        <w:rPr>
          <w:rFonts w:ascii="맑은 고딕" w:hAnsi="맑은 고딕" w:eastAsia="맑은 고딕"/>
        </w:rPr>
        <w:br w:type="page"/>
      </w:r>
    </w:p>
    <w:p>
      <w:pPr>
        <w:pStyle w:val="Heading1"/>
      </w:pPr>
      <w:r>
        <w:rPr>
          <w:rFonts w:ascii="맑은 고딕" w:hAnsi="맑은 고딕" w:eastAsia="맑은 고딕"/>
          <w:color w:val="000000"/>
        </w:rPr>
        <w:t>1  서비스 개요 및 핵심 가설</w:t>
      </w:r>
    </w:p>
    <w:p>
      <w:pPr>
        <w:spacing w:before="0" w:after="80"/>
      </w:pPr>
      <w:r>
        <w:rPr>
          <w:rFonts w:ascii="맑은 고딕" w:hAnsi="맑은 고딕" w:eastAsia="맑은 고딕"/>
          <w:b/>
          <w:color w:val="2F6BFF"/>
          <w:sz w:val="22"/>
        </w:rPr>
        <w:t>한 문장 정의</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서비스 정의</w:t>
            </w:r>
          </w:p>
          <w:p>
            <w:pPr>
              <w:spacing w:after="80" w:before="80"/>
            </w:pPr>
            <w:r>
              <w:rPr>
                <w:rFonts w:ascii="맑은 고딕" w:hAnsi="맑은 고딕" w:eastAsia="맑은 고딕"/>
                <w:color w:val="000000"/>
                <w:sz w:val="19"/>
              </w:rPr>
              <w:t>여러 플리마켓 프로젝트의 셀러 모집, 신청 관리, AI 검토, 운영자 승인, 부스 배치, 안내, 행사 운영, 결과관리를 하나의 관리자 화면에서 처리하는 B2B 운영 플랫폼이다.</w:t>
            </w:r>
          </w:p>
        </w:tc>
      </w:tr>
    </w:tbl>
    <w:p>
      <w:pPr>
        <w:spacing w:after="20"/>
      </w:pPr>
    </w:p>
    <w:p>
      <w:pPr>
        <w:spacing w:before="120" w:after="80"/>
      </w:pPr>
      <w:r>
        <w:rPr>
          <w:rFonts w:ascii="맑은 고딕" w:hAnsi="맑은 고딕" w:eastAsia="맑은 고딕"/>
          <w:b/>
          <w:color w:val="17324D"/>
          <w:sz w:val="22"/>
        </w:rPr>
        <w:t>핵심 문제</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현재 운영 방식</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발생 문제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플랫폼이 해결할 방식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구글폼·네이버폼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신청정보가 프로젝트별로 흩어짐</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프로젝트별 신청을 한 시스템에서 통합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엑셀 수작업 정리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중복·누락·버전 오류</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정보를 구조화해 자동 집계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전화·문자 개별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업무와 안내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안내문 자동 생성 및 발송 이력 관리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경험으로 심사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기준 편차·유사업종 과다</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 + 운영자 최종 승인</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부스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전기·품목·동선 조건 누락</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조건 기반 부스 추천 및 수동 수정</w:t>
            </w:r>
          </w:p>
        </w:tc>
      </w:tr>
    </w:tbl>
    <w:p>
      <w:pPr>
        <w:spacing w:after="20"/>
      </w:pPr>
    </w:p>
    <w:p>
      <w:pPr>
        <w:spacing w:before="80" w:after="80"/>
      </w:pPr>
      <w:r>
        <w:rPr>
          <w:rFonts w:ascii="맑은 고딕" w:hAnsi="맑은 고딕" w:eastAsia="맑은 고딕"/>
          <w:b/>
          <w:color w:val="17324D"/>
          <w:sz w:val="22"/>
        </w:rPr>
        <w:t>핵심 가설</w:t>
      </w:r>
    </w:p>
    <w:p>
      <w:pPr>
        <w:pStyle w:val="ListNumber"/>
        <w:spacing w:after="40"/>
      </w:pPr>
      <w:r>
        <w:rPr>
          <w:rFonts w:ascii="맑은 고딕" w:hAnsi="맑은 고딕" w:eastAsia="맑은 고딕"/>
          <w:sz w:val="21"/>
        </w:rPr>
        <w:t>행사 운영자는 “신청을 받는 기능”보다 모집-심사-배치-안내까지 연결되는 운영도구에 비용을 지불한다.</w:t>
      </w:r>
    </w:p>
    <w:p>
      <w:pPr>
        <w:pStyle w:val="ListNumber"/>
        <w:spacing w:after="40"/>
      </w:pPr>
      <w:r>
        <w:rPr>
          <w:rFonts w:ascii="맑은 고딕" w:hAnsi="맑은 고딕" w:eastAsia="맑은 고딕"/>
          <w:sz w:val="21"/>
        </w:rPr>
        <w:t>셀러 정보와 프로젝트별 신청정보를 분리하면 여러 행사를 동시에 운영하면서 데이터가 축적된다.</w:t>
      </w:r>
    </w:p>
    <w:p>
      <w:pPr>
        <w:pStyle w:val="ListNumber"/>
        <w:spacing w:after="40"/>
      </w:pPr>
      <w:r>
        <w:rPr>
          <w:rFonts w:ascii="맑은 고딕" w:hAnsi="맑은 고딕" w:eastAsia="맑은 고딕"/>
          <w:sz w:val="21"/>
        </w:rPr>
        <w:t>AI는 최종 선발자가 아니라 심사 보조자 역할을 할 때 현장 적용성이 높다.</w:t>
      </w:r>
    </w:p>
    <w:p>
      <w:pPr>
        <w:pStyle w:val="ListNumber"/>
        <w:spacing w:after="40"/>
      </w:pPr>
      <w:r>
        <w:rPr>
          <w:rFonts w:ascii="맑은 고딕" w:hAnsi="맑은 고딕" w:eastAsia="맑은 고딕"/>
          <w:sz w:val="21"/>
        </w:rPr>
        <w:t>자운대 프로젝트에서 검증한 기능은 다른 축제·야시장·상권행사에 재사용할 수 있다.</w:t>
      </w:r>
    </w:p>
    <w:p>
      <w:r>
        <w:rPr>
          <w:rFonts w:ascii="맑은 고딕" w:hAnsi="맑은 고딕" w:eastAsia="맑은 고딕"/>
        </w:rPr>
        <w:br w:type="page"/>
      </w:r>
    </w:p>
    <w:p>
      <w:pPr>
        <w:pStyle w:val="Heading1"/>
      </w:pPr>
      <w:r>
        <w:rPr>
          <w:rFonts w:ascii="맑은 고딕" w:hAnsi="맑은 고딕" w:eastAsia="맑은 고딕"/>
          <w:color w:val="000000"/>
        </w:rPr>
        <w:t>2  고객과 사용자 구조</w:t>
      </w:r>
    </w:p>
    <w:p>
      <w:pPr>
        <w:spacing w:before="0" w:after="80"/>
      </w:pPr>
      <w:r>
        <w:rPr>
          <w:rFonts w:ascii="맑은 고딕" w:hAnsi="맑은 고딕" w:eastAsia="맑은 고딕"/>
          <w:b/>
          <w:color w:val="2F6BFF"/>
          <w:sz w:val="22"/>
        </w:rPr>
        <w:t>B2B 구매자</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고객군</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니즈</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구매 이유</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행사·축제 대행사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다수 행사 동시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반복 업무 표준화, 인력·시간 절감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지자체·문화재단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공정한 모집·운영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신청·선정·운영 기록의 투명성</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상인회·상권사업단</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야시장·플리마켓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DB 축적, 반복 행사 재모집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기관·기업 행사팀</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사내/지역 행사 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단기간 모집·배치·안내 일원화</w:t>
            </w:r>
          </w:p>
        </w:tc>
      </w:tr>
    </w:tbl>
    <w:p>
      <w:pPr>
        <w:spacing w:after="20"/>
      </w:pPr>
    </w:p>
    <w:p>
      <w:pPr>
        <w:spacing w:before="120" w:after="80"/>
      </w:pPr>
      <w:r>
        <w:rPr>
          <w:rFonts w:ascii="맑은 고딕" w:hAnsi="맑은 고딕" w:eastAsia="맑은 고딕"/>
          <w:b/>
          <w:color w:val="17324D"/>
          <w:sz w:val="22"/>
        </w:rPr>
        <w:t>사용자 역할</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사용자</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주요 행동</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관리자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단일 운영조직의 계정·프로젝트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플랫폼 전체 대시보드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운영자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생성·모집·심사·배치·안내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관리자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심사/검수자</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결과·신청 검수, 선정 제안·메모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화면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프로필 등록·프로젝트 신청·결과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신청/내 신청</w:t>
            </w:r>
          </w:p>
        </w:tc>
      </w:tr>
    </w:tbl>
    <w:p>
      <w:pPr>
        <w:spacing w:after="2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설계의 핵심</w:t>
            </w:r>
          </w:p>
          <w:p>
            <w:pPr>
              <w:spacing w:after="80" w:before="80"/>
            </w:pPr>
            <w:r>
              <w:rPr>
                <w:rFonts w:ascii="맑은 고딕" w:hAnsi="맑은 고딕" w:eastAsia="맑은 고딕"/>
                <w:color w:val="000000"/>
                <w:sz w:val="19"/>
              </w:rPr>
              <w:t>“셀러(Seller)”는 한 번 등록하고, “신청(Application)”은 프로젝트마다 생성한다. 같은 셀러가 여러 프로젝트에 참가해도 기본정보를 반복 입력하지 않도록 한다.</w:t>
            </w:r>
          </w:p>
        </w:tc>
      </w:tr>
    </w:tbl>
    <w:p>
      <w:pPr>
        <w:spacing w:after="20"/>
      </w:pPr>
    </w:p>
    <w:p>
      <w:pPr>
        <w:spacing w:before="120" w:after="80"/>
      </w:pPr>
      <w:r>
        <w:rPr>
          <w:rFonts w:ascii="맑은 고딕" w:hAnsi="맑은 고딕" w:eastAsia="맑은 고딕"/>
          <w:b/>
          <w:color w:val="17324D"/>
          <w:sz w:val="22"/>
        </w:rPr>
        <w:t>초기 타깃</w:t>
      </w:r>
    </w:p>
    <w:p>
      <w:pPr>
        <w:pStyle w:val="ListBullet"/>
        <w:spacing w:after="40"/>
      </w:pPr>
      <w:r>
        <w:rPr>
          <w:rFonts w:ascii="맑은 고딕" w:hAnsi="맑은 고딕" w:eastAsia="맑은 고딕"/>
          <w:sz w:val="21"/>
        </w:rPr>
        <w:t>연간 3회 이상 플리마켓·야시장·축제를 운영하는 대행사·기관</w:t>
      </w:r>
    </w:p>
    <w:p>
      <w:pPr>
        <w:pStyle w:val="ListBullet"/>
        <w:spacing w:after="40"/>
      </w:pPr>
      <w:r>
        <w:rPr>
          <w:rFonts w:ascii="맑은 고딕" w:hAnsi="맑은 고딕" w:eastAsia="맑은 고딕"/>
          <w:sz w:val="21"/>
        </w:rPr>
        <w:t>신청 셀러가 20팀 이상이어서 엑셀·메신저 운영이 번거로운 행사</w:t>
      </w:r>
    </w:p>
    <w:p>
      <w:pPr>
        <w:pStyle w:val="ListBullet"/>
        <w:spacing w:after="40"/>
      </w:pPr>
      <w:r>
        <w:rPr>
          <w:rFonts w:ascii="맑은 고딕" w:hAnsi="맑은 고딕" w:eastAsia="맑은 고딕"/>
          <w:sz w:val="21"/>
        </w:rPr>
        <w:t>셀러 카테고리 다양성, 전기 사용, 부스 조건 등 운영 기준이 있는 행사</w:t>
      </w:r>
    </w:p>
    <w:p>
      <w:r>
        <w:rPr>
          <w:rFonts w:ascii="맑은 고딕" w:hAnsi="맑은 고딕" w:eastAsia="맑은 고딕"/>
        </w:rPr>
        <w:br w:type="page"/>
      </w:r>
    </w:p>
    <w:p>
      <w:pPr>
        <w:pStyle w:val="Heading1"/>
      </w:pPr>
      <w:r>
        <w:rPr>
          <w:rFonts w:ascii="맑은 고딕" w:hAnsi="맑은 고딕" w:eastAsia="맑은 고딕"/>
          <w:color w:val="000000"/>
        </w:rPr>
        <w:t>3  제품 구조와 프로젝트 개념</w:t>
      </w:r>
    </w:p>
    <w:p>
      <w:pPr>
        <w:spacing w:before="0" w:after="80"/>
      </w:pPr>
      <w:r>
        <w:rPr>
          <w:rFonts w:ascii="맑은 고딕" w:hAnsi="맑은 고딕" w:eastAsia="맑은 고딕"/>
          <w:b/>
          <w:color w:val="2F6BFF"/>
          <w:sz w:val="22"/>
        </w:rPr>
        <w:t>상위 구조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프로젝트 내 업무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FleaMarket AX</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2026 자운대 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모집공고 → 신청 → AI 검토 → 승인 → 부스배치 → 안내 → 운영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○○구 가을축제 플리마켓</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동일한 공통 엔진을 프로젝트 설정만 바꾸어 사용</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△△전통시장 야시장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셀러·카테고리·부스 정책을 프로젝트별로 설정</w:t>
            </w:r>
          </w:p>
        </w:tc>
      </w:tr>
    </w:tbl>
    <w:p>
      <w:pPr>
        <w:spacing w:after="20"/>
      </w:pPr>
    </w:p>
    <w:p>
      <w:pPr>
        <w:spacing w:before="120" w:after="80"/>
      </w:pPr>
      <w:r>
        <w:rPr>
          <w:rFonts w:ascii="맑은 고딕" w:hAnsi="맑은 고딕" w:eastAsia="맑은 고딕"/>
          <w:b/>
          <w:color w:val="17324D"/>
          <w:sz w:val="22"/>
        </w:rPr>
        <w:t>프로젝트 생성 시 설정할 항목</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예시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프로젝트명, 행사일, 장소, 모집기간, 모집팀 수</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모집정책</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허용/제한 품목, 참가비, 사업자 여부, 사진 필수 여부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운영조건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규격, 전기, 테이블, 냉장/화기 사용, 차량 진입</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심사기준</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축제 적합성, 상품 차별성, 카테고리 중복, 운영 안정성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상태값</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검토중, 승인, 대기, 탈락, 참가확정, 취소</w:t>
            </w:r>
          </w:p>
        </w:tc>
      </w:tr>
    </w:tbl>
    <w:p>
      <w:pPr>
        <w:spacing w:after="20"/>
      </w:pPr>
    </w:p>
    <w:p>
      <w:pPr>
        <w:spacing w:before="120" w:after="80"/>
      </w:pPr>
      <w:r>
        <w:rPr>
          <w:rFonts w:ascii="맑은 고딕" w:hAnsi="맑은 고딕" w:eastAsia="맑은 고딕"/>
          <w:b/>
          <w:color w:val="17324D"/>
          <w:sz w:val="22"/>
        </w:rPr>
        <w:t>멀티프로젝트 운영 가치</w:t>
      </w:r>
    </w:p>
    <w:p>
      <w:pPr>
        <w:pStyle w:val="ListBullet"/>
        <w:spacing w:after="40"/>
      </w:pPr>
      <w:r>
        <w:rPr>
          <w:rFonts w:ascii="맑은 고딕" w:hAnsi="맑은 고딕" w:eastAsia="맑은 고딕"/>
          <w:sz w:val="21"/>
        </w:rPr>
        <w:t>같은 기간 여러 플리마켓을 한 관리자 화면에서 분리 관리</w:t>
      </w:r>
    </w:p>
    <w:p>
      <w:pPr>
        <w:pStyle w:val="ListBullet"/>
        <w:spacing w:after="40"/>
      </w:pPr>
      <w:r>
        <w:rPr>
          <w:rFonts w:ascii="맑은 고딕" w:hAnsi="맑은 고딕" w:eastAsia="맑은 고딕"/>
          <w:sz w:val="21"/>
        </w:rPr>
        <w:t>셀러의 중복 일정·중복 신청을 자동 확인</w:t>
      </w:r>
    </w:p>
    <w:p>
      <w:pPr>
        <w:pStyle w:val="ListBullet"/>
        <w:spacing w:after="40"/>
      </w:pPr>
      <w:r>
        <w:rPr>
          <w:rFonts w:ascii="맑은 고딕" w:hAnsi="맑은 고딕" w:eastAsia="맑은 고딕"/>
          <w:sz w:val="21"/>
        </w:rPr>
        <w:t>과거 참가 이력과 운영 평가를 다음 프로젝트 선정에 활용</w:t>
      </w:r>
    </w:p>
    <w:p>
      <w:pPr>
        <w:pStyle w:val="ListBullet"/>
        <w:spacing w:after="40"/>
      </w:pPr>
      <w:r>
        <w:rPr>
          <w:rFonts w:ascii="맑은 고딕" w:hAnsi="맑은 고딕" w:eastAsia="맑은 고딕"/>
          <w:sz w:val="21"/>
        </w:rPr>
        <w:t>행사별 성과를 비교해 우수 셀러·인기 카테고리 데이터 축적</w:t>
      </w:r>
    </w:p>
    <w:p>
      <w:r>
        <w:rPr>
          <w:rFonts w:ascii="맑은 고딕" w:hAnsi="맑은 고딕" w:eastAsia="맑은 고딕"/>
        </w:rPr>
        <w:br w:type="page"/>
      </w:r>
    </w:p>
    <w:p>
      <w:pPr>
        <w:pStyle w:val="Heading1"/>
      </w:pPr>
      <w:r>
        <w:rPr>
          <w:rFonts w:ascii="맑은 고딕" w:hAnsi="맑은 고딕" w:eastAsia="맑은 고딕"/>
          <w:color w:val="000000"/>
        </w:rPr>
        <w:t>4  MVP 범위와 사용자 여정</w:t>
      </w:r>
    </w:p>
    <w:p>
      <w:pPr>
        <w:spacing w:before="0" w:after="80"/>
      </w:pPr>
      <w:r>
        <w:rPr>
          <w:rFonts w:ascii="맑은 고딕" w:hAnsi="맑은 고딕" w:eastAsia="맑은 고딕"/>
          <w:b/>
          <w:color w:val="2F6BFF"/>
          <w:sz w:val="22"/>
        </w:rPr>
        <w:t>이번 MVP에서 반드시 구현할 범위</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MVP 기능</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우선순위</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여러 행사를 생성하고 상태·기간·정책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모바일 신청서, 기본정보·상품·사진·운영조건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셀러/신청 분리 저장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마스터 + 프로젝트별 신청정보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카테고리 분류, 적합도, 유사 셀러, 주의사항</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 검토 메모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 배치, 전기·테이블 요구 관리</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안내문 생성</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 안내문 자동 작성</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명단/운영자료 출력</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선정자·부스·연락처 등 XLSX(필수)/PDF(선택) 출력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MUST</w:t>
            </w:r>
          </w:p>
        </w:tc>
      </w:tr>
    </w:tbl>
    <w:p>
      <w:pPr>
        <w:spacing w:after="20"/>
      </w:pPr>
    </w:p>
    <w:p>
      <w:pPr>
        <w:spacing w:before="80" w:after="80"/>
      </w:pPr>
      <w:r>
        <w:rPr>
          <w:rFonts w:ascii="맑은 고딕" w:hAnsi="맑은 고딕" w:eastAsia="맑은 고딕"/>
          <w:b/>
          <w:color w:val="17324D"/>
          <w:sz w:val="22"/>
        </w:rPr>
        <w:t>MVP에서 제외</w:t>
      </w:r>
    </w:p>
    <w:p>
      <w:pPr>
        <w:pStyle w:val="ListBullet"/>
        <w:spacing w:after="40"/>
      </w:pPr>
      <w:r>
        <w:rPr>
          <w:rFonts w:ascii="맑은 고딕" w:hAnsi="맑은 고딕" w:eastAsia="맑은 고딕"/>
          <w:sz w:val="21"/>
        </w:rPr>
        <w:t>앱스토어용 네이티브 앱</w:t>
      </w:r>
    </w:p>
    <w:p>
      <w:pPr>
        <w:pStyle w:val="ListBullet"/>
        <w:spacing w:after="40"/>
      </w:pPr>
      <w:r>
        <w:rPr>
          <w:rFonts w:ascii="맑은 고딕" w:hAnsi="맑은 고딕" w:eastAsia="맑은 고딕"/>
          <w:sz w:val="21"/>
        </w:rPr>
        <w:t>결제·정산·매출관리</w:t>
      </w:r>
    </w:p>
    <w:p>
      <w:pPr>
        <w:pStyle w:val="ListBullet"/>
        <w:spacing w:after="40"/>
      </w:pPr>
      <w:r>
        <w:rPr>
          <w:rFonts w:ascii="맑은 고딕" w:hAnsi="맑은 고딕" w:eastAsia="맑은 고딕"/>
          <w:sz w:val="21"/>
        </w:rPr>
        <w:t>셀러 커뮤니티·리뷰·팔로우</w:t>
      </w:r>
    </w:p>
    <w:p>
      <w:pPr>
        <w:pStyle w:val="ListBullet"/>
        <w:spacing w:after="40"/>
      </w:pPr>
      <w:r>
        <w:rPr>
          <w:rFonts w:ascii="맑은 고딕" w:hAnsi="맑은 고딕" w:eastAsia="맑은 고딕"/>
          <w:sz w:val="21"/>
        </w:rPr>
        <w:t>복잡한 실시간 지도형 부스배치</w:t>
      </w:r>
    </w:p>
    <w:p>
      <w:pPr>
        <w:pStyle w:val="ListBullet"/>
        <w:spacing w:after="40"/>
      </w:pPr>
      <w:r>
        <w:rPr>
          <w:rFonts w:ascii="맑은 고딕" w:hAnsi="맑은 고딕" w:eastAsia="맑은 고딕"/>
          <w:sz w:val="21"/>
        </w:rPr>
        <w:t>방문객용 쇼핑/쿠폰 기능</w:t>
      </w:r>
    </w:p>
    <w:p>
      <w:pPr>
        <w:spacing w:before="120" w:after="80"/>
      </w:pPr>
      <w:r>
        <w:rPr>
          <w:rFonts w:ascii="맑은 고딕" w:hAnsi="맑은 고딕" w:eastAsia="맑은 고딕"/>
          <w:b/>
          <w:color w:val="17324D"/>
          <w:sz w:val="22"/>
        </w:rPr>
        <w:t>기본 사용자 여정</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단계</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셀러</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운영자/AI</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 모집</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QR/링크 접속</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생성·모집공고 공개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2. 신청</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기본정보·상품·조건 입력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자동 수집</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3. 검토</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분류·적합도·중복 분석</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4. 선정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결과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승인/대기/탈락 결정</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5. 배치</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정보 확인</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번호·운영조건 배치</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6. 안내</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참가 안내 수신</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선정/준비사항 안내</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 운영</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현장 참가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체크·변경·이슈 기록</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5  AI Agent 적용 설계</w:t>
      </w:r>
    </w:p>
    <w:p>
      <w:pPr>
        <w:spacing w:before="0" w:after="80"/>
      </w:pPr>
      <w:r>
        <w:rPr>
          <w:rFonts w:ascii="맑은 고딕" w:hAnsi="맑은 고딕" w:eastAsia="맑은 고딕"/>
          <w:b/>
          <w:color w:val="6F52ED"/>
          <w:sz w:val="22"/>
        </w:rPr>
        <w:t>AI의 역할은 “자동 탈락”이 아니라 “운영자 판단 보조”로 한정한다.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tblHeader/>
          <w:tblHeader/>
          <w:cantSplit/>
          <w:tblHeader/>
        </w:trPr>
        <w:tc>
          <w:tcPr>
            <w:tcW w:type="dxa" w:w="17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Agent/기능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입력</w:t>
            </w:r>
          </w:p>
        </w:tc>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출력</w:t>
            </w:r>
          </w:p>
        </w:tc>
        <w:tc>
          <w:tcPr>
            <w:tcW w:type="dxa" w:w="4191"/>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8"/>
              </w:rPr>
              <w:t>Human-in-the-loop</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Application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셀러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핵심정보 요약, 누락 항목</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누락 보완 요청 여부</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Classification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상품명·설명·사진 설명</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카테고리 자동 분류</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 수정 가능</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Evaluation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프로젝트 기준 + 신청정보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적합도 점수, 추천이유, 위험사항</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최종 선정은 운영자</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Duplicate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동일 프로젝트 신청목록</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유사 업종·상품 군집</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과다 카테고리 판단</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Booth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부스 조건 + 셀러 요구</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배치 추천</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운영자가 최종 배치</w:t>
            </w:r>
          </w:p>
        </w:tc>
      </w:tr>
      <w:tr>
        <w:trPr>
          <w:cantSplit/>
        </w:trPr>
        <w:tc>
          <w:tcPr>
            <w:tcW w:type="dxa" w:w="17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Communication Agent</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선정상태·운영정보</w:t>
            </w:r>
          </w:p>
        </w:tc>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안내문 초안</w:t>
            </w:r>
          </w:p>
        </w:tc>
        <w:tc>
          <w:tcPr>
            <w:tcW w:type="dxa" w:w="4191"/>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8"/>
              </w:rPr>
              <w:t>발송 전 운영자 확인</w:t>
            </w:r>
          </w:p>
        </w:tc>
      </w:tr>
    </w:tbl>
    <w:p>
      <w:pPr>
        <w:spacing w:after="20"/>
      </w:pPr>
    </w:p>
    <w:p>
      <w:pPr>
        <w:spacing w:before="120" w:after="80"/>
      </w:pPr>
      <w:r>
        <w:rPr>
          <w:rFonts w:ascii="맑은 고딕" w:hAnsi="맑은 고딕" w:eastAsia="맑은 고딕"/>
          <w:b/>
          <w:color w:val="17324D"/>
          <w:sz w:val="22"/>
        </w:rPr>
        <w:t>권장 Agent 흐름</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Workflow</w:t>
            </w:r>
          </w:p>
          <w:p>
            <w:pPr>
              <w:spacing w:after="80" w:before="80"/>
            </w:pPr>
            <w:r>
              <w:rPr>
                <w:rFonts w:ascii="맑은 고딕" w:hAnsi="맑은 고딕" w:eastAsia="맑은 고딕"/>
                <w:color w:val="000000"/>
                <w:sz w:val="19"/>
              </w:rPr>
              <w:t>셀러 신청 → 신청정보 정리 → 카테고리 분류 → 적합성/중복 분석 → 운영자 최종 승인 → 부스 추천 → 안내문 생성 → 운영자료 출력</w:t>
            </w:r>
          </w:p>
        </w:tc>
      </w:tr>
    </w:tbl>
    <w:p>
      <w:pPr>
        <w:spacing w:after="20"/>
      </w:pPr>
    </w:p>
    <w:p>
      <w:pPr>
        <w:spacing w:before="120" w:after="80"/>
      </w:pPr>
      <w:r>
        <w:rPr>
          <w:rFonts w:ascii="맑은 고딕" w:hAnsi="맑은 고딕" w:eastAsia="맑은 고딕"/>
          <w:b/>
          <w:color w:val="17324D"/>
          <w:sz w:val="22"/>
        </w:rPr>
        <w:t>LangGraph 개념과 서비스 연결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LangGraph 개념</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플랫폼 적용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State</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프로젝트·셀러·신청·평가·선정·부스 상태를 공유</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Routing</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누락/심사/승인/대기/탈락에 따라 다음 단계 분기</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Evaluator</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기준으로 신청 적합성 평가</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Human-in-the-loop</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추천 후 운영자가 최종 승인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Memory</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셀러의 과거 참가·운영 이력 저장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Multi-Agent</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분류·평가·중복·배치·안내 역할 분리</w:t>
            </w:r>
          </w:p>
        </w:tc>
      </w:tr>
    </w:tbl>
    <w:p>
      <w:pPr>
        <w:spacing w:after="20"/>
      </w:pPr>
    </w:p>
    <w:p>
      <w:r>
        <w:rPr>
          <w:rFonts w:ascii="맑은 고딕" w:hAnsi="맑은 고딕" w:eastAsia="맑은 고딕"/>
        </w:rPr>
        <w:br w:type="page"/>
      </w:r>
    </w:p>
    <w:p>
      <w:pPr>
        <w:pStyle w:val="Heading1"/>
      </w:pPr>
      <w:r>
        <w:rPr>
          <w:rFonts w:ascii="맑은 고딕" w:hAnsi="맑은 고딕" w:eastAsia="맑은 고딕"/>
          <w:color w:val="000000"/>
        </w:rPr>
        <w:t>6  핵심 데이터 구조</w:t>
      </w:r>
    </w:p>
    <w:p>
      <w:pPr>
        <w:spacing w:before="0" w:after="80"/>
      </w:pPr>
      <w:r>
        <w:rPr>
          <w:rFonts w:ascii="맑은 고딕" w:hAnsi="맑은 고딕" w:eastAsia="맑은 고딕"/>
          <w:b/>
          <w:color w:val="2F6BFF"/>
          <w:sz w:val="22"/>
        </w:rPr>
        <w:t>MVP는 다음 6개 데이터 엔티티를 중심으로 설계한다.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Entity</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핵심 필드</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설명</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seller_id, user_id, 상호, 대표자, 연락처, 사업자정보</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인증 계정에 연결된 셀러 마스터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행사명, 기간, 장소, 모집정책, 심사기준</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등 개별 행사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seller_id, project_id, 신청품목, 운영요구,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셀러와 프로젝트를 연결하는 핵심 엔티티</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Evaluation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version_no, status, summary, AI점수·근거</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실행·평가 이력, 사람 결정은 신청 상태이력에 저장</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Booth / BoothAssignment</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project_id, booth_no, 조건 / application_id, released_at</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자원과 추천·확정·해제 이력 분리</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Communication</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application_id, message_type, 내용, 발송일, 상태</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선정·대기·탈락·행사안내 이력</w:t>
            </w:r>
          </w:p>
        </w:tc>
      </w:tr>
    </w:tbl>
    <w:p>
      <w:pPr>
        <w:spacing w:after="2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가장 중요한 관계</w:t>
            </w:r>
          </w:p>
          <w:p>
            <w:pPr>
              <w:spacing w:after="80" w:before="80"/>
            </w:pPr>
            <w:r>
              <w:rPr>
                <w:rFonts w:ascii="맑은 고딕" w:hAnsi="맑은 고딕" w:eastAsia="맑은 고딕"/>
                <w:color w:val="000000"/>
                <w:sz w:val="19"/>
              </w:rPr>
              <w:t>Seller 1명은 여러 Project에 여러 번 신청할 수 있다. 따라서 Seller와 Project를 직접 연결하지 않고 Application을 중간에 둔다. 이 구조가 멀티프로젝트 운영과 재참여 데이터를 가능하게 한다.</w:t>
            </w:r>
          </w:p>
        </w:tc>
      </w:tr>
    </w:tbl>
    <w:p>
      <w:pPr>
        <w:spacing w:after="20"/>
      </w:pPr>
    </w:p>
    <w:p>
      <w:pPr>
        <w:spacing w:before="120" w:after="80"/>
      </w:pPr>
      <w:r>
        <w:rPr>
          <w:rFonts w:ascii="맑은 고딕" w:hAnsi="맑은 고딕" w:eastAsia="맑은 고딕"/>
          <w:b/>
          <w:color w:val="17324D"/>
          <w:sz w:val="22"/>
        </w:rPr>
        <w:t>초기 데이터 자산</w:t>
      </w:r>
    </w:p>
    <w:p>
      <w:pPr>
        <w:pStyle w:val="ListBullet"/>
        <w:spacing w:after="40"/>
      </w:pPr>
      <w:r>
        <w:rPr>
          <w:rFonts w:ascii="맑은 고딕" w:hAnsi="맑은 고딕" w:eastAsia="맑은 고딕"/>
          <w:sz w:val="21"/>
        </w:rPr>
        <w:t>프로젝트별 신청·선정·취소 이력</w:t>
      </w:r>
    </w:p>
    <w:p>
      <w:pPr>
        <w:pStyle w:val="ListBullet"/>
        <w:spacing w:after="40"/>
      </w:pPr>
      <w:r>
        <w:rPr>
          <w:rFonts w:ascii="맑은 고딕" w:hAnsi="맑은 고딕" w:eastAsia="맑은 고딕"/>
          <w:sz w:val="21"/>
        </w:rPr>
        <w:t>셀러별 참가 횟수, 품목, 운영 이슈, 노쇼 여부</w:t>
      </w:r>
    </w:p>
    <w:p>
      <w:pPr>
        <w:pStyle w:val="ListBullet"/>
        <w:spacing w:after="40"/>
      </w:pPr>
      <w:r>
        <w:rPr>
          <w:rFonts w:ascii="맑은 고딕" w:hAnsi="맑은 고딕" w:eastAsia="맑은 고딕"/>
          <w:sz w:val="21"/>
        </w:rPr>
        <w:t>카테고리별 경쟁률과 선정 비율</w:t>
      </w:r>
    </w:p>
    <w:p>
      <w:pPr>
        <w:pStyle w:val="ListBullet"/>
        <w:spacing w:after="40"/>
      </w:pPr>
      <w:r>
        <w:rPr>
          <w:rFonts w:ascii="맑은 고딕" w:hAnsi="맑은 고딕" w:eastAsia="맑은 고딕"/>
          <w:sz w:val="21"/>
        </w:rPr>
        <w:t>부스 조건 및 현장 운영 데이터</w:t>
      </w:r>
    </w:p>
    <w:p>
      <w:pPr>
        <w:pStyle w:val="ListBullet"/>
        <w:spacing w:after="40"/>
      </w:pPr>
      <w:r>
        <w:rPr>
          <w:rFonts w:ascii="맑은 고딕" w:hAnsi="맑은 고딕" w:eastAsia="맑은 고딕"/>
          <w:sz w:val="21"/>
        </w:rPr>
        <w:t>향후 우수 셀러 추천·재모집·수요예측에 활용 가능</w:t>
      </w:r>
    </w:p>
    <w:p>
      <w:r>
        <w:rPr>
          <w:rFonts w:ascii="맑은 고딕" w:hAnsi="맑은 고딕" w:eastAsia="맑은 고딕"/>
        </w:rPr>
        <w:br w:type="page"/>
      </w:r>
    </w:p>
    <w:p>
      <w:pPr>
        <w:pStyle w:val="Heading1"/>
      </w:pPr>
      <w:r>
        <w:rPr>
          <w:rFonts w:ascii="맑은 고딕" w:hAnsi="맑은 고딕" w:eastAsia="맑은 고딕"/>
          <w:color w:val="000000"/>
        </w:rPr>
        <w:t>7  비즈니스 모델과 확장 전략</w:t>
      </w:r>
    </w:p>
    <w:p>
      <w:pPr>
        <w:spacing w:before="0" w:after="80"/>
      </w:pPr>
      <w:r>
        <w:rPr>
          <w:rFonts w:ascii="맑은 고딕" w:hAnsi="맑은 고딕" w:eastAsia="맑은 고딕"/>
          <w:b/>
          <w:color w:val="2F6BFF"/>
          <w:sz w:val="22"/>
        </w:rPr>
        <w:t>수익모델</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모델</w:t>
            </w:r>
          </w:p>
        </w:tc>
        <w:tc>
          <w:tcPr>
            <w:tcW w:type="dxa" w:w="27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판매 방식</w:t>
            </w:r>
          </w:p>
        </w:tc>
        <w:tc>
          <w:tcPr>
            <w:tcW w:type="dxa" w:w="5189"/>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초기 상품 예시</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구축형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1건 단위 구축·운영</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기본형 300~500만원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운영형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심사·중복·부스추천·문서자동화 포함</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700~1,200만원</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행사 통합형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외 공연팀·스탭·자원봉사자 등 확장</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1,500만원 이상</w:t>
            </w:r>
          </w:p>
        </w:tc>
      </w:tr>
      <w:tr>
        <w:trPr>
          <w:cantSplit/>
        </w:trPr>
        <w:tc>
          <w:tcPr>
            <w:tcW w:type="dxa" w:w="1996"/>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SaaS 구독형</w:t>
            </w:r>
          </w:p>
        </w:tc>
        <w:tc>
          <w:tcPr>
            <w:tcW w:type="dxa" w:w="27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대행사/기관이 연간 여러 프로젝트 사용</w:t>
            </w:r>
          </w:p>
        </w:tc>
        <w:tc>
          <w:tcPr>
            <w:tcW w:type="dxa" w:w="5189"/>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월/연 구독 + 사용량</w:t>
            </w:r>
          </w:p>
        </w:tc>
      </w:tr>
    </w:tbl>
    <w:p>
      <w:pPr>
        <w:spacing w:after="20"/>
      </w:pPr>
    </w:p>
    <w:p>
      <w:pPr>
        <w:spacing w:before="120" w:after="80"/>
      </w:pPr>
      <w:r>
        <w:rPr>
          <w:rFonts w:ascii="맑은 고딕" w:hAnsi="맑은 고딕" w:eastAsia="맑은 고딕"/>
          <w:b/>
          <w:color w:val="17324D"/>
          <w:sz w:val="22"/>
        </w:rPr>
        <w:t>확장 방향</w:t>
      </w:r>
    </w:p>
    <w:p>
      <w:pPr>
        <w:pStyle w:val="ListBullet"/>
        <w:spacing w:after="40"/>
      </w:pPr>
      <w:r>
        <w:rPr>
          <w:rFonts w:ascii="맑은 고딕" w:hAnsi="맑은 고딕" w:eastAsia="맑은 고딕"/>
          <w:sz w:val="21"/>
        </w:rPr>
        <w:t>셀러 → 푸드트럭 → 체험부스 → 공연팀 → 자원봉사자까지 모집 대상 확장</w:t>
      </w:r>
    </w:p>
    <w:p>
      <w:pPr>
        <w:pStyle w:val="ListBullet"/>
        <w:spacing w:after="40"/>
      </w:pPr>
      <w:r>
        <w:rPr>
          <w:rFonts w:ascii="맑은 고딕" w:hAnsi="맑은 고딕" w:eastAsia="맑은 고딕"/>
          <w:sz w:val="21"/>
        </w:rPr>
        <w:t>QR 체크인·현장 이슈·만족도·결과보고 자동화 추가</w:t>
      </w:r>
    </w:p>
    <w:p>
      <w:pPr>
        <w:pStyle w:val="ListBullet"/>
        <w:spacing w:after="40"/>
      </w:pPr>
      <w:r>
        <w:rPr>
          <w:rFonts w:ascii="맑은 고딕" w:hAnsi="맑은 고딕" w:eastAsia="맑은 고딕"/>
          <w:sz w:val="21"/>
        </w:rPr>
        <w:t>행사 운영 전 과정을 다루는 “Festival Operations AX”로 확장</w:t>
      </w:r>
    </w:p>
    <w:p>
      <w:pPr>
        <w:pStyle w:val="ListBullet"/>
        <w:spacing w:after="40"/>
      </w:pPr>
      <w:r>
        <w:rPr>
          <w:rFonts w:ascii="맑은 고딕" w:hAnsi="맑은 고딕" w:eastAsia="맑은 고딕"/>
          <w:sz w:val="21"/>
        </w:rPr>
        <w:t>축제대행사 대상 화이트라벨(고객사 브랜드) 공급 가능</w:t>
      </w:r>
    </w:p>
    <w:p>
      <w:pPr>
        <w:spacing w:before="120" w:after="80"/>
      </w:pPr>
      <w:r>
        <w:rPr>
          <w:rFonts w:ascii="맑은 고딕" w:hAnsi="맑은 고딕" w:eastAsia="맑은 고딕"/>
          <w:b/>
          <w:color w:val="17324D"/>
          <w:sz w:val="22"/>
        </w:rPr>
        <w:t>판매 전략</w:t>
      </w:r>
    </w:p>
    <w:p>
      <w:pPr>
        <w:pStyle w:val="ListNumber"/>
        <w:spacing w:after="40"/>
      </w:pPr>
      <w:r>
        <w:rPr>
          <w:rFonts w:ascii="맑은 고딕" w:hAnsi="맑은 고딕" w:eastAsia="맑은 고딕"/>
          <w:sz w:val="21"/>
        </w:rPr>
        <w:t>자운대 축제를 실증 프로젝트로 운영해 실제 신청·심사·배치 데이터를 확보한다.</w:t>
      </w:r>
    </w:p>
    <w:p>
      <w:pPr>
        <w:pStyle w:val="ListNumber"/>
        <w:spacing w:after="40"/>
      </w:pPr>
      <w:r>
        <w:rPr>
          <w:rFonts w:ascii="맑은 고딕" w:hAnsi="맑은 고딕" w:eastAsia="맑은 고딕"/>
          <w:sz w:val="21"/>
        </w:rPr>
        <w:t>운영 전/후 소요시간, 오류, 담당자 만족도를 기록해 도입효과를 숫자로 만든다.</w:t>
      </w:r>
    </w:p>
    <w:p>
      <w:pPr>
        <w:pStyle w:val="ListNumber"/>
        <w:spacing w:after="40"/>
      </w:pPr>
      <w:r>
        <w:rPr>
          <w:rFonts w:ascii="맑은 고딕" w:hAnsi="맑은 고딕" w:eastAsia="맑은 고딕"/>
          <w:sz w:val="21"/>
        </w:rPr>
        <w:t>실증 결과를 사례화해 비슷한 시기의 다른 플리마켓 프로젝트에 반복 적용한다.</w:t>
      </w:r>
    </w:p>
    <w:p>
      <w:pPr>
        <w:pStyle w:val="ListNumber"/>
        <w:spacing w:after="40"/>
      </w:pPr>
      <w:r>
        <w:rPr>
          <w:rFonts w:ascii="맑은 고딕" w:hAnsi="맑은 고딕" w:eastAsia="맑은 고딕"/>
          <w:sz w:val="21"/>
        </w:rPr>
        <w:t>3~5개 프로젝트가 쌓이면 공통기능을 표준화해 SaaS 버전으로 전환한다.</w:t>
      </w:r>
    </w:p>
    <w:p>
      <w:r>
        <w:rPr>
          <w:rFonts w:ascii="맑은 고딕" w:hAnsi="맑은 고딕" w:eastAsia="맑은 고딕"/>
        </w:rPr>
        <w:br w:type="page"/>
      </w:r>
    </w:p>
    <w:p>
      <w:pPr>
        <w:pStyle w:val="Heading1"/>
      </w:pPr>
      <w:r>
        <w:rPr>
          <w:rFonts w:ascii="맑은 고딕" w:hAnsi="맑은 고딕" w:eastAsia="맑은 고딕"/>
          <w:color w:val="000000"/>
        </w:rPr>
        <w:t>8  Pilot Project   2026 자운대 축제 플리마켓</w:t>
      </w:r>
    </w:p>
    <w:p>
      <w:pPr>
        <w:spacing w:before="0" w:after="80"/>
      </w:pPr>
      <w:r>
        <w:rPr>
          <w:rFonts w:ascii="맑은 고딕" w:hAnsi="맑은 고딕" w:eastAsia="맑은 고딕"/>
          <w:b/>
          <w:color w:val="6F52ED"/>
          <w:sz w:val="22"/>
        </w:rPr>
        <w:t>자운대는 플랫폼 전체를 검증하기 위한 첫 프로젝트이며, 자운대만을 위한 별도 시스템으로 개발하지 않는다.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Pilot 적용 내용</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프로젝트 생성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자운대 행사일·장소·모집기간·모집팀 수 등록</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셀러 모집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QR/URL 기반 모바일 신청</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AI 검토</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상품 분류, 축제 적합성, 유사 셀러, 주의사항 도출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 심사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승인·대기·탈락 최종결정</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관리</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번호·전기·테이블·특이사항 관리</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상태별 선정/대기/탈락/행사준비 안내문 생성</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운영자료</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선정자 명단, 연락처, 부스표, 준비사항 출력</w:t>
            </w:r>
          </w:p>
        </w:tc>
      </w:tr>
    </w:tbl>
    <w:p>
      <w:pPr>
        <w:spacing w:after="20"/>
      </w:pPr>
    </w:p>
    <w:p>
      <w:pPr>
        <w:spacing w:before="120" w:after="80"/>
      </w:pPr>
      <w:r>
        <w:rPr>
          <w:rFonts w:ascii="맑은 고딕" w:hAnsi="맑은 고딕" w:eastAsia="맑은 고딕"/>
          <w:b/>
          <w:color w:val="17324D"/>
          <w:sz w:val="22"/>
        </w:rPr>
        <w:t>Pilot 성공 기준</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지표</w:t>
            </w:r>
          </w:p>
        </w:tc>
        <w:tc>
          <w:tcPr>
            <w:tcW w:type="dxa" w:w="7483"/>
            <w:vAlign w:val="center"/>
            <w:tcMar>
              <w:top w:w="100" w:type="dxa"/>
              <w:start w:w="100" w:type="dxa"/>
              <w:bottom w:w="100" w:type="dxa"/>
              <w:end w:w="100" w:type="dxa"/>
            </w:tcMar>
            <w:shd w:fill="E8EDF2"/>
          </w:tcPr>
          <w:p>
            <w:pPr>
              <w:spacing w:after="80" w:before="80"/>
              <w:jc w:val="center"/>
            </w:pPr>
            <w:r>
              <w:rPr>
                <w:rFonts w:ascii="맑은 고딕" w:hAnsi="맑은 고딕" w:eastAsia="맑은 고딕"/>
                <w:b/>
                <w:color w:val="000000"/>
                <w:sz w:val="19"/>
              </w:rPr>
              <w:t>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신청 데이터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수작업 대비 감소</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심사 정리 시간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기존 대비 50% 이상 단축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안내 누락</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0건 목표</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부스 배치 변경 대응</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관리자 화면에서 즉시 수정 가능</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담당자 만족도</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 의향 확인</w:t>
            </w:r>
          </w:p>
        </w:tc>
      </w:tr>
      <w:tr>
        <w:trPr>
          <w:cantSplit/>
        </w:trPr>
        <w:tc>
          <w:tcPr>
            <w:tcW w:type="dxa" w:w="2494"/>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재사용성</w:t>
            </w:r>
          </w:p>
        </w:tc>
        <w:tc>
          <w:tcPr>
            <w:tcW w:type="dxa" w:w="7483"/>
            <w:vAlign w:val="center"/>
            <w:tcMar>
              <w:top w:w="90" w:type="dxa"/>
              <w:start w:w="90" w:type="dxa"/>
              <w:bottom w:w="90" w:type="dxa"/>
              <w:end w:w="90" w:type="dxa"/>
            </w:tcMar>
            <w:shd w:fill="FFFFFF"/>
          </w:tcPr>
          <w:p>
            <w:pPr>
              <w:spacing w:after="80" w:before="80"/>
            </w:pPr>
            <w:r>
              <w:rPr>
                <w:rFonts w:ascii="맑은 고딕" w:hAnsi="맑은 고딕" w:eastAsia="맑은 고딕"/>
                <w:color w:val="000000"/>
                <w:sz w:val="19"/>
              </w:rPr>
              <w:t>다음 프로젝트 생성 시 코드 수정 없이 설정으로 운영</w:t>
            </w:r>
          </w:p>
        </w:tc>
      </w:tr>
    </w:tbl>
    <w:p>
      <w:pPr>
        <w:spacing w:after="20"/>
      </w:pPr>
    </w:p>
    <w:p>
      <w:pPr>
        <w:spacing w:before="160" w:after="80"/>
      </w:pPr>
      <w:r>
        <w:rPr>
          <w:rFonts w:ascii="맑은 고딕" w:hAnsi="맑은 고딕" w:eastAsia="맑은 고딕"/>
          <w:b/>
          <w:color w:val="2F6BFF"/>
          <w:sz w:val="22"/>
        </w:rPr>
        <w:t>MVP 이후 바로 이어질 문서</w:t>
      </w:r>
    </w:p>
    <w:p>
      <w:pPr>
        <w:pStyle w:val="ListNumber"/>
        <w:spacing w:after="40"/>
      </w:pPr>
      <w:r>
        <w:rPr>
          <w:rFonts w:ascii="맑은 고딕" w:hAnsi="맑은 고딕" w:eastAsia="맑은 고딕"/>
          <w:sz w:val="21"/>
        </w:rPr>
        <w:t>업무 프로세스 상세 설계서</w:t>
      </w:r>
    </w:p>
    <w:p>
      <w:pPr>
        <w:pStyle w:val="ListNumber"/>
        <w:spacing w:after="40"/>
      </w:pPr>
      <w:r>
        <w:rPr>
          <w:rFonts w:ascii="맑은 고딕" w:hAnsi="맑은 고딕" w:eastAsia="맑은 고딕"/>
          <w:sz w:val="21"/>
        </w:rPr>
        <w:t>기능명세서</w:t>
      </w:r>
    </w:p>
    <w:p>
      <w:pPr>
        <w:pStyle w:val="ListNumber"/>
        <w:spacing w:after="40"/>
      </w:pPr>
      <w:r>
        <w:rPr>
          <w:rFonts w:ascii="맑은 고딕" w:hAnsi="맑은 고딕" w:eastAsia="맑은 고딕"/>
          <w:sz w:val="21"/>
        </w:rPr>
        <w:t>화면설계서</w:t>
      </w:r>
    </w:p>
    <w:p>
      <w:pPr>
        <w:pStyle w:val="ListNumber"/>
        <w:spacing w:after="40"/>
      </w:pPr>
      <w:r>
        <w:rPr>
          <w:rFonts w:ascii="맑은 고딕" w:hAnsi="맑은 고딕" w:eastAsia="맑은 고딕"/>
          <w:sz w:val="21"/>
        </w:rPr>
        <w:t>DB/데이터 구조 명세</w:t>
      </w:r>
    </w:p>
    <w:p>
      <w:pPr>
        <w:pStyle w:val="ListNumber"/>
        <w:spacing w:after="40"/>
      </w:pPr>
      <w:r>
        <w:rPr>
          <w:rFonts w:ascii="맑은 고딕" w:hAnsi="맑은 고딕" w:eastAsia="맑은 고딕"/>
          <w:sz w:val="21"/>
        </w:rPr>
        <w:t>바이브코딩용 개발명세서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80" w:type="dxa"/>
              <w:start w:w="220" w:type="dxa"/>
              <w:bottom w:w="180" w:type="dxa"/>
              <w:end w:w="220" w:type="dxa"/>
            </w:tcMar>
            <w:vAlign w:val="center"/>
            <w:shd w:fill="FFFFFF"/>
          </w:tcPr>
          <w:p>
            <w:pPr>
              <w:spacing w:after="80" w:before="80"/>
            </w:pPr>
            <w:r>
              <w:rPr>
                <w:rFonts w:ascii="맑은 고딕" w:hAnsi="맑은 고딕" w:eastAsia="맑은 고딕"/>
                <w:b/>
                <w:color w:val="000000"/>
                <w:sz w:val="19"/>
              </w:rPr>
              <w:t>다음 의사결정</w:t>
            </w:r>
          </w:p>
          <w:p>
            <w:pPr>
              <w:spacing w:after="80" w:before="80"/>
            </w:pPr>
            <w:r>
              <w:rPr>
                <w:rFonts w:ascii="맑은 고딕" w:hAnsi="맑은 고딕" w:eastAsia="맑은 고딕"/>
                <w:color w:val="000000"/>
                <w:sz w:val="19"/>
              </w:rPr>
              <w:t>MVP 첫 개발에서는 “프로젝트 생성 → 셀러 신청 → AI 검토 → 운영자 승인 → 부스 관리 → 안내” 6개 핵심 흐름을 고정하고, 결제·커뮤니티·방문객 기능은 제외한다.</w:t>
            </w:r>
          </w:p>
        </w:tc>
      </w:tr>
    </w:tbl>
    <w:p>
      <w:pPr>
        <w:spacing w:after="20"/>
      </w:pPr>
    </w:p>
    <w:p>
      <w:pPr>
        <w:pStyle w:val="Heading1"/>
      </w:pPr>
      <w:r>
        <w:rPr>
          <w:rFonts w:ascii="맑은 고딕" w:hAnsi="맑은 고딕" w:eastAsia="맑은 고딕"/>
          <w:color w:val="000000"/>
        </w:rPr>
        <w:t>9 MVP 범위와 운영 기준 보완</w:t>
      </w:r>
    </w:p>
    <w:p>
      <w:r>
        <w:rPr>
          <w:rFonts w:ascii="맑은 고딕" w:hAnsi="맑은 고딕" w:eastAsia="맑은 고딕"/>
        </w:rPr>
        <w:t>초기 MVP는 단일 운영조직이 여러 프로젝트를 운영하는 서비스로 정의한다. 고객사별 독립 가입·결제·테넌트 격리는 후속 범위다. 여러 고객사를 같은 배포 환경에 수용하기 전에는 조직 모델과 공유 셀러의 정보 이용 범위를 다시 설계한다.</w:t>
      </w:r>
    </w:p>
    <w:p>
      <w:r>
        <w:rPr>
          <w:rFonts w:ascii="맑은 고딕" w:hAnsi="맑은 고딕" w:eastAsia="맑은 고딕"/>
        </w:rPr>
        <w:t>관리자와 셀러는 이메일 OTP 인증을 사용한다. 셀러 1계정당 셀러 마스터 1개를 기본으로 하며 연락처·사업자번호 중복은 운영자 검토용 후보다. 다른 계정의 셀러에 자동 연결하지 않는다. 모집공고는 비로그인 조회를 허용하고 작성·제출·내 신청은 인증 후 사용한다.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tblHeader/>
          <w:tblHeader/>
          <w:cantSplit/>
          <w:tblHeader/>
        </w:trPr>
        <w:tc>
          <w:tcPr>
            <w:tcW w:type="dxa" w:w="2494"/>
            <w:vAlign w:val="center"/>
            <w:shd w:fill="E8EDF2"/>
          </w:tcPr>
          <w:p>
            <w:pPr>
              <w:spacing w:after="80" w:before="80"/>
            </w:pPr>
            <w:r>
              <w:rPr>
                <w:rFonts w:ascii="맑은 고딕" w:hAnsi="맑은 고딕" w:eastAsia="맑은 고딕"/>
                <w:color w:val="000000"/>
                <w:sz w:val="19"/>
              </w:rPr>
              <w:t>영역</w:t>
            </w:r>
          </w:p>
        </w:tc>
        <w:tc>
          <w:tcPr>
            <w:tcW w:type="dxa" w:w="7483"/>
            <w:vAlign w:val="center"/>
            <w:shd w:fill="E8EDF2"/>
          </w:tcPr>
          <w:p>
            <w:pPr>
              <w:spacing w:after="80" w:before="80"/>
            </w:pPr>
            <w:r>
              <w:rPr>
                <w:rFonts w:ascii="맑은 고딕" w:hAnsi="맑은 고딕" w:eastAsia="맑은 고딕"/>
                <w:color w:val="000000"/>
                <w:sz w:val="19"/>
              </w:rPr>
              <w:t>v1.1 범위</w:t>
            </w:r>
          </w:p>
        </w:tc>
      </w:tr>
      <w:tr>
        <w:trPr>
          <w:cantSplit/>
        </w:trPr>
        <w:tc>
          <w:tcPr>
            <w:tcW w:type="dxa" w:w="2494"/>
            <w:vAlign w:val="center"/>
            <w:shd w:fill="FFFFFF"/>
          </w:tcPr>
          <w:p>
            <w:pPr>
              <w:spacing w:after="80" w:before="80"/>
            </w:pPr>
            <w:r>
              <w:rPr>
                <w:rFonts w:ascii="맑은 고딕" w:hAnsi="맑은 고딕" w:eastAsia="맑은 고딕"/>
                <w:color w:val="000000"/>
                <w:sz w:val="19"/>
              </w:rPr>
              <w:t>필수</w:t>
            </w:r>
          </w:p>
        </w:tc>
        <w:tc>
          <w:tcPr>
            <w:tcW w:type="dxa" w:w="7483"/>
            <w:vAlign w:val="center"/>
            <w:shd w:fill="FFFFFF"/>
          </w:tcPr>
          <w:p>
            <w:pPr>
              <w:spacing w:after="80" w:before="80"/>
            </w:pPr>
            <w:r>
              <w:rPr>
                <w:rFonts w:ascii="맑은 고딕" w:hAnsi="맑은 고딕" w:eastAsia="맑은 고딕"/>
                <w:color w:val="000000"/>
                <w:sz w:val="19"/>
              </w:rPr>
              <w:t>참가확정·보완·취소·내 신청, 안내문 생성·승인·발송·실패 처리, 선정/부스표 XLSX 출력</w:t>
            </w:r>
          </w:p>
        </w:tc>
      </w:tr>
      <w:tr>
        <w:trPr>
          <w:cantSplit/>
        </w:trPr>
        <w:tc>
          <w:tcPr>
            <w:tcW w:type="dxa" w:w="2494"/>
            <w:vAlign w:val="center"/>
            <w:shd w:fill="FFFFFF"/>
          </w:tcPr>
          <w:p>
            <w:pPr>
              <w:spacing w:after="80" w:before="80"/>
            </w:pPr>
            <w:r>
              <w:rPr>
                <w:rFonts w:ascii="맑은 고딕" w:hAnsi="맑은 고딕" w:eastAsia="맑은 고딕"/>
                <w:color w:val="000000"/>
                <w:sz w:val="19"/>
              </w:rPr>
              <w:t>선택</w:t>
            </w:r>
          </w:p>
        </w:tc>
        <w:tc>
          <w:tcPr>
            <w:tcW w:type="dxa" w:w="7483"/>
            <w:vAlign w:val="center"/>
            <w:shd w:fill="FFFFFF"/>
          </w:tcPr>
          <w:p>
            <w:pPr>
              <w:spacing w:after="80" w:before="80"/>
            </w:pPr>
            <w:r>
              <w:rPr>
                <w:rFonts w:ascii="맑은 고딕" w:hAnsi="맑은 고딕" w:eastAsia="맑은 고딕"/>
                <w:color w:val="000000"/>
                <w:sz w:val="19"/>
              </w:rPr>
              <w:t>PDF 출력, 알림센터, 프로젝트 복제, 연락망 전용 출력, 자동 미확정 알림</w:t>
            </w:r>
          </w:p>
        </w:tc>
      </w:tr>
      <w:tr>
        <w:trPr>
          <w:cantSplit/>
        </w:trPr>
        <w:tc>
          <w:tcPr>
            <w:tcW w:type="dxa" w:w="2494"/>
            <w:vAlign w:val="center"/>
            <w:shd w:fill="FFFFFF"/>
          </w:tcPr>
          <w:p>
            <w:pPr>
              <w:spacing w:after="80" w:before="80"/>
            </w:pPr>
            <w:r>
              <w:rPr>
                <w:rFonts w:ascii="맑은 고딕" w:hAnsi="맑은 고딕" w:eastAsia="맑은 고딕"/>
                <w:color w:val="000000"/>
                <w:sz w:val="19"/>
              </w:rPr>
              <w:t>지원 범위</w:t>
            </w:r>
          </w:p>
        </w:tc>
        <w:tc>
          <w:tcPr>
            <w:tcW w:type="dxa" w:w="7483"/>
            <w:vAlign w:val="center"/>
            <w:shd w:fill="FFFFFF"/>
          </w:tcPr>
          <w:p>
            <w:pPr>
              <w:spacing w:after="80" w:before="80"/>
            </w:pPr>
            <w:r>
              <w:rPr>
                <w:rFonts w:ascii="맑은 고딕" w:hAnsi="맑은 고딕" w:eastAsia="맑은 고딕"/>
                <w:color w:val="000000"/>
                <w:sz w:val="19"/>
              </w:rPr>
              <w:t>프로젝트별 단일 행사일, 셀러당 행사별 신청 1개, 확정 신청당 활성 부스 1개</w:t>
            </w:r>
          </w:p>
        </w:tc>
      </w:tr>
      <w:tr>
        <w:trPr>
          <w:cantSplit/>
        </w:trPr>
        <w:tc>
          <w:tcPr>
            <w:tcW w:type="dxa" w:w="2494"/>
            <w:vAlign w:val="center"/>
            <w:shd w:fill="FFFFFF"/>
          </w:tcPr>
          <w:p>
            <w:pPr>
              <w:spacing w:after="80" w:before="80"/>
            </w:pPr>
            <w:r>
              <w:rPr>
                <w:rFonts w:ascii="맑은 고딕" w:hAnsi="맑은 고딕" w:eastAsia="맑은 고딕"/>
                <w:color w:val="000000"/>
                <w:sz w:val="19"/>
              </w:rPr>
              <w:t>후속 범위</w:t>
            </w:r>
          </w:p>
        </w:tc>
        <w:tc>
          <w:tcPr>
            <w:tcW w:type="dxa" w:w="7483"/>
            <w:vAlign w:val="center"/>
            <w:shd w:fill="FFFFFF"/>
          </w:tcPr>
          <w:p>
            <w:pPr>
              <w:spacing w:after="80" w:before="80"/>
            </w:pPr>
            <w:r>
              <w:rPr>
                <w:rFonts w:ascii="맑은 고딕" w:hAnsi="맑은 고딕" w:eastAsia="맑은 고딕"/>
                <w:color w:val="000000"/>
                <w:sz w:val="19"/>
              </w:rPr>
              <w:t>다일 행사, 복수 브랜드·공동 계정, 취소 후 재신청·탈락 번복, 조직 간 운영정보 공유</w:t>
            </w:r>
          </w:p>
        </w:tc>
      </w:tr>
      <w:tr>
        <w:trPr>
          <w:cantSplit/>
        </w:trPr>
        <w:tc>
          <w:tcPr>
            <w:tcW w:type="dxa" w:w="2494"/>
            <w:vAlign w:val="center"/>
            <w:shd w:fill="FFFFFF"/>
          </w:tcPr>
          <w:p>
            <w:pPr>
              <w:spacing w:after="80" w:before="80"/>
            </w:pPr>
            <w:r>
              <w:rPr>
                <w:rFonts w:ascii="맑은 고딕" w:hAnsi="맑은 고딕" w:eastAsia="맑은 고딕"/>
                <w:color w:val="000000"/>
                <w:sz w:val="19"/>
              </w:rPr>
              <w:t>선발 정원</w:t>
            </w:r>
          </w:p>
        </w:tc>
        <w:tc>
          <w:tcPr>
            <w:tcW w:type="dxa" w:w="7483"/>
            <w:vAlign w:val="center"/>
            <w:shd w:fill="FFFFFF"/>
          </w:tcPr>
          <w:p>
            <w:pPr>
              <w:spacing w:after="80" w:before="80"/>
            </w:pPr>
            <w:r>
              <w:rPr>
                <w:rFonts w:ascii="맑은 고딕" w:hAnsi="맑은 고딕" w:eastAsia="맑은 고딕"/>
                <w:color w:val="000000"/>
                <w:sz w:val="19"/>
              </w:rPr>
              <w:t>APPROVED + CONFIRMED 수가 target_team_count를 넘지 않도록 제한, WAITING은 미포함</w:t>
            </w:r>
          </w:p>
        </w:tc>
      </w:tr>
    </w:tbl>
    <w:p/>
    <w:p>
      <w:r>
        <w:rPr>
          <w:rFonts w:ascii="맑은 고딕" w:hAnsi="맑은 고딕" w:eastAsia="맑은 고딕"/>
        </w:rPr>
        <w:t>사업 모델의 금액은 기존 기획의 가설적 판매 예시이며 견적이나 검증된 시장가격이 아니다. Pilot 효과는 운영 전 기준시간과 운영 후 실제시간을 같은 업무 단위로 기록해 비교한다. 안내 누락 0건은 발송 의무 대상 중 미처리 건이 0건인지로 확인하며 수신자의 실제 열람과 구분한다.</w:t>
      </w:r>
    </w:p>
    <w:p>
      <w:pPr>
        <w:pStyle w:val="Heading1"/>
      </w:pPr>
      <w:r>
        <w:rPr>
          <w:rFonts w:ascii="맑은 고딕" w:hAnsi="맑은 고딕" w:eastAsia="맑은 고딕"/>
          <w:color w:val="000000"/>
        </w:rPr>
        <w:t>10 가입과 행사 당일 운영</w:t>
      </w:r>
    </w:p>
    <w:p>
      <w:r>
        <w:rPr>
          <w:rFonts w:ascii="맑은 고딕" w:hAnsi="맑은 고딕" w:eastAsia="맑은 고딕"/>
        </w:rPr>
        <w:t>모집공고는 비로그인 조회를 허용한다. 신규 셀러는 이메일 OTP 인증 후 자동으로 일반 셀러 계정을 생성하고 이름·상호·연락처를 입력한다. 안내 주소는 인증 이메일을 사용하므로 별도 미검증 주소로 발송하지 않는다.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운영자는 보완기한 만료 신청을 연장하거나 취소할 수 있다. 발송 결과가 불명확한 경우에는 확인 근거를 남긴 후 결과를 확정한다. 행사 당일에는 두 셀러의 부스를 한 번에 교환할 수 있고 변경 대상에게 승인된 안내를 발송한다.</w:t>
      </w:r>
    </w:p>
    <w:p>
      <w:pPr>
        <w:pStyle w:val="Heading1"/>
      </w:pPr>
      <w:r>
        <w:rPr>
          <w:rFonts w:ascii="맑은 고딕" w:hAnsi="맑은 고딕" w:eastAsia="맑은 고딕"/>
          <w:color w:val="000000"/>
        </w:rPr>
        <w:t>11 발송 확인과 신청 안정성</w:t>
      </w:r>
    </w:p>
    <w:p>
      <w:r>
        <w:rPr>
          <w:rFonts w:ascii="맑은 고딕" w:hAnsi="맑은 고딕" w:eastAsia="맑은 고딕"/>
        </w:rPr>
        <w:t>운영자가 안내 내용을 승인하면 발송 준비 상태가 된다. 별도 발송 요청을 실행한 경우에만 실제 발송 대기열에 들어간다. 화면은 승인 완료·발송 대기·발송 중·제공사 접수 결과를 구분한다.</w:t>
      </w:r>
    </w:p>
    <w:p>
      <w:r>
        <w:rPr>
          <w:rFonts w:ascii="맑은 고딕" w:hAnsi="맑은 고딕" w:eastAsia="맑은 고딕"/>
        </w:rPr>
        <w:t>요청 결과의 보관기간이 끝나도 동일 요청을 자동 재실행하지 않는다. 화면은 만료를 안내하고 현재 업무 상태를 확인하도록 연결한다.</w:t>
      </w:r>
    </w:p>
    <w:p>
      <w:r>
        <w:rPr>
          <w:rFonts w:ascii="맑은 고딕" w:hAnsi="맑은 고딕" w:eastAsia="맑은 고딕"/>
        </w:rPr>
        <w:t>셀러가 여러 사진을 선택하면 한 장씩 연결을 완료하고 진행 개수와 실패 파일을 표시한다. 네트워크 응답이 끊겨도 동일 작업을 중복 생성하지 않도록 요청 결과를 복구한다. 이 기능의 완료조건은 E2E-36~42와 연결한다.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맑은 고딕"/>
        <w:color w:val="6B7280"/>
        <w:sz w:val="16"/>
      </w:rPr>
      <w:t>FleaMarket AX  |  플리마켓 셀러 모집·운영 플랫폼 MVP 서비스 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1.3</cp:version>
</cp:coreProperties>
</file>