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694D" w14:textId="77777777" w:rsidR="00A56C1B" w:rsidRDefault="00732483" w:rsidP="00A56C1B">
      <w:pPr>
        <w:spacing w:line="360" w:lineRule="auto"/>
        <w:jc w:val="both"/>
        <w:rPr>
          <w:rFonts w:ascii="Arial" w:hAnsi="Arial" w:cs="Arial"/>
        </w:rPr>
      </w:pPr>
      <w:r w:rsidRPr="00A56C1B">
        <w:rPr>
          <w:rFonts w:ascii="Arial" w:hAnsi="Arial" w:cs="Arial"/>
        </w:rPr>
        <w:t xml:space="preserve">1.4 Fundamentos teóricos del constructo </w:t>
      </w:r>
    </w:p>
    <w:p w14:paraId="65098F0C" w14:textId="77777777" w:rsidR="00A56C1B" w:rsidRDefault="00732483" w:rsidP="00A56C1B">
      <w:pPr>
        <w:spacing w:line="360" w:lineRule="auto"/>
        <w:ind w:firstLine="708"/>
        <w:jc w:val="both"/>
        <w:rPr>
          <w:rFonts w:ascii="Arial" w:hAnsi="Arial" w:cs="Arial"/>
        </w:rPr>
      </w:pPr>
      <w:r w:rsidRPr="00A56C1B">
        <w:rPr>
          <w:rFonts w:ascii="Arial" w:hAnsi="Arial" w:cs="Arial"/>
        </w:rPr>
        <w:t>En esta fase del marco teórico, se examina la ansiedad como un constructo psicológico a partir de una serie de temas que comienzan con su conceptualización general y siguen con los antecedentes y postulados de la teoría de Spielberger sobre la ansiedad estado-rasgo, describen el significado de sus dos dimensiones y su importancia en alumnos del quinto grado de secundaria, detallan las formas más importantes en que se manifiesta y, finalmente, vinculan estas bases con la interpretación de las puntuaciones del Inventario de Ansiedad Estado-Rasgo (STAI).</w:t>
      </w:r>
    </w:p>
    <w:p w14:paraId="51592FA0" w14:textId="77777777" w:rsidR="00A56C1B" w:rsidRDefault="00732483" w:rsidP="00A56C1B">
      <w:pPr>
        <w:spacing w:line="360" w:lineRule="auto"/>
        <w:ind w:firstLine="708"/>
        <w:jc w:val="both"/>
        <w:rPr>
          <w:rFonts w:ascii="Arial" w:hAnsi="Arial" w:cs="Arial"/>
        </w:rPr>
      </w:pPr>
      <w:r w:rsidRPr="00A56C1B">
        <w:rPr>
          <w:rFonts w:ascii="Arial" w:hAnsi="Arial" w:cs="Arial"/>
        </w:rPr>
        <w:t>En esta línea, tenemos la posibilidad de entender la ansiedad como una compleja reacción emocional que se orienta hacia la potencialidad de un peligro. El miedo suele organizarse frente a un peligro inmediato y reconocible, en cambio la ansiedad es más anticipatoria y puede activarse cuando el desenlace de una situación es incierto. En ella se encuentran emociones de ansiedad y tensión, reflexiones sobre la amenaza, alteraciones fisiológicas y patrones de comportamiento como el evitar o el vigilar (Grupe &amp; Nitschke, 2013; Spielberger &amp; Reheiser, 2009).</w:t>
      </w:r>
    </w:p>
    <w:p w14:paraId="40CB2156"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La ansiedad tiene el potencial de ser adaptativa si su intensidad es proporcional a lo que la situación demanda, pues contribuye a la preparación, la atención y la movilización de recursos. No obstante, puede tornarse desadaptativa cuando es demasiado persistente, excesiva o interfiere con el desempeño académico, las relaciones entre personas, el descanso o cualquier otra actividad diaria. Así, la ansiedad no implica necesariamente un trastorno psicológico ya que su interpretación está determinada por su magnitud, duración, el contexto y el nivel de interferencia (Grupe &amp; Nitschke, 2013; Organización Mundial de la Salud [OMS], 2025). </w:t>
      </w:r>
    </w:p>
    <w:p w14:paraId="66CDAE99" w14:textId="77777777" w:rsidR="00A56C1B" w:rsidRDefault="00732483" w:rsidP="00A56C1B">
      <w:pPr>
        <w:spacing w:line="360" w:lineRule="auto"/>
        <w:ind w:firstLine="708"/>
        <w:jc w:val="both"/>
        <w:rPr>
          <w:rFonts w:ascii="Arial" w:hAnsi="Arial" w:cs="Arial"/>
        </w:rPr>
      </w:pPr>
      <w:r w:rsidRPr="00A56C1B">
        <w:rPr>
          <w:rFonts w:ascii="Arial" w:hAnsi="Arial" w:cs="Arial"/>
        </w:rPr>
        <w:t>En consecuencia, en esta investigación se entiende a la ansiedad como una construcción psicológica que puede medirse por medio de autoinforme y no como un diagnóstico clínico. Su delimitación se fundamenta en el modelo de Spielberger, que distingue entre una reacción emocional fluctuante en el instante, a la que denomina Ansiedad Estado, y una tendencia más o menos constante a reaccionar con ansiedad, conocida como Ansiedad Rasgo. Esta distinción es el fundamento conceptual del STAI y exige que los puntajes de sus dos escalas sean interpretados de manera distinta (Spielberger et al., 2023).</w:t>
      </w:r>
    </w:p>
    <w:p w14:paraId="40D64E86" w14:textId="77777777" w:rsidR="00A56C1B" w:rsidRDefault="00732483" w:rsidP="00A56C1B">
      <w:pPr>
        <w:spacing w:line="360" w:lineRule="auto"/>
        <w:ind w:firstLine="708"/>
        <w:jc w:val="both"/>
        <w:rPr>
          <w:rFonts w:ascii="Arial" w:hAnsi="Arial" w:cs="Arial"/>
        </w:rPr>
      </w:pPr>
      <w:r w:rsidRPr="00A56C1B">
        <w:rPr>
          <w:rFonts w:ascii="Arial" w:hAnsi="Arial" w:cs="Arial"/>
        </w:rPr>
        <w:lastRenderedPageBreak/>
        <w:t>Por lo tanto, es importante aclarar que el STAI no mide si hay o no un trastorno de ansiedad ni permite determinarlo por sí solo. El instrumento ofrece puntuaciones dimensionales sobre la intensidad de la ansiedad estado y la predisposición relacionada con la ansiedad rasgo. Una puntuación alta señala más ansiedad, de acuerdo con el marco de interpretación y la escala empleados, pero no significa una categoría diagnóstica. Para diagnosticar un trastorno, hay que satisfacer algunos criterios clínicos: la duración y la forma de los síntomas, si son desproporcionados con respecto a la situación, el deterioro funcional o el malestar, los diagnósticos diferenciales y el juicio de un profesional cualificado. Por ende, los resultados del STAI tienen la capacidad de ofrecer información adicional o señalar que es necesaria una evaluación clínica más exhaustiva, aunque no reemplazan esta última (American Psychiatric Association, 2022; Spielberger et al., 2023).</w:t>
      </w:r>
    </w:p>
    <w:p w14:paraId="08BA44C8" w14:textId="77777777" w:rsidR="00A56C1B" w:rsidRDefault="00732483" w:rsidP="00A56C1B">
      <w:pPr>
        <w:spacing w:line="360" w:lineRule="auto"/>
        <w:ind w:firstLine="708"/>
        <w:jc w:val="both"/>
        <w:rPr>
          <w:rFonts w:ascii="Arial" w:hAnsi="Arial" w:cs="Arial"/>
        </w:rPr>
      </w:pPr>
      <w:r w:rsidRPr="00A56C1B">
        <w:rPr>
          <w:rFonts w:ascii="Arial" w:hAnsi="Arial" w:cs="Arial"/>
        </w:rPr>
        <w:t>La teoría de ansiedad estado-rasgo, en base a esto, considera como precedente inmediato la diferenciación que Cattell y Scheier hicieron entre los estados transitorios y los rasgos más estables. Spielberger utilizó y elaboró esta distinción para describir la ansiedad como un proceso dinámico en el que intervienen tres factores: la situación, la valoración de amenaza y las variaciones individuales en predisposición ansiosa. Por lo tanto, la distinción entre rasgo y estado no es solo una decisión técnica del instrumento, sino también una diferenciación conceptual que ha guiado su construcción (Spielberger &amp; Reheiser, 2009).</w:t>
      </w:r>
    </w:p>
    <w:p w14:paraId="1CD01164"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En este contexto, el individuo analiza una circunstancia interna o externa en función de su potencial peligrosidad. La Ansiedad Estado puede crecer si se intensifica la valoración de amenaza, y puede desencadenarse una serie de respuestas cognitivas, fisiológicas y conductuales. </w:t>
      </w:r>
      <w:r w:rsidR="00A56C1B" w:rsidRPr="00A56C1B">
        <w:rPr>
          <w:rFonts w:ascii="Arial" w:hAnsi="Arial" w:cs="Arial"/>
        </w:rPr>
        <w:t>Luego, el individuo toma una decisión de evitar la situación o reevaluarla. La Ansiedad Rasgo se manifiesta como una tendencia que altera la frecuencia y el grado en que varias situaciones son vistas como amenazantes, si bien no determina automáticamente cada respuesta particular (Spielberger &amp; Reheiser, 2009; Spielberger et al., 2023).</w:t>
      </w:r>
    </w:p>
    <w:p w14:paraId="6195F355" w14:textId="7F320D8F" w:rsidR="00A56C1B" w:rsidRPr="00A56C1B" w:rsidRDefault="00A56C1B" w:rsidP="00A56C1B">
      <w:pPr>
        <w:spacing w:line="360" w:lineRule="auto"/>
        <w:ind w:firstLine="708"/>
        <w:jc w:val="both"/>
        <w:rPr>
          <w:rFonts w:ascii="Arial" w:hAnsi="Arial" w:cs="Arial"/>
          <w:highlight w:val="yellow"/>
        </w:rPr>
      </w:pPr>
      <w:r w:rsidRPr="00A56C1B">
        <w:rPr>
          <w:rFonts w:ascii="Arial" w:hAnsi="Arial" w:cs="Arial"/>
        </w:rPr>
        <w:t xml:space="preserve">Por lo tanto, una persona con un nivel de ansiedad rasgo bajo puede experimentar una alta ansiedad estado en situaciones altamente exigentes; por su parte, alguien con un nivel de ansiedad rasgo alto no permanece ansioso todo el tiempo. En consecuencia, el modelo combina estabilidad y cambio: reconoce que hay diferencias entre las personas que son relativamente estables en el tiempo, pero a la </w:t>
      </w:r>
      <w:r w:rsidRPr="00A56C1B">
        <w:rPr>
          <w:rFonts w:ascii="Arial" w:hAnsi="Arial" w:cs="Arial"/>
        </w:rPr>
        <w:lastRenderedPageBreak/>
        <w:t>vez considera que la experiencia emocional está condicionada por el entorno inmediato. Esta articulación explica por qué el STAI produce evaluaciones diferentes para el estado y la tendencia habitual (Spielberger et al., 2023).</w:t>
      </w:r>
    </w:p>
    <w:p w14:paraId="17C8152D" w14:textId="77777777" w:rsidR="00A56C1B" w:rsidRDefault="00A56C1B" w:rsidP="00A56C1B">
      <w:pPr>
        <w:spacing w:line="360" w:lineRule="auto"/>
        <w:ind w:firstLine="708"/>
        <w:jc w:val="both"/>
        <w:rPr>
          <w:rFonts w:ascii="Arial" w:hAnsi="Arial" w:cs="Arial"/>
        </w:rPr>
      </w:pPr>
      <w:r w:rsidRPr="00A56C1B">
        <w:rPr>
          <w:rFonts w:ascii="Arial" w:hAnsi="Arial" w:cs="Arial"/>
        </w:rPr>
        <w:t>En relación con</w:t>
      </w:r>
      <w:r w:rsidRPr="00A56C1B">
        <w:rPr>
          <w:rFonts w:ascii="Arial" w:hAnsi="Arial" w:cs="Arial"/>
        </w:rPr>
        <w:t xml:space="preserve"> la primera dimensión, el estado de ansiedad es un estado emocional pasajero cuya intensidad puede variar en función del tiempo y las circunstancias. Se caracterizan por tener sentimientos de preocupación, tensión, nervios e inquietud que son reconocidos conscientemente y que están ligados a la activación del sistema nervioso autónomo. La ansiedad puede aumentar en la escuela debido a un conflicto entre compañeros, una exposición, una prueba o un dilema significativo y disminuir si la amenaza se elimina o se reconsidera (Spielberger &amp; Reheiser, 2009; Spielberger et al., 2023).</w:t>
      </w:r>
    </w:p>
    <w:p w14:paraId="7D32100E" w14:textId="64D240D8" w:rsidR="00A56C1B" w:rsidRPr="00A56C1B" w:rsidRDefault="00A56C1B" w:rsidP="00A56C1B">
      <w:pPr>
        <w:spacing w:line="360" w:lineRule="auto"/>
        <w:ind w:firstLine="708"/>
        <w:jc w:val="both"/>
        <w:rPr>
          <w:rFonts w:ascii="Arial" w:hAnsi="Arial" w:cs="Arial"/>
        </w:rPr>
      </w:pPr>
      <w:r w:rsidRPr="00A56C1B">
        <w:rPr>
          <w:rFonts w:ascii="Arial" w:hAnsi="Arial" w:cs="Arial"/>
        </w:rPr>
        <w:t>En el STAI, la escala de Ansiedad Estado (A/E) es la que representa esta dimensión, mediante indicaciones acerca de cómo se encuentra un individuo en un momento particular. Por lo tanto, su puntaje debe interpretarse como un indicador del nivel de ansiedad en situaciones específicas de uso, no como una característica constante ni como evidencia suficiente para establecer un diagnóstico médico (Spielberger et al., 2023). En el contexto educativo, esa precisión es especialmente importante ya que la cercanía de exposiciones, evaluaciones o decisiones puede influir en la respuesta en un momento determinado.</w:t>
      </w:r>
    </w:p>
    <w:p w14:paraId="5C0F4B29" w14:textId="15124ADB" w:rsidR="00A56C1B" w:rsidRPr="00A56C1B" w:rsidRDefault="00A56C1B" w:rsidP="00A56C1B">
      <w:pPr>
        <w:spacing w:line="360" w:lineRule="auto"/>
        <w:ind w:firstLine="708"/>
        <w:jc w:val="both"/>
        <w:rPr>
          <w:rFonts w:ascii="Arial" w:hAnsi="Arial" w:cs="Arial"/>
        </w:rPr>
      </w:pPr>
      <w:r w:rsidRPr="00A56C1B">
        <w:rPr>
          <w:rFonts w:ascii="Arial" w:hAnsi="Arial" w:cs="Arial"/>
        </w:rPr>
        <w:t>Por otra parte, la Ansiedad Rasgo es una inclinación relativamente estable de percibir diferentes situaciones como amenazantes y reaccionar a ellas aumentando la Ansiedad Estado. El término relativamente estable se refiere a que, con el tiempo, la probabilidad de reacción se incrementa; no obstante, esto no significa que la persona esté continuamente ansiosa o que su predisposición sea inmutable (Spielberger &amp; Reheiser, 2009; Spielberger et al., 2023).</w:t>
      </w:r>
    </w:p>
    <w:p w14:paraId="57ED0989"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Por lo tanto, la escala de Ansiedad Rasgo (A/R) del STAI se refiere a cómo se siente una persona en su vida cotidiana. Los valores de su puntuación muestran las diferencias individuales en la tendencia ansiosa en el contexto teórico del instrumento y deben ser analizados según la población y el entorno donde se adquirieron. Por lo tanto, A/R no representa una respuesta individual, sino una tendencia más amplia de percibir circunstancias como amenazantes y reaccionar con ansiedad (Spielberger et al., 2023). </w:t>
      </w:r>
    </w:p>
    <w:p w14:paraId="1D9D8E54" w14:textId="77777777" w:rsidR="00A56C1B" w:rsidRDefault="00732483" w:rsidP="00A56C1B">
      <w:pPr>
        <w:spacing w:line="360" w:lineRule="auto"/>
        <w:ind w:firstLine="708"/>
        <w:jc w:val="both"/>
        <w:rPr>
          <w:rFonts w:ascii="Arial" w:hAnsi="Arial" w:cs="Arial"/>
        </w:rPr>
      </w:pPr>
      <w:r w:rsidRPr="00A56C1B">
        <w:rPr>
          <w:rFonts w:ascii="Arial" w:hAnsi="Arial" w:cs="Arial"/>
        </w:rPr>
        <w:lastRenderedPageBreak/>
        <w:t xml:space="preserve">La diferencia más importante entre las dos dimensiones es su significado y temporalidad. La ansiedad varía según la circunstancia y refleja el estado de ánimo del individuo en ese instante, mientras que la ansiedad como rasgo es más constante y muestra la inclinación del sujeto a percibir diversas circunstancias como amenazantes. Ambas están vinculadas, pero no se pueden sustituir: una alta reactividad emocional (A/E) puede presentarse junto con una baja reactividad conductual (A/R) frente a un requerimiento extraordinario, y poseer una A/R elevada no significa que siempre haya un nivel elevado de ansiedad. En consecuencia, no deben sumarse sus puntuaciones para calcular una puntuación total de ansiedad, sino que se deben analizar por separado (Spielberger &amp; Reheiser, 2009; Spielberger et al., 2023). </w:t>
      </w:r>
    </w:p>
    <w:p w14:paraId="2FDDD86E" w14:textId="07E60013" w:rsidR="00A56C1B" w:rsidRDefault="00732483" w:rsidP="00A56C1B">
      <w:pPr>
        <w:spacing w:line="360" w:lineRule="auto"/>
        <w:ind w:firstLine="708"/>
        <w:jc w:val="both"/>
        <w:rPr>
          <w:rFonts w:ascii="Arial" w:hAnsi="Arial" w:cs="Arial"/>
        </w:rPr>
      </w:pPr>
      <w:r w:rsidRPr="00A56C1B">
        <w:rPr>
          <w:rFonts w:ascii="Arial" w:hAnsi="Arial" w:cs="Arial"/>
        </w:rPr>
        <w:t xml:space="preserve">A continuación, se debe determinar la relevancia de este constructo en la población elegida. La adolescencia es un período de formación que va desde los 10 hasta los 19 años, y está caracterizado por cambios en el plano físico, emocional, social y cognitivo. Estos cambios no vuelven la ansiedad ineludible o necesariamente patológica, pero transforman las demandas a las que el adolescente se enfrenta y lo que él atribuye a la evaluación, la autonomía, la pertenencia social y el futuro (Rapee et al., 2009; OMS, 2020). </w:t>
      </w:r>
    </w:p>
    <w:p w14:paraId="0AF01FF2"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El quinto grado de educación secundaria ocupa una posición específica en esta etapa, ya que marca la finalización de la educación básica, además de </w:t>
      </w:r>
      <w:proofErr w:type="gramStart"/>
      <w:r w:rsidRPr="00A56C1B">
        <w:rPr>
          <w:rFonts w:ascii="Arial" w:hAnsi="Arial" w:cs="Arial"/>
        </w:rPr>
        <w:t>dar inicio a</w:t>
      </w:r>
      <w:proofErr w:type="gramEnd"/>
      <w:r w:rsidRPr="00A56C1B">
        <w:rPr>
          <w:rFonts w:ascii="Arial" w:hAnsi="Arial" w:cs="Arial"/>
        </w:rPr>
        <w:t xml:space="preserve"> un cambio en términos académicos, vocacionales, familiares, sociales y personales. Los alumnos finalizan una etapa familiar y prevén situaciones menos claras, como el inicio de estudios de nivel superior o técnico, la incorporación al trabajo, la elección ocupacional y la autonomía en la toma de decisiones. Aunque estas transiciones no provocan ansiedad de forma automática, pueden aumentarla si se consideran inciertas, difíciles de manejar o determinantes para el futuro (Grupe &amp; Nitschke, 2013).</w:t>
      </w:r>
    </w:p>
    <w:p w14:paraId="48835A2B" w14:textId="41B56093" w:rsidR="00A56C1B" w:rsidRDefault="00732483" w:rsidP="00A56C1B">
      <w:pPr>
        <w:spacing w:line="360" w:lineRule="auto"/>
        <w:ind w:firstLine="708"/>
        <w:jc w:val="both"/>
        <w:rPr>
          <w:rFonts w:ascii="Arial" w:hAnsi="Arial" w:cs="Arial"/>
        </w:rPr>
      </w:pPr>
      <w:r w:rsidRPr="00A56C1B">
        <w:rPr>
          <w:rFonts w:ascii="Arial" w:hAnsi="Arial" w:cs="Arial"/>
        </w:rPr>
        <w:t xml:space="preserve">Además, en quinto grado pueden coincidir evaluaciones finales, preparación para los procesos de admisión, expectativas familiares, presión por el rendimiento y la comparación con los compañeros. Además de esto, está la preocupación por si las decisiones personales serán aceptadas o rechazadas y los cambios que puedan ocurrir en las redes de amistad. La sensibilidad a la evaluación social se incrementa en el periodo de la adolescencia, así que las circunstancias de comparación, </w:t>
      </w:r>
      <w:r w:rsidRPr="00A56C1B">
        <w:rPr>
          <w:rFonts w:ascii="Arial" w:hAnsi="Arial" w:cs="Arial"/>
        </w:rPr>
        <w:lastRenderedPageBreak/>
        <w:t xml:space="preserve">exposición, rechazo o miedo a decepcionar pueden tener un peso emocional particular (Somerville, 2013). </w:t>
      </w:r>
    </w:p>
    <w:p w14:paraId="00BF26B8"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En este contexto, la ansiedad puede ser funcional y temporal si favorece la preparación. Sin embargo, se vuelve más importante cuando su persistencia o fuerza obstaculizan el descanso, la atención, el trabajo escolar, la asistencia, las decisiones sobre el proyecto de vida o la participación. </w:t>
      </w:r>
      <w:r w:rsidR="00A56C1B" w:rsidRPr="00A56C1B">
        <w:rPr>
          <w:rFonts w:ascii="Arial" w:hAnsi="Arial" w:cs="Arial"/>
        </w:rPr>
        <w:t xml:space="preserve">La </w:t>
      </w:r>
      <w:r w:rsidR="00A56C1B" w:rsidRPr="00A56C1B">
        <w:rPr>
          <w:rFonts w:ascii="Arial" w:hAnsi="Arial" w:cs="Arial"/>
        </w:rPr>
        <w:t>Organización Mundial de la Salud (</w:t>
      </w:r>
      <w:r w:rsidR="00A56C1B" w:rsidRPr="00A56C1B">
        <w:rPr>
          <w:rFonts w:ascii="Arial" w:hAnsi="Arial" w:cs="Arial"/>
        </w:rPr>
        <w:t>OMS</w:t>
      </w:r>
      <w:r w:rsidR="00A56C1B" w:rsidRPr="00A56C1B">
        <w:rPr>
          <w:rFonts w:ascii="Arial" w:hAnsi="Arial" w:cs="Arial"/>
        </w:rPr>
        <w:t xml:space="preserve">, </w:t>
      </w:r>
      <w:r w:rsidR="00A56C1B" w:rsidRPr="00A56C1B">
        <w:rPr>
          <w:rFonts w:ascii="Arial" w:hAnsi="Arial" w:cs="Arial"/>
        </w:rPr>
        <w:t xml:space="preserve">2025) señala que las dificultades de ansiedad pueden influir en la asistencia y el rendimiento escolar. Sin embargo, esta evidencia ubica el constructo en un contexto y evita que una puntuación del STAI se convierta en un diagnóstico. </w:t>
      </w:r>
    </w:p>
    <w:p w14:paraId="0AF4440F" w14:textId="77777777" w:rsidR="00A56C1B" w:rsidRDefault="00A56C1B" w:rsidP="00A56C1B">
      <w:pPr>
        <w:spacing w:line="360" w:lineRule="auto"/>
        <w:ind w:firstLine="708"/>
        <w:jc w:val="both"/>
        <w:rPr>
          <w:rFonts w:ascii="Arial" w:hAnsi="Arial" w:cs="Arial"/>
        </w:rPr>
      </w:pPr>
      <w:r w:rsidRPr="00A56C1B">
        <w:rPr>
          <w:rFonts w:ascii="Arial" w:hAnsi="Arial" w:cs="Arial"/>
        </w:rPr>
        <w:t>Es relevante, específicamente para los alumnos de quinto grado, la diferencia entre estado y rasgo. La A/E puede mostrar reacciones que se vuelven más intensas cuando hay una entrevista, un examen final, una presentación o una elección de carrera futura; por otro lado, la A/R muestra una mayor tendencia a percibir diferentes situaciones como amenazantes. Al diferenciar entre las dos dimensiones, se evita otorgar una estabilidad excesiva a las respuestas relacionadas con el calendario escolar o el momento de aplicación, permitiendo así la interpretación de cada puntuación en función de su significado teórico (Spielberger et al., 2023).</w:t>
      </w:r>
    </w:p>
    <w:p w14:paraId="4D5938E7" w14:textId="77777777" w:rsidR="00A56C1B" w:rsidRDefault="00A56C1B" w:rsidP="00A56C1B">
      <w:pPr>
        <w:spacing w:line="360" w:lineRule="auto"/>
        <w:ind w:firstLine="708"/>
        <w:jc w:val="both"/>
        <w:rPr>
          <w:rFonts w:ascii="Arial" w:hAnsi="Arial" w:cs="Arial"/>
        </w:rPr>
      </w:pPr>
      <w:r w:rsidRPr="00A56C1B">
        <w:rPr>
          <w:rFonts w:ascii="Arial" w:hAnsi="Arial" w:cs="Arial"/>
        </w:rPr>
        <w:t>En cuanto a la clase de institución, las instituciones educativas públicas seleccionadas determinan una delimitación poblacional y contextual para el estudio.</w:t>
      </w:r>
      <w:r w:rsidRPr="00A56C1B">
        <w:rPr>
          <w:rFonts w:ascii="Arial" w:hAnsi="Arial" w:cs="Arial"/>
        </w:rPr>
        <w:t xml:space="preserve"> </w:t>
      </w:r>
      <w:r w:rsidR="00732483" w:rsidRPr="00A56C1B">
        <w:rPr>
          <w:rFonts w:ascii="Arial" w:hAnsi="Arial" w:cs="Arial"/>
        </w:rPr>
        <w:t xml:space="preserve">Facilita que la evaluación psicométrica se centre en alumnos del mismo grado, dentro de un determinado tipo de administración educativa, y que se formulen conclusiones que estén en consonancia con el grupo poblacional efectivamente evaluado. Esta decisión no quiere decir que la gestión pública sea un tema de preocupación, ni que todos sus estudiantes estén en las mismas condiciones. Significa que los datos obtenidos son de alumnos de quinto grado de escuelas públicas en Villa El Salvador y no se pueden extender automáticamente a otras instituciones privadas o contextos diferentes (American Educational Research Association et al., 2014). </w:t>
      </w:r>
    </w:p>
    <w:p w14:paraId="5F1B6391"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Se debe tener en cuenta, además, que eventos próximos como las evaluaciones finales, los procesos de admisión o las actividades de graduación pueden afectar de manera específica la A/E. Por ende, es necesario estandarizar y registrar las circunstancias y el momento de la aplicación para poder interpretar los puntajes en esta fase de transición. El propósito del estudio sigue siendo el análisis </w:t>
      </w:r>
      <w:r w:rsidRPr="00A56C1B">
        <w:rPr>
          <w:rFonts w:ascii="Arial" w:hAnsi="Arial" w:cs="Arial"/>
        </w:rPr>
        <w:lastRenderedPageBreak/>
        <w:t xml:space="preserve">de las características psicométricas del STAI, no la determinación de trastornos o la estimación de prevalencias. </w:t>
      </w:r>
    </w:p>
    <w:p w14:paraId="5D7073E5" w14:textId="77777777" w:rsidR="00A56C1B" w:rsidRDefault="00732483" w:rsidP="00A56C1B">
      <w:pPr>
        <w:spacing w:line="360" w:lineRule="auto"/>
        <w:ind w:firstLine="708"/>
        <w:jc w:val="both"/>
        <w:rPr>
          <w:rFonts w:ascii="Arial" w:hAnsi="Arial" w:cs="Arial"/>
        </w:rPr>
      </w:pPr>
      <w:r w:rsidRPr="00A56C1B">
        <w:rPr>
          <w:rFonts w:ascii="Arial" w:hAnsi="Arial" w:cs="Arial"/>
        </w:rPr>
        <w:t>Las respuestas de ansiedad, en términos de su expresión, pueden ser caracterizadas a través de sistemas conductuales, fisiológicos y cognitivo-subjetivos. La organización comprende que la experiencia emocional no se puede explicar con un único indicador y que estos sistemas pueden tener alguna relación entre sí, aunque no siempre de manera igual (Lang, 1968; Spielberger y Reheiser, 2009). La clasificación ayuda a comprender cómo se presenta la ansiedad; sin embargo, esto no implica que tales manifestaciones sean tres subescalas adicionales del STAI.</w:t>
      </w:r>
    </w:p>
    <w:p w14:paraId="21B747A4"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En lo cognitivo se nota preocupación, dificultad para concentrarse, pensamientos repetitivos, hipervigilancia y una alta estimación de la amenaza. Los alumnos de quinto grado pueden mostrar un miedo constante a cometer errores, bloquearse durante una evaluación, prestar demasiada atención a las señales de desaprobación o tener dudas reiteradas sobre su rendimiento, la elección de su vocación y las oportunidades que tendrán después de graduarse (Grupe &amp; Nitschke, 2013). </w:t>
      </w:r>
    </w:p>
    <w:p w14:paraId="0533D107" w14:textId="77777777" w:rsidR="00A56C1B" w:rsidRDefault="00732483" w:rsidP="00A56C1B">
      <w:pPr>
        <w:spacing w:line="360" w:lineRule="auto"/>
        <w:ind w:firstLine="708"/>
        <w:jc w:val="both"/>
        <w:rPr>
          <w:rFonts w:ascii="Arial" w:hAnsi="Arial" w:cs="Arial"/>
        </w:rPr>
      </w:pPr>
      <w:r w:rsidRPr="00A56C1B">
        <w:rPr>
          <w:rFonts w:ascii="Arial" w:hAnsi="Arial" w:cs="Arial"/>
        </w:rPr>
        <w:t>La ansiedad, en términos fisiológicos, abarca alteraciones vinculadas a la activación del sistema autónomo, como son: incremento de la frecuencia cardíaca y de la respiración, sudoración, tensión muscular, temblores y malestar digestivo. Las dificultades para descansar también pueden coexistir si la preocupación y la activación son de larga duración. La definición de la ansiedad estado, que incorpora la activación del sistema nervioso autónomo como parte de la experiencia temporal (Spielberger &amp; Reheiser, 2009; Spielberger et al., 2023), es consistente con estas respuestas.</w:t>
      </w:r>
    </w:p>
    <w:p w14:paraId="0185AFA2" w14:textId="77777777" w:rsidR="00A56C1B" w:rsidRDefault="00732483" w:rsidP="00A56C1B">
      <w:pPr>
        <w:spacing w:line="360" w:lineRule="auto"/>
        <w:ind w:firstLine="708"/>
        <w:jc w:val="both"/>
        <w:rPr>
          <w:rFonts w:ascii="Arial" w:hAnsi="Arial" w:cs="Arial"/>
        </w:rPr>
      </w:pPr>
      <w:r w:rsidRPr="00A56C1B">
        <w:rPr>
          <w:rFonts w:ascii="Arial" w:hAnsi="Arial" w:cs="Arial"/>
        </w:rPr>
        <w:t xml:space="preserve">En lo que respecta a la conducta, las manifestaciones pueden abarcar el aislamiento, la búsqueda constante de seguridad, la huida o evitación de circunstancias consideradas amenazantes, la postergación de tareas y el nerviosismo motriz. En quinto grado, por ejemplo, se pueden observar cuando evitan hacer exposiciones, no van a un examen, retrasan los trámites de postulación o deciden más tarde sobre el trabajo y los estudios. Aunque la evitación puede disminuir el malestar a corto plazo, también tiene el potencial de mantener la percepción de amenaza al restringir las oportunidades para afrontar (Grupe &amp; Nitschke, 2013; Rapee et al., 2009). </w:t>
      </w:r>
    </w:p>
    <w:p w14:paraId="20804560" w14:textId="77777777" w:rsidR="00A56C1B" w:rsidRDefault="00732483" w:rsidP="00A56C1B">
      <w:pPr>
        <w:spacing w:line="360" w:lineRule="auto"/>
        <w:ind w:firstLine="708"/>
        <w:jc w:val="both"/>
        <w:rPr>
          <w:rFonts w:ascii="Arial" w:hAnsi="Arial" w:cs="Arial"/>
        </w:rPr>
      </w:pPr>
      <w:r w:rsidRPr="00A56C1B">
        <w:rPr>
          <w:rFonts w:ascii="Arial" w:hAnsi="Arial" w:cs="Arial"/>
        </w:rPr>
        <w:lastRenderedPageBreak/>
        <w:t xml:space="preserve">Por último, el modelo de Spielberger facilita la comprensión de que un individuo puede manifestar una reacción ansiosa fuerte en un momento determinado y, a la vez, tener una tendencia baja habitual, o viceversa. El STAI expresa esta diferencia a través de las escalas A/E y A/R, cuyos puntajes deben ser analizados de manera individual. Las manifestaciones de comportamiento, fisiológicas y cognitivas ayudan a entender la experiencia de ansiedad, aunque no sustituyen la estructuración central del instrumento en Ansiedad Rasgo y Ansiedad Estado (Spielberger et al., 2023). </w:t>
      </w:r>
    </w:p>
    <w:p w14:paraId="1AA5CA9E" w14:textId="73F22BEB" w:rsidR="009D5EAA" w:rsidRDefault="00732483" w:rsidP="00A56C1B">
      <w:pPr>
        <w:spacing w:line="360" w:lineRule="auto"/>
        <w:ind w:firstLine="708"/>
        <w:jc w:val="both"/>
        <w:rPr>
          <w:rFonts w:ascii="Arial" w:hAnsi="Arial" w:cs="Arial"/>
        </w:rPr>
      </w:pPr>
      <w:r w:rsidRPr="00A56C1B">
        <w:rPr>
          <w:rFonts w:ascii="Arial" w:hAnsi="Arial" w:cs="Arial"/>
        </w:rPr>
        <w:t>En resumen, el marco teórico define las interpretaciones que se anticipa mantener con los puntajes del STAI: A/E como representación de la ansiedad en un instante determinado y A/R como una tendencia relativamente constante. La investigación, partiendo de esta base, establecerá si las interpretaciones mencionadas cuentan con el respaldo de la evidencia psicométrica en alumnos de quinto grado que pertenecen a escuelas públicas de Villa El Salvador. El alcance se limita únicamente a la población y al objetivo indicado, sin transformar las puntuaciones en diagnósticos ni agregar dimensiones o comparaciones que no estén dentro de los propósitos del estudio.</w:t>
      </w:r>
    </w:p>
    <w:p w14:paraId="524C6A85" w14:textId="77777777" w:rsidR="0002039D" w:rsidRDefault="0002039D" w:rsidP="0002039D"/>
    <w:p w14:paraId="589F5924" w14:textId="77777777" w:rsidR="0002039D" w:rsidRPr="0002039D" w:rsidRDefault="0002039D" w:rsidP="0002039D">
      <w:pPr>
        <w:pStyle w:val="Ttulo1"/>
        <w:rPr>
          <w:rFonts w:ascii="Arial" w:hAnsi="Arial" w:cs="Arial"/>
          <w:b/>
          <w:bCs/>
          <w:color w:val="auto"/>
          <w:sz w:val="24"/>
          <w:szCs w:val="24"/>
          <w:lang w:val="en-US"/>
        </w:rPr>
      </w:pPr>
      <w:r w:rsidRPr="0002039D">
        <w:rPr>
          <w:rFonts w:ascii="Arial" w:eastAsia="Times New Roman" w:hAnsi="Arial" w:cs="Arial"/>
          <w:b/>
          <w:bCs/>
          <w:color w:val="auto"/>
          <w:sz w:val="24"/>
          <w:szCs w:val="24"/>
          <w:lang w:val="en-US"/>
        </w:rPr>
        <w:t>Referencias</w:t>
      </w:r>
    </w:p>
    <w:p w14:paraId="742B9856" w14:textId="77777777" w:rsidR="0002039D" w:rsidRPr="0002039D" w:rsidRDefault="0002039D" w:rsidP="0002039D">
      <w:pPr>
        <w:pStyle w:val="References"/>
        <w:spacing w:line="360" w:lineRule="auto"/>
        <w:jc w:val="both"/>
        <w:rPr>
          <w:rFonts w:ascii="Arial" w:hAnsi="Arial" w:cs="Arial"/>
          <w:szCs w:val="24"/>
        </w:rPr>
      </w:pPr>
      <w:r w:rsidRPr="0002039D">
        <w:rPr>
          <w:rFonts w:ascii="Arial" w:hAnsi="Arial" w:cs="Arial"/>
          <w:szCs w:val="24"/>
        </w:rPr>
        <w:t xml:space="preserve">American Educational Research Association, American Psychological Association, &amp; National Council on Measurement in Education. (2014). </w:t>
      </w:r>
      <w:r w:rsidRPr="0002039D">
        <w:rPr>
          <w:rFonts w:ascii="Arial" w:hAnsi="Arial" w:cs="Arial"/>
          <w:i/>
          <w:szCs w:val="24"/>
        </w:rPr>
        <w:t>Standards for educational and psychological testing</w:t>
      </w:r>
      <w:r w:rsidRPr="0002039D">
        <w:rPr>
          <w:rFonts w:ascii="Arial" w:hAnsi="Arial" w:cs="Arial"/>
          <w:szCs w:val="24"/>
        </w:rPr>
        <w:t>. American Educational Research Association.</w:t>
      </w:r>
    </w:p>
    <w:p w14:paraId="4780086A" w14:textId="77777777" w:rsidR="0002039D" w:rsidRPr="0002039D" w:rsidRDefault="0002039D" w:rsidP="0002039D">
      <w:pPr>
        <w:pStyle w:val="References"/>
        <w:spacing w:line="360" w:lineRule="auto"/>
        <w:jc w:val="both"/>
        <w:rPr>
          <w:rFonts w:ascii="Arial" w:hAnsi="Arial" w:cs="Arial"/>
          <w:szCs w:val="24"/>
        </w:rPr>
      </w:pPr>
      <w:r w:rsidRPr="0002039D">
        <w:rPr>
          <w:rFonts w:ascii="Arial" w:hAnsi="Arial" w:cs="Arial"/>
          <w:szCs w:val="24"/>
        </w:rPr>
        <w:t xml:space="preserve">American Psychiatric Association. (2022). </w:t>
      </w:r>
      <w:r w:rsidRPr="0002039D">
        <w:rPr>
          <w:rFonts w:ascii="Arial" w:hAnsi="Arial" w:cs="Arial"/>
          <w:i/>
          <w:szCs w:val="24"/>
        </w:rPr>
        <w:t>Diagnostic and statistical manual of mental disorders</w:t>
      </w:r>
      <w:r w:rsidRPr="0002039D">
        <w:rPr>
          <w:rFonts w:ascii="Arial" w:hAnsi="Arial" w:cs="Arial"/>
          <w:szCs w:val="24"/>
        </w:rPr>
        <w:t xml:space="preserve"> (5th ed., text rev.). https://doi.org/10.1176/appi.books.9780890425787</w:t>
      </w:r>
    </w:p>
    <w:p w14:paraId="15CF9703" w14:textId="77777777" w:rsidR="0002039D" w:rsidRPr="0002039D" w:rsidRDefault="0002039D" w:rsidP="0002039D">
      <w:pPr>
        <w:pStyle w:val="References"/>
        <w:spacing w:line="360" w:lineRule="auto"/>
        <w:jc w:val="both"/>
        <w:rPr>
          <w:rFonts w:ascii="Arial" w:hAnsi="Arial" w:cs="Arial"/>
          <w:szCs w:val="24"/>
        </w:rPr>
      </w:pPr>
      <w:r w:rsidRPr="0002039D">
        <w:rPr>
          <w:rFonts w:ascii="Arial" w:hAnsi="Arial" w:cs="Arial"/>
          <w:szCs w:val="24"/>
        </w:rPr>
        <w:t xml:space="preserve">Grupe, D. W., &amp; Nitschke, J. B. (2013). Uncertainty and anticipation in anxiety: An integrated neurobiological and psychological perspective. </w:t>
      </w:r>
      <w:r w:rsidRPr="0002039D">
        <w:rPr>
          <w:rFonts w:ascii="Arial" w:hAnsi="Arial" w:cs="Arial"/>
          <w:i/>
          <w:szCs w:val="24"/>
        </w:rPr>
        <w:t>Nature Reviews Neuroscience, 14</w:t>
      </w:r>
      <w:r w:rsidRPr="0002039D">
        <w:rPr>
          <w:rFonts w:ascii="Arial" w:hAnsi="Arial" w:cs="Arial"/>
          <w:szCs w:val="24"/>
        </w:rPr>
        <w:t>(7), 488–501. https://doi.org/10.1038/nrn3524</w:t>
      </w:r>
    </w:p>
    <w:p w14:paraId="57E11306" w14:textId="77777777" w:rsidR="0002039D" w:rsidRPr="0002039D" w:rsidRDefault="0002039D" w:rsidP="0002039D">
      <w:pPr>
        <w:pStyle w:val="References"/>
        <w:spacing w:line="360" w:lineRule="auto"/>
        <w:jc w:val="both"/>
        <w:rPr>
          <w:rFonts w:ascii="Arial" w:hAnsi="Arial" w:cs="Arial"/>
          <w:szCs w:val="24"/>
          <w:lang w:val="es-PE"/>
        </w:rPr>
      </w:pPr>
      <w:r w:rsidRPr="0002039D">
        <w:rPr>
          <w:rFonts w:ascii="Arial" w:hAnsi="Arial" w:cs="Arial"/>
          <w:szCs w:val="24"/>
        </w:rPr>
        <w:t xml:space="preserve">Lang, P. J. (1968). Fear reduction and fear behavior: Problems in treating a construct. In J. M. </w:t>
      </w:r>
      <w:proofErr w:type="spellStart"/>
      <w:r w:rsidRPr="0002039D">
        <w:rPr>
          <w:rFonts w:ascii="Arial" w:hAnsi="Arial" w:cs="Arial"/>
          <w:szCs w:val="24"/>
        </w:rPr>
        <w:t>Shlien</w:t>
      </w:r>
      <w:proofErr w:type="spellEnd"/>
      <w:r w:rsidRPr="0002039D">
        <w:rPr>
          <w:rFonts w:ascii="Arial" w:hAnsi="Arial" w:cs="Arial"/>
          <w:szCs w:val="24"/>
        </w:rPr>
        <w:t xml:space="preserve"> (Ed.), </w:t>
      </w:r>
      <w:r w:rsidRPr="0002039D">
        <w:rPr>
          <w:rFonts w:ascii="Arial" w:hAnsi="Arial" w:cs="Arial"/>
          <w:i/>
          <w:szCs w:val="24"/>
        </w:rPr>
        <w:t>Research in psychotherapy</w:t>
      </w:r>
      <w:r w:rsidRPr="0002039D">
        <w:rPr>
          <w:rFonts w:ascii="Arial" w:hAnsi="Arial" w:cs="Arial"/>
          <w:szCs w:val="24"/>
        </w:rPr>
        <w:t xml:space="preserve"> (Vol. 3, pp. 90–102). </w:t>
      </w:r>
      <w:r w:rsidRPr="0002039D">
        <w:rPr>
          <w:rFonts w:ascii="Arial" w:hAnsi="Arial" w:cs="Arial"/>
          <w:szCs w:val="24"/>
          <w:lang w:val="es-PE"/>
        </w:rPr>
        <w:t>American Psychological Association.</w:t>
      </w:r>
    </w:p>
    <w:p w14:paraId="70A3AB36" w14:textId="77777777" w:rsidR="0002039D" w:rsidRPr="0002039D" w:rsidRDefault="0002039D" w:rsidP="0002039D">
      <w:pPr>
        <w:pStyle w:val="References"/>
        <w:spacing w:line="360" w:lineRule="auto"/>
        <w:jc w:val="both"/>
        <w:rPr>
          <w:rFonts w:ascii="Arial" w:hAnsi="Arial" w:cs="Arial"/>
          <w:szCs w:val="24"/>
          <w:lang w:val="es-PE"/>
        </w:rPr>
      </w:pPr>
      <w:r w:rsidRPr="0002039D">
        <w:rPr>
          <w:rFonts w:ascii="Arial" w:hAnsi="Arial" w:cs="Arial"/>
          <w:szCs w:val="24"/>
          <w:lang w:val="es-PE"/>
        </w:rPr>
        <w:lastRenderedPageBreak/>
        <w:t xml:space="preserve">Organización Mundial de la Salud. (2020, 19 de octubre). </w:t>
      </w:r>
      <w:r w:rsidRPr="0002039D">
        <w:rPr>
          <w:rFonts w:ascii="Arial" w:hAnsi="Arial" w:cs="Arial"/>
          <w:i/>
          <w:szCs w:val="24"/>
          <w:lang w:val="es-PE"/>
        </w:rPr>
        <w:t>Salud y desarrollo de los adolescentes</w:t>
      </w:r>
      <w:r w:rsidRPr="0002039D">
        <w:rPr>
          <w:rFonts w:ascii="Arial" w:hAnsi="Arial" w:cs="Arial"/>
          <w:szCs w:val="24"/>
          <w:lang w:val="es-PE"/>
        </w:rPr>
        <w:t>. https://www.who.int/news-room/questions-and-answers/item/adolescent-health-and-development</w:t>
      </w:r>
    </w:p>
    <w:p w14:paraId="51EC353F" w14:textId="77777777" w:rsidR="0002039D" w:rsidRPr="0002039D" w:rsidRDefault="0002039D" w:rsidP="0002039D">
      <w:pPr>
        <w:pStyle w:val="References"/>
        <w:spacing w:line="360" w:lineRule="auto"/>
        <w:jc w:val="both"/>
        <w:rPr>
          <w:rFonts w:ascii="Arial" w:hAnsi="Arial" w:cs="Arial"/>
          <w:szCs w:val="24"/>
          <w:lang w:val="es-PE"/>
        </w:rPr>
      </w:pPr>
      <w:r w:rsidRPr="0002039D">
        <w:rPr>
          <w:rFonts w:ascii="Arial" w:hAnsi="Arial" w:cs="Arial"/>
          <w:szCs w:val="24"/>
          <w:lang w:val="es-PE"/>
        </w:rPr>
        <w:t xml:space="preserve">Organización Mundial de la Salud. (2025, 1 de septiembre). </w:t>
      </w:r>
      <w:r w:rsidRPr="0002039D">
        <w:rPr>
          <w:rFonts w:ascii="Arial" w:hAnsi="Arial" w:cs="Arial"/>
          <w:i/>
          <w:szCs w:val="24"/>
          <w:lang w:val="es-PE"/>
        </w:rPr>
        <w:t>Salud mental del adolescente</w:t>
      </w:r>
      <w:r w:rsidRPr="0002039D">
        <w:rPr>
          <w:rFonts w:ascii="Arial" w:hAnsi="Arial" w:cs="Arial"/>
          <w:szCs w:val="24"/>
          <w:lang w:val="es-PE"/>
        </w:rPr>
        <w:t>. https://www.who.int/news-room/fact-sheets/detail/adolescent-mental-health</w:t>
      </w:r>
    </w:p>
    <w:p w14:paraId="6DC38AD3" w14:textId="77777777" w:rsidR="0002039D" w:rsidRPr="0002039D" w:rsidRDefault="0002039D" w:rsidP="0002039D">
      <w:pPr>
        <w:pStyle w:val="References"/>
        <w:spacing w:line="360" w:lineRule="auto"/>
        <w:jc w:val="both"/>
        <w:rPr>
          <w:rFonts w:ascii="Arial" w:hAnsi="Arial" w:cs="Arial"/>
          <w:szCs w:val="24"/>
        </w:rPr>
      </w:pPr>
      <w:proofErr w:type="spellStart"/>
      <w:r w:rsidRPr="0002039D">
        <w:rPr>
          <w:rFonts w:ascii="Arial" w:hAnsi="Arial" w:cs="Arial"/>
          <w:szCs w:val="24"/>
        </w:rPr>
        <w:t>Rapee</w:t>
      </w:r>
      <w:proofErr w:type="spellEnd"/>
      <w:r w:rsidRPr="0002039D">
        <w:rPr>
          <w:rFonts w:ascii="Arial" w:hAnsi="Arial" w:cs="Arial"/>
          <w:szCs w:val="24"/>
        </w:rPr>
        <w:t xml:space="preserve">, R. M., </w:t>
      </w:r>
      <w:proofErr w:type="spellStart"/>
      <w:r w:rsidRPr="0002039D">
        <w:rPr>
          <w:rFonts w:ascii="Arial" w:hAnsi="Arial" w:cs="Arial"/>
          <w:szCs w:val="24"/>
        </w:rPr>
        <w:t>Schniering</w:t>
      </w:r>
      <w:proofErr w:type="spellEnd"/>
      <w:r w:rsidRPr="0002039D">
        <w:rPr>
          <w:rFonts w:ascii="Arial" w:hAnsi="Arial" w:cs="Arial"/>
          <w:szCs w:val="24"/>
        </w:rPr>
        <w:t xml:space="preserve">, C. A., &amp; Hudson, J. L. (2009). Anxiety disorders during childhood and adolescence: Origins and treatment. </w:t>
      </w:r>
      <w:r w:rsidRPr="0002039D">
        <w:rPr>
          <w:rFonts w:ascii="Arial" w:hAnsi="Arial" w:cs="Arial"/>
          <w:i/>
          <w:szCs w:val="24"/>
        </w:rPr>
        <w:t>Annual Review of Clinical Psychology, 5</w:t>
      </w:r>
      <w:r w:rsidRPr="0002039D">
        <w:rPr>
          <w:rFonts w:ascii="Arial" w:hAnsi="Arial" w:cs="Arial"/>
          <w:szCs w:val="24"/>
        </w:rPr>
        <w:t>, 311–341. https://doi.org/10.1146/annurev.clinpsy.032408.153628</w:t>
      </w:r>
    </w:p>
    <w:p w14:paraId="01B1B1CC" w14:textId="77777777" w:rsidR="0002039D" w:rsidRPr="0002039D" w:rsidRDefault="0002039D" w:rsidP="0002039D">
      <w:pPr>
        <w:pStyle w:val="References"/>
        <w:spacing w:line="360" w:lineRule="auto"/>
        <w:jc w:val="both"/>
        <w:rPr>
          <w:rFonts w:ascii="Arial" w:hAnsi="Arial" w:cs="Arial"/>
          <w:szCs w:val="24"/>
        </w:rPr>
      </w:pPr>
      <w:r w:rsidRPr="0002039D">
        <w:rPr>
          <w:rFonts w:ascii="Arial" w:hAnsi="Arial" w:cs="Arial"/>
          <w:szCs w:val="24"/>
        </w:rPr>
        <w:t xml:space="preserve">Somerville, L. H. (2013). Special issue on the teenage brain: Sensitivity to social evaluation. </w:t>
      </w:r>
      <w:r w:rsidRPr="0002039D">
        <w:rPr>
          <w:rFonts w:ascii="Arial" w:hAnsi="Arial" w:cs="Arial"/>
          <w:i/>
          <w:szCs w:val="24"/>
        </w:rPr>
        <w:t>Current Directions in Psychological Science, 22</w:t>
      </w:r>
      <w:r w:rsidRPr="0002039D">
        <w:rPr>
          <w:rFonts w:ascii="Arial" w:hAnsi="Arial" w:cs="Arial"/>
          <w:szCs w:val="24"/>
        </w:rPr>
        <w:t>(2), 121–127. https://doi.org/10.1177/0963721413476512</w:t>
      </w:r>
    </w:p>
    <w:p w14:paraId="18FE9D61" w14:textId="77777777" w:rsidR="0002039D" w:rsidRPr="0002039D" w:rsidRDefault="0002039D" w:rsidP="0002039D">
      <w:pPr>
        <w:pStyle w:val="References"/>
        <w:spacing w:line="360" w:lineRule="auto"/>
        <w:jc w:val="both"/>
        <w:rPr>
          <w:rFonts w:ascii="Arial" w:hAnsi="Arial" w:cs="Arial"/>
          <w:szCs w:val="24"/>
          <w:lang w:val="es-PE"/>
        </w:rPr>
      </w:pPr>
      <w:r w:rsidRPr="0002039D">
        <w:rPr>
          <w:rFonts w:ascii="Arial" w:hAnsi="Arial" w:cs="Arial"/>
          <w:szCs w:val="24"/>
        </w:rPr>
        <w:t xml:space="preserve">Spielberger, C. D., Gorsuch, R. L., </w:t>
      </w:r>
      <w:proofErr w:type="spellStart"/>
      <w:r w:rsidRPr="0002039D">
        <w:rPr>
          <w:rFonts w:ascii="Arial" w:hAnsi="Arial" w:cs="Arial"/>
          <w:szCs w:val="24"/>
        </w:rPr>
        <w:t>Lushene</w:t>
      </w:r>
      <w:proofErr w:type="spellEnd"/>
      <w:r w:rsidRPr="0002039D">
        <w:rPr>
          <w:rFonts w:ascii="Arial" w:hAnsi="Arial" w:cs="Arial"/>
          <w:szCs w:val="24"/>
        </w:rPr>
        <w:t xml:space="preserve">, R. E., Buela-Casal, G., Guillén-Riquelme, A., &amp; </w:t>
      </w:r>
      <w:proofErr w:type="spellStart"/>
      <w:r w:rsidRPr="0002039D">
        <w:rPr>
          <w:rFonts w:ascii="Arial" w:hAnsi="Arial" w:cs="Arial"/>
          <w:szCs w:val="24"/>
        </w:rPr>
        <w:t>Seisdedos</w:t>
      </w:r>
      <w:proofErr w:type="spellEnd"/>
      <w:r w:rsidRPr="0002039D">
        <w:rPr>
          <w:rFonts w:ascii="Arial" w:hAnsi="Arial" w:cs="Arial"/>
          <w:szCs w:val="24"/>
        </w:rPr>
        <w:t xml:space="preserve"> Cubero, N. (2023). </w:t>
      </w:r>
      <w:r w:rsidRPr="0002039D">
        <w:rPr>
          <w:rFonts w:ascii="Arial" w:hAnsi="Arial" w:cs="Arial"/>
          <w:i/>
          <w:szCs w:val="24"/>
          <w:lang w:val="es-PE"/>
        </w:rPr>
        <w:t>STAI: Cuestionario de Ansiedad Estado/Rasgo</w:t>
      </w:r>
      <w:r w:rsidRPr="0002039D">
        <w:rPr>
          <w:rFonts w:ascii="Arial" w:hAnsi="Arial" w:cs="Arial"/>
          <w:szCs w:val="24"/>
          <w:lang w:val="es-PE"/>
        </w:rPr>
        <w:t xml:space="preserve"> (10.ª ed.). Hogrefe TEA Ediciones.</w:t>
      </w:r>
    </w:p>
    <w:p w14:paraId="7AE8438A" w14:textId="77777777" w:rsidR="0002039D" w:rsidRPr="0002039D" w:rsidRDefault="0002039D" w:rsidP="0002039D">
      <w:pPr>
        <w:pStyle w:val="References"/>
        <w:spacing w:line="360" w:lineRule="auto"/>
        <w:jc w:val="both"/>
        <w:rPr>
          <w:rFonts w:ascii="Arial" w:hAnsi="Arial" w:cs="Arial"/>
          <w:szCs w:val="24"/>
        </w:rPr>
      </w:pPr>
      <w:r w:rsidRPr="0002039D">
        <w:rPr>
          <w:rFonts w:ascii="Arial" w:hAnsi="Arial" w:cs="Arial"/>
          <w:szCs w:val="24"/>
        </w:rPr>
        <w:t xml:space="preserve">Spielberger, C. D., &amp; Reheiser, E. C. (2009). Assessment of emotions: Anxiety, anger, depression, and curiosity. </w:t>
      </w:r>
      <w:r w:rsidRPr="0002039D">
        <w:rPr>
          <w:rFonts w:ascii="Arial" w:hAnsi="Arial" w:cs="Arial"/>
          <w:i/>
          <w:szCs w:val="24"/>
        </w:rPr>
        <w:t>Applied Psychology: Health and Well-Being, 1</w:t>
      </w:r>
      <w:r w:rsidRPr="0002039D">
        <w:rPr>
          <w:rFonts w:ascii="Arial" w:hAnsi="Arial" w:cs="Arial"/>
          <w:szCs w:val="24"/>
        </w:rPr>
        <w:t>(3), 271–302. https://doi.org/10.1111/j.1758-0854.2009.01017.x</w:t>
      </w:r>
    </w:p>
    <w:p w14:paraId="7DF59B1C" w14:textId="77777777" w:rsidR="0002039D" w:rsidRPr="0002039D" w:rsidRDefault="0002039D" w:rsidP="0002039D">
      <w:pPr>
        <w:spacing w:line="360" w:lineRule="auto"/>
        <w:jc w:val="both"/>
        <w:rPr>
          <w:rFonts w:ascii="Arial" w:hAnsi="Arial" w:cs="Arial"/>
          <w:highlight w:val="yellow"/>
          <w:lang w:val="en-US"/>
        </w:rPr>
      </w:pPr>
    </w:p>
    <w:sectPr w:rsidR="0002039D" w:rsidRPr="0002039D" w:rsidSect="00A27DDB">
      <w:pgSz w:w="11906" w:h="16838"/>
      <w:pgMar w:top="1417" w:right="1418" w:bottom="1276" w:left="1418"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83"/>
    <w:rsid w:val="0002039D"/>
    <w:rsid w:val="001B179A"/>
    <w:rsid w:val="00732483"/>
    <w:rsid w:val="009B044B"/>
    <w:rsid w:val="009D5EAA"/>
    <w:rsid w:val="00A27DDB"/>
    <w:rsid w:val="00A56C1B"/>
    <w:rsid w:val="00C51F3C"/>
    <w:rsid w:val="00CE5CF9"/>
    <w:rsid w:val="00E85B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AFE1"/>
  <w15:chartTrackingRefBased/>
  <w15:docId w15:val="{0D421E31-075C-4831-9A54-CF3ED844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2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4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4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4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4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4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4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4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4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24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4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4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4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4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4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4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483"/>
    <w:rPr>
      <w:rFonts w:eastAsiaTheme="majorEastAsia" w:cstheme="majorBidi"/>
      <w:color w:val="272727" w:themeColor="text1" w:themeTint="D8"/>
    </w:rPr>
  </w:style>
  <w:style w:type="paragraph" w:styleId="Ttulo">
    <w:name w:val="Title"/>
    <w:basedOn w:val="Normal"/>
    <w:next w:val="Normal"/>
    <w:link w:val="TtuloCar"/>
    <w:uiPriority w:val="10"/>
    <w:qFormat/>
    <w:rsid w:val="0073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4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4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4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483"/>
    <w:pPr>
      <w:spacing w:before="160"/>
      <w:jc w:val="center"/>
    </w:pPr>
    <w:rPr>
      <w:i/>
      <w:iCs/>
      <w:color w:val="404040" w:themeColor="text1" w:themeTint="BF"/>
    </w:rPr>
  </w:style>
  <w:style w:type="character" w:customStyle="1" w:styleId="CitaCar">
    <w:name w:val="Cita Car"/>
    <w:basedOn w:val="Fuentedeprrafopredeter"/>
    <w:link w:val="Cita"/>
    <w:uiPriority w:val="29"/>
    <w:rsid w:val="00732483"/>
    <w:rPr>
      <w:i/>
      <w:iCs/>
      <w:color w:val="404040" w:themeColor="text1" w:themeTint="BF"/>
    </w:rPr>
  </w:style>
  <w:style w:type="paragraph" w:styleId="Prrafodelista">
    <w:name w:val="List Paragraph"/>
    <w:basedOn w:val="Normal"/>
    <w:uiPriority w:val="34"/>
    <w:qFormat/>
    <w:rsid w:val="00732483"/>
    <w:pPr>
      <w:ind w:left="720"/>
      <w:contextualSpacing/>
    </w:pPr>
  </w:style>
  <w:style w:type="character" w:styleId="nfasisintenso">
    <w:name w:val="Intense Emphasis"/>
    <w:basedOn w:val="Fuentedeprrafopredeter"/>
    <w:uiPriority w:val="21"/>
    <w:qFormat/>
    <w:rsid w:val="00732483"/>
    <w:rPr>
      <w:i/>
      <w:iCs/>
      <w:color w:val="0F4761" w:themeColor="accent1" w:themeShade="BF"/>
    </w:rPr>
  </w:style>
  <w:style w:type="paragraph" w:styleId="Citadestacada">
    <w:name w:val="Intense Quote"/>
    <w:basedOn w:val="Normal"/>
    <w:next w:val="Normal"/>
    <w:link w:val="CitadestacadaCar"/>
    <w:uiPriority w:val="30"/>
    <w:qFormat/>
    <w:rsid w:val="00732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483"/>
    <w:rPr>
      <w:i/>
      <w:iCs/>
      <w:color w:val="0F4761" w:themeColor="accent1" w:themeShade="BF"/>
    </w:rPr>
  </w:style>
  <w:style w:type="character" w:styleId="Referenciaintensa">
    <w:name w:val="Intense Reference"/>
    <w:basedOn w:val="Fuentedeprrafopredeter"/>
    <w:uiPriority w:val="32"/>
    <w:qFormat/>
    <w:rsid w:val="00732483"/>
    <w:rPr>
      <w:b/>
      <w:bCs/>
      <w:smallCaps/>
      <w:color w:val="0F4761" w:themeColor="accent1" w:themeShade="BF"/>
      <w:spacing w:val="5"/>
    </w:rPr>
  </w:style>
  <w:style w:type="paragraph" w:customStyle="1" w:styleId="References">
    <w:name w:val="References"/>
    <w:rsid w:val="0002039D"/>
    <w:pPr>
      <w:spacing w:after="0" w:line="480" w:lineRule="auto"/>
      <w:ind w:left="720" w:hanging="720"/>
    </w:pPr>
    <w:rPr>
      <w:rFonts w:ascii="Times New Roman" w:eastAsia="Times New Roman"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2779</Words>
  <Characters>15290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Romero</dc:creator>
  <cp:keywords/>
  <dc:description/>
  <cp:lastModifiedBy>Neil Romero</cp:lastModifiedBy>
  <cp:revision>2</cp:revision>
  <dcterms:created xsi:type="dcterms:W3CDTF">2026-08-26T18:29:00Z</dcterms:created>
  <dcterms:modified xsi:type="dcterms:W3CDTF">2026-08-26T18:29:00Z</dcterms:modified>
</cp:coreProperties>
</file>