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23170" w14:textId="77777777" w:rsidR="00AB3B0D" w:rsidRPr="001624EA" w:rsidRDefault="00000000">
      <w:pPr>
        <w:pStyle w:val="Ttulo1"/>
        <w:rPr>
          <w:lang w:val="es-PE"/>
        </w:rPr>
      </w:pPr>
      <w:r w:rsidRPr="001624EA">
        <w:rPr>
          <w:rFonts w:ascii="Times New Roman" w:eastAsia="Times New Roman" w:hAnsi="Times New Roman"/>
          <w:lang w:val="es-PE"/>
        </w:rPr>
        <w:t>1.5. Fundamentos psicométricos</w:t>
      </w:r>
    </w:p>
    <w:p w14:paraId="29947703" w14:textId="77777777" w:rsidR="00595C6A" w:rsidRDefault="00595C6A" w:rsidP="00595C6A">
      <w:pPr>
        <w:rPr>
          <w:rFonts w:eastAsia="Times New Roman"/>
          <w:lang w:val="es-PE"/>
        </w:rPr>
      </w:pPr>
      <w:r w:rsidRPr="00595C6A">
        <w:rPr>
          <w:rFonts w:eastAsia="Times New Roman"/>
          <w:lang w:val="es-PE"/>
        </w:rPr>
        <w:t>Lo primero que nos ofrece la psicometría es la posibilidad de estudiar rasgos psicológicos que no son observables de una forma directa, como es el caso de la ansiedad. Las respuestas que las personas brindan a los ítems de un cuestionario son las que se utilizan para aproximarse a ellas. A continuación se comprueba si las puntuaciones obtenidas son claras, consistentes y útiles para el fin de la investigación (Muñiz, 2018).</w:t>
      </w:r>
    </w:p>
    <w:p w14:paraId="705F99DF" w14:textId="77777777" w:rsidR="00595C6A" w:rsidRDefault="00595C6A" w:rsidP="00595C6A">
      <w:pPr>
        <w:rPr>
          <w:rFonts w:eastAsia="Times New Roman"/>
          <w:lang w:val="es-PE"/>
        </w:rPr>
      </w:pPr>
      <w:r w:rsidRPr="00595C6A">
        <w:rPr>
          <w:rFonts w:eastAsia="Times New Roman"/>
          <w:lang w:val="es-PE"/>
        </w:rPr>
        <w:t>De ahí que conviene recordar que un instrumento no es válido ni confiable para todas las personas ni para todas las circunstancias. La calidad de las puntuaciones depende de la población, del contexto y del uso que se le quiera dar. Por tal razón, si bien el STAI tiene una adaptación española, aún es necesario verificar cómo funciona en los estudiantes de quinto de secundaria de Villa El Salvador (AERA, APA, &amp; NCME, 2014).</w:t>
      </w:r>
    </w:p>
    <w:p w14:paraId="04B8A6FA" w14:textId="46C68B5E" w:rsidR="00595C6A" w:rsidRPr="00595C6A" w:rsidRDefault="00595C6A" w:rsidP="00595C6A">
      <w:pPr>
        <w:rPr>
          <w:rFonts w:eastAsia="Times New Roman"/>
          <w:lang w:val="es-PE"/>
        </w:rPr>
      </w:pPr>
      <w:r w:rsidRPr="00595C6A">
        <w:rPr>
          <w:rFonts w:eastAsia="Times New Roman"/>
          <w:lang w:val="es-PE"/>
        </w:rPr>
        <w:t xml:space="preserve">Desde este punto de vista, la Teoría Clásica de los </w:t>
      </w:r>
      <w:r w:rsidRPr="00595C6A">
        <w:rPr>
          <w:rFonts w:eastAsia="Times New Roman"/>
          <w:lang w:val="es-PE"/>
        </w:rPr>
        <w:t>Test</w:t>
      </w:r>
      <w:r w:rsidRPr="00595C6A">
        <w:rPr>
          <w:rFonts w:eastAsia="Times New Roman"/>
          <w:lang w:val="es-PE"/>
        </w:rPr>
        <w:t xml:space="preserve"> explica que cada puntaje tiene una parte que tiene que ver con el atributo medido y otra que tiene que ver con el error de medición. Esta idea se expresa mediante la fórmula X = V + E, donde X es la puntuación observada, V la puntuación verdadera teórica y E el error que puede incidir en el resultado (Lord &amp; Novick, 1968).</w:t>
      </w:r>
    </w:p>
    <w:p w14:paraId="74C604EF" w14:textId="77777777" w:rsidR="00595C6A" w:rsidRPr="00595C6A" w:rsidRDefault="00595C6A" w:rsidP="00595C6A">
      <w:pPr>
        <w:rPr>
          <w:rFonts w:eastAsia="Times New Roman"/>
          <w:lang w:val="es-PE"/>
        </w:rPr>
      </w:pPr>
      <w:r w:rsidRPr="00595C6A">
        <w:rPr>
          <w:rFonts w:eastAsia="Times New Roman"/>
          <w:lang w:val="es-PE"/>
        </w:rPr>
        <w:t>En pocas palabras, la puntuación que logra un estudiante en el STAI debe interpretarse como una estimación, no como una medición precisa e infalible de su ansiedad. La comprensión de las preguntas, las condiciones de aplicación, el estado momentáneo del participante y otros factores pueden influir en sus respuestas. Por eso se hace necesario estudiar la precisión de las puntuaciones, antes de usarlas para sacar conclusiones.</w:t>
      </w:r>
    </w:p>
    <w:p w14:paraId="7195572A" w14:textId="77777777" w:rsidR="00595F0C" w:rsidRPr="00595C6A" w:rsidRDefault="00000000">
      <w:pPr>
        <w:rPr>
          <w:lang w:val="es-PE"/>
        </w:rPr>
      </w:pPr>
      <w:r w:rsidRPr="00595C6A">
        <w:rPr>
          <w:rFonts w:eastAsia="Times New Roman"/>
          <w:lang w:val="es-PE"/>
        </w:rPr>
        <w:t>Ahora bien, la precisión no es el único aspecto que debe revisarse. También se necesitan evidencias de validez, es decir, información que permita sostener que las puntuaciones pueden interpretarse de acuerdo con el propósito previsto. La validez no se demuestra mediante un único resultado, sino mediante un conjunto de evidencias coherentes con el constructo, la población y el contexto de evaluación (AERA et al., 2014; Kane, 2013).</w:t>
      </w:r>
    </w:p>
    <w:p w14:paraId="093DE7F6" w14:textId="77777777" w:rsidR="00595F0C" w:rsidRPr="00595C6A" w:rsidRDefault="00000000">
      <w:pPr>
        <w:rPr>
          <w:lang w:val="es-PE"/>
        </w:rPr>
      </w:pPr>
      <w:r w:rsidRPr="00595C6A">
        <w:rPr>
          <w:rFonts w:eastAsia="Times New Roman"/>
          <w:lang w:val="es-PE"/>
        </w:rPr>
        <w:t>En el caso de esta investigación, la evidencia principal estará basada en la estructura interna del cuestionario. Con ella se buscará comprobar si las relaciones entre los ítems son compatibles con las dimensiones de Ansiedad Estado y Ansiedad Rasgo propuestas por Spielberger. De este modo, los resultados permitirán valorar si las puntuaciones representan ambas dimensiones en los adolescentes que participen en el estudio.</w:t>
      </w:r>
    </w:p>
    <w:p w14:paraId="26F88C07" w14:textId="77777777" w:rsidR="00595F0C" w:rsidRPr="00595C6A" w:rsidRDefault="00000000">
      <w:pPr>
        <w:rPr>
          <w:lang w:val="es-PE"/>
        </w:rPr>
      </w:pPr>
      <w:r w:rsidRPr="00595C6A">
        <w:rPr>
          <w:rFonts w:eastAsia="Times New Roman"/>
          <w:lang w:val="es-PE"/>
        </w:rPr>
        <w:t xml:space="preserve">Para examinar esa estructura pueden emplearse el Análisis Factorial Exploratorio y el Análisis Factorial Confirmatorio. El primero, conocido como AFE, ayuda a reconocer cómo se </w:t>
      </w:r>
      <w:r w:rsidRPr="00595C6A">
        <w:rPr>
          <w:rFonts w:eastAsia="Times New Roman"/>
          <w:lang w:val="es-PE"/>
        </w:rPr>
        <w:lastRenderedPageBreak/>
        <w:t>agrupan los ítems cuando todavía existen dudas sobre la organización de la escala. El segundo, denominado AFC, permite comprobar si un modelo definido previamente se ajusta de manera razonable a las respuestas observadas (Lloret-Segura et al., 2014; Brown, 2015).</w:t>
      </w:r>
    </w:p>
    <w:p w14:paraId="0796C3C2" w14:textId="77777777" w:rsidR="00595C6A" w:rsidRDefault="00595C6A" w:rsidP="00595C6A">
      <w:pPr>
        <w:rPr>
          <w:rFonts w:eastAsia="Times New Roman"/>
          <w:lang w:val="es-PE"/>
        </w:rPr>
      </w:pPr>
      <w:r w:rsidRPr="00595C6A">
        <w:rPr>
          <w:rFonts w:eastAsia="Times New Roman"/>
          <w:lang w:val="es-PE"/>
        </w:rPr>
        <w:t>Dado que el STAI está sustentado en un modelo teórico reconocido, el análisis principal de este trabajo será el AFC. Con este procedimiento se revisará si los ítems representan las dimensiones previstas y si la forma en que algunos están redactados produce efectos adicionales. La decisión de la estructura más adecuada no dependerá sólo de los índices estadísticos, sino también de si es coherente con la teoría y con el contenido de las preguntas.</w:t>
      </w:r>
    </w:p>
    <w:p w14:paraId="327B0301" w14:textId="77777777" w:rsidR="00595C6A" w:rsidRDefault="00595C6A" w:rsidP="00595C6A">
      <w:pPr>
        <w:rPr>
          <w:rFonts w:eastAsia="Times New Roman"/>
          <w:lang w:val="es-PE"/>
        </w:rPr>
      </w:pPr>
      <w:r w:rsidRPr="00595C6A">
        <w:rPr>
          <w:rFonts w:eastAsia="Times New Roman"/>
          <w:lang w:val="es-PE"/>
        </w:rPr>
        <w:t>Junto con la estructura interna, se analizará la fiabilidad, entendida como el grado de consistencia y precisión de las puntuaciones. Por separado se hará esta estimación para Ansiedad Estado y Ansiedad Rasgo ya que cada escala representa una dimensión diferente. Para tal fin, se emplearán los coeficientes alfa y omega interpretados a partir del modelo factorial y el comportamiento de los ítems (AERA et al., 2014; McNeish, 2018).</w:t>
      </w:r>
    </w:p>
    <w:p w14:paraId="4A8F0F81" w14:textId="09EB21FC" w:rsidR="00595C6A" w:rsidRPr="00595C6A" w:rsidRDefault="00595C6A" w:rsidP="00595C6A">
      <w:pPr>
        <w:rPr>
          <w:rFonts w:eastAsia="Times New Roman"/>
          <w:lang w:val="es-PE"/>
        </w:rPr>
      </w:pPr>
      <w:r w:rsidRPr="00595C6A">
        <w:rPr>
          <w:rFonts w:eastAsia="Times New Roman"/>
          <w:lang w:val="es-PE"/>
        </w:rPr>
        <w:t>Hay que advertir, sin embargo, que un alto coeficiente no demuestra por sí solo que la escala sea válida, ni tampoco que todos los ítems de la misma estén funcionando correctamente. Tampoco permite sumar las puntuaciones de Ansiedad Estado y Ansiedad Rasgo. Por lo tanto, la fiabilidad será tomada como una evidencia complementaria y no como el único criterio para valorar la calidad psicométrica del STAI.</w:t>
      </w:r>
    </w:p>
    <w:p w14:paraId="29BB09BF" w14:textId="77777777" w:rsidR="00595F0C" w:rsidRPr="00595C6A" w:rsidRDefault="00000000">
      <w:pPr>
        <w:rPr>
          <w:lang w:val="es-PE"/>
        </w:rPr>
      </w:pPr>
      <w:r w:rsidRPr="00595C6A">
        <w:rPr>
          <w:rFonts w:eastAsia="Times New Roman"/>
          <w:lang w:val="es-PE"/>
        </w:rPr>
        <w:t>Asimismo, el análisis de ítems permitirá conocer cómo respondió la muestra a cada pregunta. Se observará si todas las opciones de respuesta fueron utilizadas, si las respuestas se concentraron demasiado en una sola alternativa y si cada ítem mantiene una relación adecuada con la puntuación de la escala a la que pertenece. También se revisarán las cargas factoriales, porque estas muestran cuánto aporta cada reactivo a la dimensión que pretende representar (Muñiz, 2018).</w:t>
      </w:r>
    </w:p>
    <w:p w14:paraId="247E6AC4" w14:textId="77777777" w:rsidR="00595C6A" w:rsidRDefault="00000000" w:rsidP="00595C6A">
      <w:pPr>
        <w:rPr>
          <w:rFonts w:eastAsia="Times New Roman"/>
          <w:lang w:val="es-PE"/>
        </w:rPr>
      </w:pPr>
      <w:r w:rsidRPr="00595C6A">
        <w:rPr>
          <w:rFonts w:eastAsia="Times New Roman"/>
          <w:lang w:val="es-PE"/>
        </w:rPr>
        <w:t xml:space="preserve">Por esta razón, un ítem que presente un resultado débil no será eliminado de manera automática. Antes de tomar una decisión se tendrá en cuenta su contenido, su importancia dentro del modelo, la claridad de su redacción y el efecto que produciría su retiro. </w:t>
      </w:r>
      <w:r w:rsidR="00595C6A" w:rsidRPr="00595C6A">
        <w:rPr>
          <w:rFonts w:eastAsia="Times New Roman"/>
          <w:lang w:val="es-PE"/>
        </w:rPr>
        <w:t xml:space="preserve">Además, todo cambio habría de ser expresamente comunicado y justificado, pues el propósito es evaluar la versión española existente del STAI. </w:t>
      </w:r>
    </w:p>
    <w:p w14:paraId="1F3FD586" w14:textId="77777777" w:rsidR="00595C6A" w:rsidRDefault="00595C6A" w:rsidP="00595C6A">
      <w:pPr>
        <w:rPr>
          <w:rFonts w:eastAsia="Times New Roman"/>
          <w:lang w:val="es-PE"/>
        </w:rPr>
      </w:pPr>
      <w:r w:rsidRPr="00595C6A">
        <w:rPr>
          <w:rFonts w:eastAsia="Times New Roman"/>
          <w:lang w:val="es-PE"/>
        </w:rPr>
        <w:t xml:space="preserve">En relación al instrumento, el Cuestionario de Ansiedad Estado-Rasgo fue elaborado por Spielberger, Gorsuch y Lushene, mientras que su adaptación al español fue realizada por Buela-Casal, Guillén-Riquelme y Seisdedos Cubero. Esta adaptación, basada en la Forma X, permite evaluar por separado la ansiedad experimentada en un momento concreto y la tendencia habitual a reaccionar con ansiedad (Spielberger et al., 2023). </w:t>
      </w:r>
    </w:p>
    <w:p w14:paraId="283E08DD" w14:textId="6EEF25B5" w:rsidR="00595C6A" w:rsidRPr="00595C6A" w:rsidRDefault="00595C6A" w:rsidP="00595C6A">
      <w:pPr>
        <w:rPr>
          <w:rFonts w:eastAsia="Times New Roman"/>
          <w:lang w:val="es-PE"/>
        </w:rPr>
      </w:pPr>
      <w:r w:rsidRPr="00595C6A">
        <w:rPr>
          <w:rFonts w:eastAsia="Times New Roman"/>
          <w:lang w:val="es-PE"/>
        </w:rPr>
        <w:lastRenderedPageBreak/>
        <w:t>Concretamente, el STAI está formado por 40 ítems: 20 correspondientes a Ansiedad Estado y 20 a Ansiedad Rasgo. Se califican de 0 a 3 las respuestas, por lo cual cada escala genera una puntuación independiente que puede oscilar entre 0 y 60. Dado que el cuestionario contiene reactivos redactados en sentidos diferentes, la corrección debe hacerse con las claves establecidas en el manual. En ningún caso se deben sumar ambas escalas para obtener una puntuación global.</w:t>
      </w:r>
    </w:p>
    <w:p w14:paraId="39107537" w14:textId="77777777" w:rsidR="00595C6A" w:rsidRDefault="00595C6A" w:rsidP="00595C6A">
      <w:pPr>
        <w:rPr>
          <w:rFonts w:eastAsia="Times New Roman"/>
          <w:lang w:val="es-PE"/>
        </w:rPr>
      </w:pPr>
      <w:r w:rsidRPr="00595C6A">
        <w:rPr>
          <w:rFonts w:eastAsia="Times New Roman"/>
          <w:lang w:val="es-PE"/>
        </w:rPr>
        <w:t xml:space="preserve">El cuestionario puede aplicarse tanto individual como colectivamente a adolescentes y adultos y dura aproximadamente 15 minutos. En la investigación se utilizará la versión en español sin hacer modificaciones al contenido de los ítems, las alternativas de respuesta o el sistema de calificación. El interés estará puesto en conocer el funcionamiento de sus puntuaciones en estudiantes de quinto de secundaria de Villa El Salvador (Spielberger et al., 2023). </w:t>
      </w:r>
    </w:p>
    <w:p w14:paraId="73BFEB13" w14:textId="77777777" w:rsidR="00595C6A" w:rsidRDefault="00595C6A" w:rsidP="00595C6A">
      <w:pPr>
        <w:rPr>
          <w:rFonts w:eastAsia="Times New Roman"/>
          <w:lang w:val="es-PE"/>
        </w:rPr>
      </w:pPr>
      <w:r w:rsidRPr="00595C6A">
        <w:rPr>
          <w:rFonts w:eastAsia="Times New Roman"/>
          <w:lang w:val="es-PE"/>
        </w:rPr>
        <w:t xml:space="preserve">Por otra parte, emplear una prueba en un contexto cultural específico requiere algo más que una traducción. Es necesario verificar que las preguntas mantengan su significado y que los puntajes sigan representando el mismo constructo en la nueva población. El presente trabajo se enmarca en una adaptación responsable de los instrumentos psicológicos (International Test Commission, 2017). </w:t>
      </w:r>
    </w:p>
    <w:p w14:paraId="00DEC1BF" w14:textId="24AA302A" w:rsidR="00595C6A" w:rsidRPr="00595C6A" w:rsidRDefault="00595C6A" w:rsidP="00595C6A">
      <w:pPr>
        <w:rPr>
          <w:rFonts w:eastAsia="Times New Roman"/>
          <w:lang w:val="es-PE"/>
        </w:rPr>
      </w:pPr>
      <w:r w:rsidRPr="00595C6A">
        <w:rPr>
          <w:rFonts w:eastAsia="Times New Roman"/>
          <w:lang w:val="es-PE"/>
        </w:rPr>
        <w:t>También, si el tamaño y la composición de la muestra lo permiten, puede estudiarse la invarianza de medición entre grupos relevantes (por ejemplo, estudiantes de diferente sexo). Este análisis permite saber si el instrumento funciona de forma similar en los grupos que se comparan entre sí. Cuando la equivalencia es insuficiente, las diferencias entre sus puntuaciones deben interpretarse con precaución (Putnick &amp; Bornstein, 2016).</w:t>
      </w:r>
    </w:p>
    <w:p w14:paraId="3425F944" w14:textId="77777777" w:rsidR="00595C6A" w:rsidRDefault="00595C6A" w:rsidP="00595C6A">
      <w:pPr>
        <w:rPr>
          <w:rFonts w:eastAsia="Times New Roman"/>
          <w:lang w:val="es-PE"/>
        </w:rPr>
      </w:pPr>
      <w:r w:rsidRPr="00595C6A">
        <w:rPr>
          <w:rFonts w:eastAsia="Times New Roman"/>
          <w:lang w:val="es-PE"/>
        </w:rPr>
        <w:t xml:space="preserve">Con respecto al diseño del estudio, la investigación es instrumental debido a que se enfoca en evaluar la calidad de un instrumento y de las puntuaciones que genera. Por lo tanto, no busca principalmente establecer cuántos estudiantes presentan ansiedad, comparar tratamientos o hacer diagnósticos, sino reunir evidencias sobre el funcionamiento psicométrico del STAI en la población estudiada (Montero &amp; León, 2007). </w:t>
      </w:r>
    </w:p>
    <w:p w14:paraId="3CD12888" w14:textId="77777777" w:rsidR="00595C6A" w:rsidRDefault="00595C6A" w:rsidP="00595C6A">
      <w:pPr>
        <w:rPr>
          <w:rFonts w:eastAsia="Times New Roman"/>
          <w:lang w:val="es-PE"/>
        </w:rPr>
      </w:pPr>
      <w:r w:rsidRPr="00595C6A">
        <w:rPr>
          <w:rFonts w:eastAsia="Times New Roman"/>
          <w:lang w:val="es-PE"/>
        </w:rPr>
        <w:t>La evaluación, pues, recogerá tres fuentes fundamentales de información: el funcionamiento de los ítems, la estructura interna examinada mediante AFC y la confiabilidad estimada con los coeficientes alfa y omega. Los resultados serán interpretados en conjunto. Si alguna evidencia no es suficiente, también debe comunicarse, ya que ese hallazgo permitirá reconocer claramente los límites del cuestionario en el contexto estudiado.</w:t>
      </w:r>
    </w:p>
    <w:p w14:paraId="24DCFA15" w14:textId="646C5EEF" w:rsidR="00595C6A" w:rsidRPr="00595C6A" w:rsidRDefault="00595C6A" w:rsidP="00595C6A">
      <w:pPr>
        <w:rPr>
          <w:rFonts w:eastAsia="Times New Roman"/>
          <w:lang w:val="es-PE"/>
        </w:rPr>
      </w:pPr>
      <w:r w:rsidRPr="00595C6A">
        <w:rPr>
          <w:rFonts w:eastAsia="Times New Roman"/>
          <w:lang w:val="es-PE"/>
        </w:rPr>
        <w:t xml:space="preserve">En fin, el modelo de Spielberger y el análisis psicométrico son de carácter complementario. La teoría indica qué se quiere medir y los análisis estadísticos revelan si las </w:t>
      </w:r>
      <w:r w:rsidRPr="00595C6A">
        <w:rPr>
          <w:rFonts w:eastAsia="Times New Roman"/>
          <w:lang w:val="es-PE"/>
        </w:rPr>
        <w:lastRenderedPageBreak/>
        <w:t>respuestas de los estudiantes respaldan esa interpretación. Así, la cuestión fundamental es si la versión en español del STAI sobre puntuaciones de Ansiedad Estado y Ansiedad Rasgo exhibe en los estudiantes de quinto de secundaria de Villa El Salvador una estructura interna y una fiabilidad adecuadas y suficientemente probadas. Para una conclusión favorable se requerirá que la teoría, el comportamiento de los ítems, los resultados factoriales y los coeficientes de confiabilidad sean coherentes, ya que ningún indicador aislado será suficiente.</w:t>
      </w:r>
    </w:p>
    <w:p w14:paraId="12E37F3F" w14:textId="77777777" w:rsidR="00595F0C" w:rsidRPr="00595C6A" w:rsidRDefault="00000000">
      <w:pPr>
        <w:rPr>
          <w:lang w:val="es-PE"/>
        </w:rPr>
      </w:pPr>
      <w:r w:rsidRPr="00595C6A">
        <w:rPr>
          <w:lang w:val="es-PE"/>
        </w:rPr>
        <w:br w:type="page"/>
      </w:r>
    </w:p>
    <w:p w14:paraId="3C954471" w14:textId="77777777" w:rsidR="00AB3B0D" w:rsidRDefault="00000000">
      <w:pPr>
        <w:pStyle w:val="Ttulo1"/>
      </w:pPr>
      <w:r>
        <w:rPr>
          <w:rFonts w:ascii="Times New Roman" w:eastAsia="Times New Roman" w:hAnsi="Times New Roman"/>
        </w:rPr>
        <w:lastRenderedPageBreak/>
        <w:t>Referencias</w:t>
      </w:r>
    </w:p>
    <w:p w14:paraId="456F7180" w14:textId="77777777" w:rsidR="00AB3B0D" w:rsidRDefault="00000000">
      <w:pPr>
        <w:pStyle w:val="References"/>
        <w:spacing w:after="0" w:line="360" w:lineRule="auto"/>
        <w:ind w:left="709" w:hanging="709"/>
      </w:pPr>
      <w:r>
        <w:rPr>
          <w:rFonts w:ascii="Times New Roman" w:eastAsia="Times New Roman" w:hAnsi="Times New Roman"/>
          <w:color w:val="000000"/>
          <w:sz w:val="24"/>
        </w:rPr>
        <w:t>American Educational Research Association, American Psychological Association, &amp; National Council on Measurement in Education. (2014). Standards for educational and psychological testing. American Educational Research Association.</w:t>
      </w:r>
    </w:p>
    <w:p w14:paraId="5F621C28" w14:textId="77777777" w:rsidR="00AB3B0D" w:rsidRDefault="00000000">
      <w:pPr>
        <w:pStyle w:val="References"/>
        <w:spacing w:after="0" w:line="360" w:lineRule="auto"/>
        <w:ind w:left="709" w:hanging="709"/>
      </w:pPr>
      <w:r>
        <w:rPr>
          <w:rFonts w:ascii="Times New Roman" w:eastAsia="Times New Roman" w:hAnsi="Times New Roman"/>
          <w:color w:val="000000"/>
          <w:sz w:val="24"/>
        </w:rPr>
        <w:t>Brown, T. A. (2015). Confirmatory factor analysis for applied research (2.ª ed.). The Guilford Press.</w:t>
      </w:r>
    </w:p>
    <w:p w14:paraId="51DF1082" w14:textId="77777777" w:rsidR="00AB3B0D" w:rsidRDefault="00000000">
      <w:pPr>
        <w:pStyle w:val="References"/>
        <w:spacing w:after="0" w:line="360" w:lineRule="auto"/>
        <w:ind w:left="709" w:hanging="709"/>
      </w:pPr>
      <w:r>
        <w:rPr>
          <w:rFonts w:ascii="Times New Roman" w:eastAsia="Times New Roman" w:hAnsi="Times New Roman"/>
          <w:color w:val="000000"/>
          <w:sz w:val="24"/>
        </w:rPr>
        <w:t>International Test Commission. (2017). The ITC guidelines for translating and adapting tests (2.ª ed.). https://www.intestcom.org/files/guideline_test_adaptation_2ed.pdf</w:t>
      </w:r>
    </w:p>
    <w:p w14:paraId="75892D3B" w14:textId="77777777" w:rsidR="00AB3B0D" w:rsidRDefault="00000000">
      <w:pPr>
        <w:pStyle w:val="References"/>
        <w:spacing w:after="0" w:line="360" w:lineRule="auto"/>
        <w:ind w:left="709" w:hanging="709"/>
      </w:pPr>
      <w:r>
        <w:rPr>
          <w:rFonts w:ascii="Times New Roman" w:eastAsia="Times New Roman" w:hAnsi="Times New Roman"/>
          <w:color w:val="000000"/>
          <w:sz w:val="24"/>
        </w:rPr>
        <w:t>Kane, M. T. (2013). Validating the interpretations and uses of test scores. Journal of Educational Measurement, 50(1), 1-73. https://doi.org/10.1111/jedm.12000</w:t>
      </w:r>
    </w:p>
    <w:p w14:paraId="2A9920C1" w14:textId="77777777" w:rsidR="00AB3B0D" w:rsidRPr="001624EA" w:rsidRDefault="00000000">
      <w:pPr>
        <w:pStyle w:val="References"/>
        <w:spacing w:after="0" w:line="360" w:lineRule="auto"/>
        <w:ind w:left="709" w:hanging="709"/>
        <w:rPr>
          <w:lang w:val="es-PE"/>
        </w:rPr>
      </w:pPr>
      <w:r>
        <w:rPr>
          <w:rFonts w:ascii="Times New Roman" w:eastAsia="Times New Roman" w:hAnsi="Times New Roman"/>
          <w:color w:val="000000"/>
          <w:sz w:val="24"/>
        </w:rPr>
        <w:t xml:space="preserve">Lloret-Segura, S., Ferreres-Traver, A., Hernández-Baeza, A., &amp; Tomás-Marco, I. (2014). </w:t>
      </w:r>
      <w:r w:rsidRPr="001624EA">
        <w:rPr>
          <w:rFonts w:ascii="Times New Roman" w:eastAsia="Times New Roman" w:hAnsi="Times New Roman"/>
          <w:color w:val="000000"/>
          <w:sz w:val="24"/>
          <w:lang w:val="es-PE"/>
        </w:rPr>
        <w:t>El análisis factorial exploratorio de los ítems: Una guía práctica, revisada y actualizada. Anales de Psicología, 30(3), 1151-1169. https://doi.org/10.6018/analesps.30.3.199361</w:t>
      </w:r>
    </w:p>
    <w:p w14:paraId="4F8A4A61" w14:textId="77777777" w:rsidR="00AB3B0D" w:rsidRDefault="00000000">
      <w:pPr>
        <w:pStyle w:val="References"/>
        <w:spacing w:after="0" w:line="360" w:lineRule="auto"/>
        <w:ind w:left="709" w:hanging="709"/>
      </w:pPr>
      <w:r w:rsidRPr="001624EA">
        <w:rPr>
          <w:rFonts w:ascii="Times New Roman" w:eastAsia="Times New Roman" w:hAnsi="Times New Roman"/>
          <w:color w:val="000000"/>
          <w:sz w:val="24"/>
          <w:lang w:val="es-PE"/>
        </w:rPr>
        <w:t xml:space="preserve">Lord, F. M., &amp; Novick, M. R. (1968). </w:t>
      </w:r>
      <w:r>
        <w:rPr>
          <w:rFonts w:ascii="Times New Roman" w:eastAsia="Times New Roman" w:hAnsi="Times New Roman"/>
          <w:color w:val="000000"/>
          <w:sz w:val="24"/>
        </w:rPr>
        <w:t>Statistical theories of mental test scores. Addison-Wesley.</w:t>
      </w:r>
    </w:p>
    <w:p w14:paraId="075442E8" w14:textId="77777777" w:rsidR="00AB3B0D" w:rsidRPr="00595C6A" w:rsidRDefault="00000000">
      <w:pPr>
        <w:pStyle w:val="References"/>
        <w:spacing w:after="0" w:line="360" w:lineRule="auto"/>
        <w:ind w:left="709" w:hanging="709"/>
      </w:pPr>
      <w:r>
        <w:rPr>
          <w:rFonts w:ascii="Times New Roman" w:eastAsia="Times New Roman" w:hAnsi="Times New Roman"/>
          <w:color w:val="000000"/>
          <w:sz w:val="24"/>
        </w:rPr>
        <w:t xml:space="preserve">McNeish, D. (2018). Thanks coefficient alpha, we'll take it from here. </w:t>
      </w:r>
      <w:r w:rsidRPr="00595C6A">
        <w:rPr>
          <w:rFonts w:ascii="Times New Roman" w:eastAsia="Times New Roman" w:hAnsi="Times New Roman"/>
          <w:color w:val="000000"/>
          <w:sz w:val="24"/>
        </w:rPr>
        <w:t>Psychological Methods, 23(3), 412-433. https://doi.org/10.1037/met0000144</w:t>
      </w:r>
    </w:p>
    <w:p w14:paraId="469785B0" w14:textId="77777777" w:rsidR="00AB3B0D" w:rsidRPr="00595C6A" w:rsidRDefault="00000000">
      <w:pPr>
        <w:pStyle w:val="References"/>
        <w:spacing w:after="0" w:line="360" w:lineRule="auto"/>
        <w:ind w:left="709" w:hanging="709"/>
      </w:pPr>
      <w:r w:rsidRPr="00595C6A">
        <w:rPr>
          <w:rFonts w:ascii="Times New Roman" w:eastAsia="Times New Roman" w:hAnsi="Times New Roman"/>
          <w:color w:val="000000"/>
          <w:sz w:val="24"/>
        </w:rPr>
        <w:t xml:space="preserve">Montero, I., &amp; León, O. G. (2007). </w:t>
      </w:r>
      <w:r>
        <w:rPr>
          <w:rFonts w:ascii="Times New Roman" w:eastAsia="Times New Roman" w:hAnsi="Times New Roman"/>
          <w:color w:val="000000"/>
          <w:sz w:val="24"/>
        </w:rPr>
        <w:t xml:space="preserve">A guide for naming research studies in psychology. </w:t>
      </w:r>
      <w:r w:rsidRPr="00595C6A">
        <w:rPr>
          <w:rFonts w:ascii="Times New Roman" w:eastAsia="Times New Roman" w:hAnsi="Times New Roman"/>
          <w:color w:val="000000"/>
          <w:sz w:val="24"/>
        </w:rPr>
        <w:t>International Journal of Clinical and Health Psychology, 7(3), 847-862.</w:t>
      </w:r>
    </w:p>
    <w:p w14:paraId="3DF08EC0" w14:textId="77777777" w:rsidR="00AB3B0D" w:rsidRPr="00595C6A" w:rsidRDefault="00000000">
      <w:pPr>
        <w:pStyle w:val="References"/>
        <w:spacing w:after="0" w:line="360" w:lineRule="auto"/>
        <w:ind w:left="709" w:hanging="709"/>
      </w:pPr>
      <w:r w:rsidRPr="00595C6A">
        <w:rPr>
          <w:rFonts w:ascii="Times New Roman" w:eastAsia="Times New Roman" w:hAnsi="Times New Roman"/>
          <w:color w:val="000000"/>
          <w:sz w:val="24"/>
        </w:rPr>
        <w:t>Muñiz, J. (2018). Introducción a la psicometría: Teoría clásica y TRI. Pirámide.</w:t>
      </w:r>
    </w:p>
    <w:p w14:paraId="50A11F1C" w14:textId="77777777" w:rsidR="00AB3B0D" w:rsidRDefault="00000000">
      <w:pPr>
        <w:pStyle w:val="References"/>
        <w:spacing w:after="0" w:line="360" w:lineRule="auto"/>
        <w:ind w:left="709" w:hanging="709"/>
      </w:pPr>
      <w:r>
        <w:rPr>
          <w:rFonts w:ascii="Times New Roman" w:eastAsia="Times New Roman" w:hAnsi="Times New Roman"/>
          <w:color w:val="000000"/>
          <w:sz w:val="24"/>
        </w:rPr>
        <w:t>Putnick, D. L., &amp; Bornstein, M. H. (2016). Measurement invariance conventions and reporting: The state of the art and future directions for psychological research. Developmental Review, 41, 71-90. https://doi.org/10.1016/j.dr.2016.06.004</w:t>
      </w:r>
    </w:p>
    <w:p w14:paraId="50335A53" w14:textId="77777777" w:rsidR="00AB3B0D" w:rsidRPr="001624EA" w:rsidRDefault="00000000">
      <w:pPr>
        <w:pStyle w:val="References"/>
        <w:spacing w:after="0" w:line="360" w:lineRule="auto"/>
        <w:ind w:left="709" w:hanging="709"/>
        <w:rPr>
          <w:lang w:val="es-PE"/>
        </w:rPr>
      </w:pPr>
      <w:r>
        <w:rPr>
          <w:rFonts w:ascii="Times New Roman" w:eastAsia="Times New Roman" w:hAnsi="Times New Roman"/>
          <w:color w:val="000000"/>
          <w:sz w:val="24"/>
        </w:rPr>
        <w:t xml:space="preserve">Spielberger, C. D., Gorsuch, R. L., Lushene, R. E., Buela-Casal, G., Guillén-Riquelme, A., &amp; Seisdedos Cubero, N. (2023). </w:t>
      </w:r>
      <w:r w:rsidRPr="001624EA">
        <w:rPr>
          <w:rFonts w:ascii="Times New Roman" w:eastAsia="Times New Roman" w:hAnsi="Times New Roman"/>
          <w:color w:val="000000"/>
          <w:sz w:val="24"/>
          <w:lang w:val="es-PE"/>
        </w:rPr>
        <w:t>STAI: Cuestionario de Ansiedad Estado-Rasgo (10.ª ed.). Hogrefe TEA Ediciones.</w:t>
      </w:r>
    </w:p>
    <w:sectPr w:rsidR="00AB3B0D" w:rsidRPr="001624EA" w:rsidSect="00034616">
      <w:footerReference w:type="default" r:id="rId8"/>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0D9E7" w14:textId="77777777" w:rsidR="00BC2A33" w:rsidRDefault="00BC2A33">
      <w:pPr>
        <w:spacing w:line="240" w:lineRule="auto"/>
      </w:pPr>
      <w:r>
        <w:separator/>
      </w:r>
    </w:p>
  </w:endnote>
  <w:endnote w:type="continuationSeparator" w:id="0">
    <w:p w14:paraId="3EA9886D" w14:textId="77777777" w:rsidR="00BC2A33" w:rsidRDefault="00BC2A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00BFF" w14:textId="77777777" w:rsidR="00AB3B0D" w:rsidRDefault="00000000">
    <w:pPr>
      <w:pStyle w:val="Piedepgina"/>
      <w:jc w:val="center"/>
    </w:pPr>
    <w:r>
      <w:rPr>
        <w:rFonts w:eastAsia="Times New Roman"/>
        <w:color w:val="000000"/>
        <w:sz w:val="20"/>
      </w:rPr>
      <w:fldChar w:fldCharType="begin"/>
    </w:r>
    <w:r>
      <w:rPr>
        <w:rFonts w:eastAsia="Times New Roman"/>
        <w:color w:val="000000"/>
        <w:sz w:val="20"/>
      </w:rPr>
      <w:instrText xml:space="preserve"> PAGE </w:instrText>
    </w:r>
    <w:r>
      <w:rPr>
        <w:rFonts w:eastAsia="Times New Roman"/>
        <w:color w:val="000000"/>
        <w:sz w:val="20"/>
      </w:rPr>
      <w:fldChar w:fldCharType="separate"/>
    </w:r>
    <w:r>
      <w:rPr>
        <w:rFonts w:eastAsia="Times New Roman"/>
        <w:color w:val="000000"/>
        <w:sz w:val="20"/>
      </w:rPr>
      <w:t>1</w:t>
    </w:r>
    <w:r>
      <w:rPr>
        <w:rFonts w:eastAsia="Times New Roman"/>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A5E53" w14:textId="77777777" w:rsidR="00BC2A33" w:rsidRDefault="00BC2A33">
      <w:pPr>
        <w:spacing w:line="240" w:lineRule="auto"/>
      </w:pPr>
      <w:r>
        <w:separator/>
      </w:r>
    </w:p>
  </w:footnote>
  <w:footnote w:type="continuationSeparator" w:id="0">
    <w:p w14:paraId="39B50A6A" w14:textId="77777777" w:rsidR="00BC2A33" w:rsidRDefault="00BC2A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06792302">
    <w:abstractNumId w:val="8"/>
  </w:num>
  <w:num w:numId="2" w16cid:durableId="1725179733">
    <w:abstractNumId w:val="6"/>
  </w:num>
  <w:num w:numId="3" w16cid:durableId="1714496267">
    <w:abstractNumId w:val="5"/>
  </w:num>
  <w:num w:numId="4" w16cid:durableId="71583258">
    <w:abstractNumId w:val="4"/>
  </w:num>
  <w:num w:numId="5" w16cid:durableId="2138795211">
    <w:abstractNumId w:val="7"/>
  </w:num>
  <w:num w:numId="6" w16cid:durableId="2094933540">
    <w:abstractNumId w:val="3"/>
  </w:num>
  <w:num w:numId="7" w16cid:durableId="884827439">
    <w:abstractNumId w:val="2"/>
  </w:num>
  <w:num w:numId="8" w16cid:durableId="971058005">
    <w:abstractNumId w:val="1"/>
  </w:num>
  <w:num w:numId="9" w16cid:durableId="909460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4EA"/>
    <w:rsid w:val="0029639D"/>
    <w:rsid w:val="00326F90"/>
    <w:rsid w:val="00595C6A"/>
    <w:rsid w:val="00595F0C"/>
    <w:rsid w:val="00645A4D"/>
    <w:rsid w:val="00A3615E"/>
    <w:rsid w:val="00AA1D8D"/>
    <w:rsid w:val="00AB3B0D"/>
    <w:rsid w:val="00B47730"/>
    <w:rsid w:val="00BC2A33"/>
    <w:rsid w:val="00CB0664"/>
    <w:rsid w:val="00F871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E55E9"/>
  <w14:defaultImageDpi w14:val="300"/>
  <w15:docId w15:val="{F5818880-7160-4582-91B9-C5D40ECAF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after="120"/>
      <w:ind w:firstLine="0"/>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00" w:after="8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160" w:after="60"/>
      <w:ind w:firstLine="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1656</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Fundamentos psicométricos - versión narrativa</dc:title>
  <dc:subject>Fundamentos psicométricos del STAI redactados como texto narrativo continuo</dc:subject>
  <dc:creator/>
  <cp:keywords>STAI, ansiedad estado, ansiedad rasgo, psicometría, adolescentes</cp:keywords>
  <dc:description>generated by python-docx</dc:description>
  <cp:lastModifiedBy>Neil Romero</cp:lastModifiedBy>
  <cp:revision>3</cp:revision>
  <dcterms:created xsi:type="dcterms:W3CDTF">2026-08-26T21:48:00Z</dcterms:created>
  <dcterms:modified xsi:type="dcterms:W3CDTF">2026-08-26T22:11:00Z</dcterms:modified>
  <cp:category/>
</cp:coreProperties>
</file>