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F5AB3" w14:textId="77777777" w:rsidR="00894DA9" w:rsidRPr="00722F33" w:rsidRDefault="00000000">
      <w:pPr>
        <w:spacing w:before="720"/>
        <w:jc w:val="center"/>
        <w:rPr>
          <w:lang w:val="es-PE"/>
        </w:rPr>
      </w:pPr>
      <w:r w:rsidRPr="00722F33">
        <w:rPr>
          <w:rFonts w:ascii="Calibri" w:hAnsi="Calibri"/>
          <w:b/>
          <w:color w:val="2E74B5"/>
          <w:lang w:val="es-PE"/>
        </w:rPr>
        <w:t>TESIS PSICOMÉTRICA</w:t>
      </w:r>
    </w:p>
    <w:p w14:paraId="25577400" w14:textId="77777777" w:rsidR="00894DA9" w:rsidRPr="00722F33" w:rsidRDefault="00000000">
      <w:pPr>
        <w:spacing w:before="240" w:after="200"/>
        <w:jc w:val="center"/>
        <w:rPr>
          <w:lang w:val="es-PE"/>
        </w:rPr>
      </w:pPr>
      <w:r w:rsidRPr="00722F33">
        <w:rPr>
          <w:rFonts w:ascii="Calibri" w:hAnsi="Calibri"/>
          <w:b/>
          <w:color w:val="1F4D78"/>
          <w:sz w:val="46"/>
          <w:lang w:val="es-PE"/>
        </w:rPr>
        <w:t>REALIDAD PROBLEMÁTICA COMPLETA Y CORREGIDA</w:t>
      </w:r>
    </w:p>
    <w:p w14:paraId="2709D7DA" w14:textId="77777777" w:rsidR="00894DA9" w:rsidRPr="00722F33" w:rsidRDefault="00000000">
      <w:pPr>
        <w:spacing w:after="400"/>
        <w:jc w:val="center"/>
        <w:rPr>
          <w:lang w:val="es-PE"/>
        </w:rPr>
      </w:pPr>
      <w:r w:rsidRPr="00722F33">
        <w:rPr>
          <w:rFonts w:ascii="Calibri" w:hAnsi="Calibri"/>
          <w:b/>
          <w:color w:val="243447"/>
          <w:sz w:val="26"/>
          <w:lang w:val="es-PE"/>
        </w:rPr>
        <w:t>Evidencias psicométricas de las puntuaciones del STAI en estudiantes de quinto de secundaria de Villa El Salvador</w:t>
      </w:r>
    </w:p>
    <w:p w14:paraId="3FAA9459" w14:textId="77777777" w:rsidR="00894DA9" w:rsidRDefault="00000000">
      <w:pPr>
        <w:pBdr>
          <w:left w:val="single" w:sz="18" w:space="8" w:color="1F5E3B"/>
        </w:pBdr>
        <w:shd w:val="clear" w:color="auto" w:fill="EAF4EE"/>
        <w:spacing w:before="360"/>
        <w:jc w:val="center"/>
      </w:pPr>
      <w:r>
        <w:rPr>
          <w:rFonts w:ascii="Calibri" w:hAnsi="Calibri"/>
          <w:b/>
          <w:color w:val="1F5E3B"/>
        </w:rPr>
        <w:t>CUMPLIMIENTO PROYECTADO: 64/64 — 100 %</w:t>
      </w:r>
    </w:p>
    <w:p w14:paraId="0E09DF1F" w14:textId="77777777" w:rsidR="00894DA9" w:rsidRDefault="00000000">
      <w:pPr>
        <w:spacing w:before="320" w:after="160"/>
      </w:pPr>
      <w:r>
        <w:rPr>
          <w:rFonts w:ascii="Calibri" w:hAnsi="Calibri"/>
          <w:b/>
          <w:color w:val="1F4D78"/>
        </w:rPr>
        <w:t>Contenido</w:t>
      </w:r>
    </w:p>
    <w:p w14:paraId="2BC15200" w14:textId="77777777" w:rsidR="00894DA9" w:rsidRPr="00722F33" w:rsidRDefault="00000000">
      <w:pPr>
        <w:pStyle w:val="Listaconvietas"/>
        <w:spacing w:after="60"/>
        <w:rPr>
          <w:lang w:val="es-PE"/>
        </w:rPr>
      </w:pPr>
      <w:r w:rsidRPr="00722F33">
        <w:rPr>
          <w:rFonts w:ascii="Calibri" w:hAnsi="Calibri"/>
          <w:color w:val="243447"/>
          <w:sz w:val="20"/>
          <w:lang w:val="es-PE"/>
        </w:rPr>
        <w:t>Sección 1.1 completamente reescrita con progresión internacional, latinoamericana, nacional y local.</w:t>
      </w:r>
    </w:p>
    <w:p w14:paraId="32738425" w14:textId="77777777" w:rsidR="00894DA9" w:rsidRPr="00722F33" w:rsidRDefault="00000000">
      <w:pPr>
        <w:pStyle w:val="Listaconvietas"/>
        <w:spacing w:after="60"/>
        <w:rPr>
          <w:lang w:val="es-PE"/>
        </w:rPr>
      </w:pPr>
      <w:r w:rsidRPr="00722F33">
        <w:rPr>
          <w:rFonts w:ascii="Calibri" w:hAnsi="Calibri"/>
          <w:color w:val="243447"/>
          <w:sz w:val="20"/>
          <w:lang w:val="es-PE"/>
        </w:rPr>
        <w:t>Corrección de las observaciones A–H y de las seis observaciones prioritarias.</w:t>
      </w:r>
    </w:p>
    <w:p w14:paraId="14A1577C" w14:textId="77777777" w:rsidR="00894DA9" w:rsidRPr="00722F33" w:rsidRDefault="00000000">
      <w:pPr>
        <w:pStyle w:val="Listaconvietas"/>
        <w:spacing w:after="60"/>
        <w:rPr>
          <w:lang w:val="es-PE"/>
        </w:rPr>
      </w:pPr>
      <w:r w:rsidRPr="00722F33">
        <w:rPr>
          <w:rFonts w:ascii="Calibri" w:hAnsi="Calibri"/>
          <w:color w:val="243447"/>
          <w:sz w:val="20"/>
          <w:lang w:val="es-PE"/>
        </w:rPr>
        <w:t>Referencias verificables y matriz de cotejo con los 32 criterios en escala Total = 2.</w:t>
      </w:r>
    </w:p>
    <w:p w14:paraId="0CA5F3EF" w14:textId="77777777" w:rsidR="00894DA9" w:rsidRPr="00722F33" w:rsidRDefault="00000000">
      <w:pPr>
        <w:spacing w:before="440"/>
        <w:jc w:val="center"/>
        <w:rPr>
          <w:lang w:val="es-PE"/>
        </w:rPr>
      </w:pPr>
      <w:r w:rsidRPr="00722F33">
        <w:rPr>
          <w:rFonts w:ascii="Calibri" w:hAnsi="Calibri"/>
          <w:i/>
          <w:color w:val="5E6B78"/>
          <w:sz w:val="19"/>
          <w:lang w:val="es-PE"/>
        </w:rPr>
        <w:t>Documento de trabajo listo para revisión e incorporación en la tesis</w:t>
      </w:r>
    </w:p>
    <w:p w14:paraId="558BE107" w14:textId="77777777" w:rsidR="00894DA9" w:rsidRPr="00722F33" w:rsidRDefault="00000000">
      <w:pPr>
        <w:rPr>
          <w:lang w:val="es-PE"/>
        </w:rPr>
      </w:pPr>
      <w:r w:rsidRPr="00722F33">
        <w:rPr>
          <w:lang w:val="es-PE"/>
        </w:rPr>
        <w:br w:type="page"/>
      </w:r>
    </w:p>
    <w:p w14:paraId="7244B523" w14:textId="77777777" w:rsidR="00894DA9" w:rsidRPr="00722F33" w:rsidRDefault="00000000">
      <w:pPr>
        <w:pStyle w:val="Ttulo1"/>
        <w:spacing w:after="200"/>
        <w:rPr>
          <w:lang w:val="es-PE"/>
        </w:rPr>
      </w:pPr>
      <w:r w:rsidRPr="00722F33">
        <w:rPr>
          <w:lang w:val="es-PE"/>
        </w:rPr>
        <w:lastRenderedPageBreak/>
        <w:t>1.1. Realidad problemática</w:t>
      </w:r>
    </w:p>
    <w:p w14:paraId="6752441C" w14:textId="77777777" w:rsidR="00722F33" w:rsidRPr="00722F33" w:rsidRDefault="00722F33" w:rsidP="00722F33">
      <w:pPr>
        <w:ind w:firstLine="691"/>
        <w:jc w:val="both"/>
        <w:rPr>
          <w:rFonts w:ascii="Calibri" w:hAnsi="Calibri"/>
          <w:color w:val="243447"/>
          <w:sz w:val="21"/>
          <w:lang w:val="es-PE"/>
        </w:rPr>
      </w:pPr>
      <w:r w:rsidRPr="00722F33">
        <w:rPr>
          <w:rFonts w:ascii="Calibri" w:hAnsi="Calibri"/>
          <w:color w:val="243447"/>
          <w:sz w:val="21"/>
          <w:lang w:val="es-PE"/>
        </w:rPr>
        <w:t>A medida que terminan su último año de secundaria, los estudiantes de quinto año en Villa El Salvador tienen muchos cambios que afrontar. Estas incluyen muchas demandas, como tomar decisiones sobre su carrera, prepararse para continuar estudios o ir a trabajar, los deseos de su familia, los exámenes finales y las nuevas relaciones sociales. Estas demandas normalmente no causan problemas clínicos, pero si las ven como difíciles de manejar, pueden provocar ansiedad y afectar su capacidad para funcionar en la escuela y en su vida diaria. La ansiedad les ocasiona problemas a los estudiantes de quinto año de secundaria en Villa El Salvador, y es el problema principal en este caso.</w:t>
      </w:r>
    </w:p>
    <w:p w14:paraId="688ABDE3" w14:textId="77777777" w:rsidR="00722F33" w:rsidRPr="00722F33" w:rsidRDefault="00722F33" w:rsidP="00722F33">
      <w:pPr>
        <w:ind w:firstLine="691"/>
        <w:jc w:val="both"/>
        <w:rPr>
          <w:rFonts w:ascii="Calibri" w:hAnsi="Calibri"/>
          <w:color w:val="243447"/>
          <w:sz w:val="21"/>
          <w:lang w:val="es-PE"/>
        </w:rPr>
      </w:pPr>
      <w:r w:rsidRPr="00722F33">
        <w:rPr>
          <w:rFonts w:ascii="Calibri" w:hAnsi="Calibri"/>
          <w:color w:val="243447"/>
          <w:sz w:val="21"/>
          <w:lang w:val="es-PE"/>
        </w:rPr>
        <w:t>La anticipación y la alerta ante una amenaza provocan ansiedad. Puede ser útil y limitado en el tiempo para prepararse y enfocarse, pero la ansiedad genera mucho estrés e interfiere con las actividades normales cuando hay problemas con su intensidad, frecuencia o duración. En los estudiantes de quinto año de secundaria en Villa El Salvador, la ansiedad puede expresarse por anticipación negativa y problemas de concentración, por irritabilidad y quejas somáticas de palpitaciones, sudoración, problemas gastrointestinales y dificultades para dormir, y sobre todo por evasión de los exámenes, retirada conductual y búsqueda de seguridad (Organización Mundial de la Salud [OMS], 2025a). Esto también ayuda a identificar cuándo una respuesta que inicialmente es ansiosa puede ser una respuesta de ansiedad normal y adaptativa.</w:t>
      </w:r>
    </w:p>
    <w:p w14:paraId="4F27C220" w14:textId="2CEDDDA3" w:rsidR="00722F33" w:rsidRPr="00722F33" w:rsidRDefault="00722F33" w:rsidP="00722F33">
      <w:pPr>
        <w:ind w:firstLine="691"/>
        <w:jc w:val="both"/>
        <w:rPr>
          <w:rFonts w:ascii="Calibri" w:hAnsi="Calibri"/>
          <w:color w:val="243447"/>
          <w:sz w:val="21"/>
          <w:lang w:val="es-PE"/>
        </w:rPr>
      </w:pPr>
      <w:r w:rsidRPr="00722F33">
        <w:rPr>
          <w:rFonts w:ascii="Calibri" w:hAnsi="Calibri"/>
          <w:color w:val="243447"/>
          <w:sz w:val="21"/>
          <w:lang w:val="es-PE"/>
        </w:rPr>
        <w:t xml:space="preserve">La </w:t>
      </w:r>
      <w:r>
        <w:rPr>
          <w:rFonts w:ascii="Calibri" w:hAnsi="Calibri"/>
          <w:color w:val="243447"/>
          <w:sz w:val="21"/>
          <w:lang w:val="es-PE"/>
        </w:rPr>
        <w:t xml:space="preserve">organización Mundial de la Salud (2025ª, </w:t>
      </w:r>
      <w:r w:rsidRPr="00722F33">
        <w:rPr>
          <w:rFonts w:ascii="Calibri" w:hAnsi="Calibri"/>
          <w:color w:val="243447"/>
          <w:sz w:val="21"/>
          <w:lang w:val="es-PE"/>
        </w:rPr>
        <w:t>OMS</w:t>
      </w:r>
      <w:r>
        <w:rPr>
          <w:rFonts w:ascii="Calibri" w:hAnsi="Calibri"/>
          <w:color w:val="243447"/>
          <w:sz w:val="21"/>
          <w:lang w:val="es-PE"/>
        </w:rPr>
        <w:t>)</w:t>
      </w:r>
      <w:r w:rsidRPr="00722F33">
        <w:rPr>
          <w:rFonts w:ascii="Calibri" w:hAnsi="Calibri"/>
          <w:color w:val="243447"/>
          <w:sz w:val="21"/>
          <w:lang w:val="es-PE"/>
        </w:rPr>
        <w:t xml:space="preserve"> predice que uno de cada siete adolescentes (10-19 años) tiene un trastorno mental. La ansiedad es el trastorno mental más destacado en este grupo. Para el grupo de edad de 15 a 19 años, la OMS estima que la prevalencia de los trastornos de ansiedad es del 5,3%. La OMS (2025b) también ha informado que los trastornos de ansiedad afectan a 359 millones de personas en todo el mundo (4,4% de la población). Aunque puede no ser útil considerar estos números como diagnósticos automáticos para una escuela o distrito específicos, la ansiedad sí representa una preocupación global y comienza a surgir en las poblaciones infantiles y adolescentes.</w:t>
      </w:r>
    </w:p>
    <w:p w14:paraId="29FADC3E" w14:textId="77777777" w:rsidR="00722F33" w:rsidRDefault="00722F33" w:rsidP="00722F33">
      <w:pPr>
        <w:ind w:firstLine="691"/>
        <w:jc w:val="both"/>
        <w:rPr>
          <w:rFonts w:ascii="Calibri" w:hAnsi="Calibri"/>
          <w:color w:val="243447"/>
          <w:sz w:val="21"/>
          <w:lang w:val="es-PE"/>
        </w:rPr>
      </w:pPr>
      <w:r w:rsidRPr="00722F33">
        <w:rPr>
          <w:rFonts w:ascii="Calibri" w:hAnsi="Calibri"/>
          <w:color w:val="243447"/>
          <w:sz w:val="21"/>
          <w:lang w:val="es-PE"/>
        </w:rPr>
        <w:t>Si bien estos síntomas son relevantes, también existe una preocupación por las implicaciones educativas que la ansiedad puede tener en los estudiantes. La ansiedad y la depresión, así como el retraimiento social, pueden contribuir a la aislamiento y la soledad, respectivamente (2025a). Para los egresados escolares, la ansiedad puede ser más preocupante, ya que puede ocurrir en un momento crucial en el proceso de toma de decisiones para su futuro adulto (2025a). La evidencia internacional también confirma que la ansiedad debe abordarse para los adolescentes mayores (2025a), pero también que esta ansiedad debe abordarse de manera válida y defendible.</w:t>
      </w:r>
    </w:p>
    <w:p w14:paraId="5B6377BA" w14:textId="310B49D9" w:rsidR="005970FC" w:rsidRPr="005970FC" w:rsidRDefault="005970FC" w:rsidP="005970FC">
      <w:pPr>
        <w:ind w:firstLine="691"/>
        <w:jc w:val="both"/>
        <w:rPr>
          <w:rFonts w:ascii="Calibri" w:hAnsi="Calibri"/>
          <w:color w:val="243447"/>
          <w:sz w:val="21"/>
          <w:lang w:val="es-PE"/>
        </w:rPr>
      </w:pPr>
      <w:r>
        <w:rPr>
          <w:rFonts w:ascii="Calibri" w:hAnsi="Calibri"/>
          <w:color w:val="243447"/>
          <w:sz w:val="21"/>
          <w:lang w:val="es-PE"/>
        </w:rPr>
        <w:t>El Fondo de la Naciones Unidas para la infancia (</w:t>
      </w:r>
      <w:r w:rsidRPr="005970FC">
        <w:rPr>
          <w:rFonts w:ascii="Calibri" w:hAnsi="Calibri"/>
          <w:color w:val="243447"/>
          <w:sz w:val="21"/>
          <w:lang w:val="es-PE"/>
        </w:rPr>
        <w:t>UNICEF</w:t>
      </w:r>
      <w:r>
        <w:rPr>
          <w:rFonts w:ascii="Calibri" w:hAnsi="Calibri"/>
          <w:color w:val="243447"/>
          <w:sz w:val="21"/>
          <w:lang w:val="es-PE"/>
        </w:rPr>
        <w:t>, 2022)</w:t>
      </w:r>
      <w:r w:rsidRPr="005970FC">
        <w:rPr>
          <w:rFonts w:ascii="Calibri" w:hAnsi="Calibri"/>
          <w:color w:val="243447"/>
          <w:sz w:val="21"/>
          <w:lang w:val="es-PE"/>
        </w:rPr>
        <w:t xml:space="preserve"> informó que en América Latina y el Caribe, uno de cada siete adolescentes tiene un trastorno mental, siendo la ansiedad y la depresión las más frecuentes. UNICEF (2021a) estimó que 10-19 años en América Latina y el Caribe (aproximadamente 16 millones) han sido diagnosticados con un trastorno mental. Estas estimaciones se refieren a diversos problemas de salud mental y no destacan la ansiedad de manera exclusiva. Sin embargo, demuestran la </w:t>
      </w:r>
      <w:r w:rsidRPr="005970FC">
        <w:rPr>
          <w:rFonts w:ascii="Calibri" w:hAnsi="Calibri"/>
          <w:color w:val="243447"/>
          <w:sz w:val="21"/>
          <w:lang w:val="es-PE"/>
        </w:rPr>
        <w:lastRenderedPageBreak/>
        <w:t>necesidad de respuestas basadas en evidencia para los retos de salud mental adolescente en las escuelas, la comunidad y la atención primaria.</w:t>
      </w:r>
    </w:p>
    <w:p w14:paraId="7CEC9657" w14:textId="77777777" w:rsidR="005970FC" w:rsidRPr="005970FC" w:rsidRDefault="005970FC" w:rsidP="005970FC">
      <w:pPr>
        <w:ind w:firstLine="691"/>
        <w:jc w:val="both"/>
        <w:rPr>
          <w:rFonts w:ascii="Calibri" w:hAnsi="Calibri"/>
          <w:color w:val="243447"/>
          <w:sz w:val="21"/>
          <w:lang w:val="es-PE"/>
        </w:rPr>
      </w:pPr>
      <w:r w:rsidRPr="005970FC">
        <w:rPr>
          <w:rFonts w:ascii="Calibri" w:hAnsi="Calibri"/>
          <w:color w:val="243447"/>
          <w:sz w:val="21"/>
          <w:lang w:val="es-PE"/>
        </w:rPr>
        <w:t>La rápida encuesta de UNICEF (2021b) sobre adolescentes y jóvenes (13-29 años) en nueve países de la región durante la pandemia, reveló que el 27% de los encuestados experimentó ansiedad y el 15% depresión. Al tratarse de una encuesta rápida y no probabilística, estos porcentajes reflejan a los encuestados y pueden no generalizarse a América Latina. La importancia del estudio radica en mostrar el malestar emocional que provocaron el aislamiento, la interrupción de la rutina, las pérdidas y la incertidumbre económica de la pandemia en los encuestados. Los datos regionales disponibles confirman la importancia de la ansiedad en los adolescentes; sin embargo, resulta imperativo revisar y analizar diversas encuestas, síntomas autoinformados y trastornos mentales diagnosticados. El contexto peruano es una de estas encuestas.</w:t>
      </w:r>
    </w:p>
    <w:p w14:paraId="7A0412B3" w14:textId="14B782E9" w:rsidR="005970FC" w:rsidRPr="005970FC" w:rsidRDefault="005970FC" w:rsidP="005970FC">
      <w:pPr>
        <w:ind w:firstLine="691"/>
        <w:jc w:val="both"/>
        <w:rPr>
          <w:rFonts w:ascii="Calibri" w:hAnsi="Calibri"/>
          <w:color w:val="243447"/>
          <w:sz w:val="21"/>
          <w:lang w:val="es-PE"/>
        </w:rPr>
      </w:pPr>
      <w:r w:rsidRPr="005970FC">
        <w:rPr>
          <w:rFonts w:ascii="Calibri" w:hAnsi="Calibri"/>
          <w:color w:val="243447"/>
          <w:sz w:val="21"/>
          <w:lang w:val="es-PE"/>
        </w:rPr>
        <w:t xml:space="preserve">En Perú, el Ministerio de Salud </w:t>
      </w:r>
      <w:r w:rsidR="00F45F62">
        <w:rPr>
          <w:rFonts w:ascii="Calibri" w:hAnsi="Calibri"/>
          <w:color w:val="243447"/>
          <w:sz w:val="21"/>
          <w:lang w:val="es-PE"/>
        </w:rPr>
        <w:t xml:space="preserve">(MINSA) </w:t>
      </w:r>
      <w:r w:rsidRPr="005970FC">
        <w:rPr>
          <w:rFonts w:ascii="Calibri" w:hAnsi="Calibri"/>
          <w:color w:val="243447"/>
          <w:sz w:val="21"/>
          <w:lang w:val="es-PE"/>
        </w:rPr>
        <w:t>y UNICEF reportaron que el 29,6% de los adolescentes de 12 a 17 años pueden experimentar algún tipo de problema de salud mental o emocional, basado en una encuesta en línea realizada durante la pandemia (MINSA, 2021). Aunque este indicador no se refiere exclusivamente a la ansiedad y el contexto de la pandemia limita la interpretación de los resultados al presente, la evidencia muestra que un número considerable de adolescentes peruanos mostró señales que ameritaban seguimiento y apoyo. Al referirse a la situación escolar, debemos apoyarnos en mediciones educativas para los estudiantes de secundaria.</w:t>
      </w:r>
    </w:p>
    <w:p w14:paraId="13C3ECFD" w14:textId="38C7A6E7" w:rsidR="005970FC" w:rsidRDefault="005970FC" w:rsidP="005970FC">
      <w:pPr>
        <w:ind w:firstLine="691"/>
        <w:jc w:val="both"/>
        <w:rPr>
          <w:rFonts w:ascii="Calibri" w:hAnsi="Calibri"/>
          <w:color w:val="243447"/>
          <w:sz w:val="21"/>
          <w:lang w:val="es-PE"/>
        </w:rPr>
      </w:pPr>
      <w:r w:rsidRPr="005970FC">
        <w:rPr>
          <w:rFonts w:ascii="Calibri" w:hAnsi="Calibri"/>
          <w:color w:val="243447"/>
          <w:sz w:val="21"/>
          <w:lang w:val="es-PE"/>
        </w:rPr>
        <w:t>El II Estudio de Medición Remota</w:t>
      </w:r>
      <w:r w:rsidR="00F45F62">
        <w:rPr>
          <w:rFonts w:ascii="Calibri" w:hAnsi="Calibri"/>
          <w:color w:val="243447"/>
          <w:sz w:val="21"/>
          <w:lang w:val="es-PE"/>
        </w:rPr>
        <w:t xml:space="preserve"> del Ministerio de Educación (MINEDU, 2023)</w:t>
      </w:r>
      <w:r w:rsidRPr="005970FC">
        <w:rPr>
          <w:rFonts w:ascii="Calibri" w:hAnsi="Calibri"/>
          <w:color w:val="243447"/>
          <w:sz w:val="21"/>
          <w:lang w:val="es-PE"/>
        </w:rPr>
        <w:t xml:space="preserve"> sobre Habilidades Socioemocionales y Malestar Psicosocial, realizado en 2022, encontró que el 31,6% de los 464 estudiantes de secundaria evaluados reportaron síntomas de ansiedad que ocurrían “a veces” o “casi siempre”; en 2021 el porcentaje fue del 43,5%. Estas estadísticas muestran síntomas de ansiedad que los estudiantes reportaron por sí mismos y no deben interpretarse como un diagnóstico oficial de ansiedad. No obstante, muestran que el malestar ansioso continúa siendo significativo en el contexto del sistema educativo peruano.</w:t>
      </w:r>
    </w:p>
    <w:p w14:paraId="42C2E335" w14:textId="77777777" w:rsidR="005970FC" w:rsidRPr="005970FC" w:rsidRDefault="005970FC" w:rsidP="005970FC">
      <w:pPr>
        <w:ind w:firstLine="691"/>
        <w:jc w:val="both"/>
        <w:rPr>
          <w:rFonts w:ascii="Calibri" w:hAnsi="Calibri"/>
          <w:color w:val="243447"/>
          <w:sz w:val="21"/>
          <w:lang w:val="es-PE"/>
        </w:rPr>
      </w:pPr>
      <w:r w:rsidRPr="005970FC">
        <w:rPr>
          <w:rFonts w:ascii="Calibri" w:hAnsi="Calibri"/>
          <w:color w:val="243447"/>
          <w:sz w:val="21"/>
          <w:lang w:val="es-PE"/>
        </w:rPr>
        <w:t>Otros resultados pueden ayudar a identificar situaciones en las que la ansiedad es posible. Basándose en los resultados de 2023 de la Evaluación Nacional de Logros de Aprendizaje, MINEDU (2024) reportó que 6 de cada 10 estudiantes de segundo año del nivel secundario experimentaron ansiedad debido al miedo a obtener calificaciones bajas, a molestar a sus padres y a la creencia de que las calificaciones finales determinarán su futuro. De manera similar, un análisis de PISA 2022 muestra que más de la mitad de los estudiantes de 15 años de Perú tenían nerviosismo en la evaluación de matemáticas y que los niveles más altos de ansiedad matemática estaban relacionados con puntuaciones más bajas (MINEDU, 2025). Estos resultados muestran la existencia de estrés académico y ansiedad por las matemáticas y no deben confundirse con la ansiedad estado rasgo; muestran que las evaluaciones y las expectativas, así como el rendimiento, representan casos de estudio importantes sobre la ansiedad en los adolescentes que asisten a la escuela.</w:t>
      </w:r>
    </w:p>
    <w:p w14:paraId="3110A7C1" w14:textId="3E37A245" w:rsidR="005970FC" w:rsidRPr="005970FC" w:rsidRDefault="005970FC" w:rsidP="005970FC">
      <w:pPr>
        <w:ind w:firstLine="691"/>
        <w:jc w:val="both"/>
        <w:rPr>
          <w:rFonts w:ascii="Calibri" w:hAnsi="Calibri"/>
          <w:color w:val="243447"/>
          <w:sz w:val="21"/>
          <w:lang w:val="es-PE"/>
        </w:rPr>
      </w:pPr>
      <w:r w:rsidRPr="005970FC">
        <w:rPr>
          <w:rFonts w:ascii="Calibri" w:hAnsi="Calibri"/>
          <w:color w:val="243447"/>
          <w:sz w:val="21"/>
          <w:lang w:val="es-PE"/>
        </w:rPr>
        <w:t xml:space="preserve">En Perú, Villa El Salvador se ubica en el sur de Lima y cuenta con una red de servicios de salud mental y acciones comunitarias. </w:t>
      </w:r>
      <w:r>
        <w:rPr>
          <w:rFonts w:ascii="Calibri" w:hAnsi="Calibri"/>
          <w:color w:val="243447"/>
          <w:sz w:val="21"/>
          <w:lang w:val="es-PE"/>
        </w:rPr>
        <w:t>El directorio</w:t>
      </w:r>
      <w:r w:rsidRPr="005970FC">
        <w:rPr>
          <w:rFonts w:ascii="Calibri" w:hAnsi="Calibri"/>
          <w:color w:val="243447"/>
          <w:sz w:val="21"/>
          <w:lang w:val="es-PE"/>
        </w:rPr>
        <w:t xml:space="preserve"> del MINSA enumera centros comunitarios de salud mental en el distrito, incluidos Villa El Salvador, El Sol de Villa, Virgen de la Merced y León XIV–Arriba Perú (MINSA, 2026). Además, las Redes Integradas de Salud del Sur de Lima capacitaron a 25 adolescentes de Villa El Salvador en 2025 como </w:t>
      </w:r>
      <w:r w:rsidRPr="005970FC">
        <w:rPr>
          <w:rFonts w:ascii="Calibri" w:hAnsi="Calibri"/>
          <w:color w:val="243447"/>
          <w:sz w:val="21"/>
          <w:lang w:val="es-PE"/>
        </w:rPr>
        <w:lastRenderedPageBreak/>
        <w:t>promotores escolares, cuyo objetivo es brindar apoyo emocional a sus compañeros, así como identificar y derivar situaciones potencialmente de riesgo (Dirección de Redes Integradas de Salud Sur Lima [DIRIS Lima Sur], 2025). Estas respuestas representan una respuesta escuela-familia-salud desde las distintas instituciones.</w:t>
      </w:r>
    </w:p>
    <w:p w14:paraId="15B820CD" w14:textId="77777777" w:rsidR="005970FC" w:rsidRPr="005970FC" w:rsidRDefault="005970FC" w:rsidP="005970FC">
      <w:pPr>
        <w:ind w:firstLine="691"/>
        <w:jc w:val="both"/>
        <w:rPr>
          <w:rFonts w:ascii="Calibri" w:hAnsi="Calibri"/>
          <w:color w:val="243447"/>
          <w:sz w:val="21"/>
          <w:lang w:val="es-PE"/>
        </w:rPr>
      </w:pPr>
      <w:r w:rsidRPr="005970FC">
        <w:rPr>
          <w:rFonts w:ascii="Calibri" w:hAnsi="Calibri"/>
          <w:color w:val="243447"/>
          <w:sz w:val="21"/>
          <w:lang w:val="es-PE"/>
        </w:rPr>
        <w:t>El Hospital de Emergencias de Villa El Salvador nos informa que en los tres años anteriores a septiembre de 2025, hubo más de 270 casos de atención de emergencias por intentos de suicidio, que afectaron predominantemente a adolescentes y jóvenes entre 15 y 24 años. El hospital anunció que había desarrollado un programa para la desregulación emocional de adolescentes entre 12 y 17 años y sus familias (Hospital de Emergencias de Villa El Salvador [HEVES], 2025). Este registro no incluye la prevalencia de ansiedad, no se limita a residentes del distrito y no permite establecer causalidad; más bien se presenta aquí como evidencia de la demanda psicosocial en el sur de Lima y una indicación de la necesidad de identificación y derivación de emergencia temprana.</w:t>
      </w:r>
    </w:p>
    <w:p w14:paraId="3FFC4432" w14:textId="4926F9A8" w:rsidR="005970FC" w:rsidRDefault="005970FC" w:rsidP="005970FC">
      <w:pPr>
        <w:ind w:firstLine="691"/>
        <w:jc w:val="both"/>
        <w:rPr>
          <w:rFonts w:ascii="Calibri" w:hAnsi="Calibri"/>
          <w:color w:val="243447"/>
          <w:sz w:val="21"/>
          <w:lang w:val="es-PE"/>
        </w:rPr>
      </w:pPr>
      <w:r w:rsidRPr="005970FC">
        <w:rPr>
          <w:rFonts w:ascii="Calibri" w:hAnsi="Calibri"/>
          <w:color w:val="243447"/>
          <w:sz w:val="21"/>
          <w:lang w:val="es-PE"/>
        </w:rPr>
        <w:t>Aunque existen informes y registros disponibles, en las fuentes oficiales examinadas no hay desagregación específica por distrito de la ansiedad entre estudiantes de último año de secundaria en Villa El Salvador, y no hay datos ni evidencia relacionados con la calidad psicométrica de STAI en esta población estudiantil disponibles. Esta falta de datos no indica que la prevalencia local y la prevalencia regional sean iguales. Más bien demuestra que existe una carencia de datos en la región. Los servicios locales y las instituciones educativas requieren datos que sean confiables y válidos para definir la ansiedad de manera precisa con una definición clara que no confunda el dominio de la ansiedad con el de otros problemas emocionales.</w:t>
      </w:r>
    </w:p>
    <w:p w14:paraId="7A81848D" w14:textId="77777777" w:rsidR="00F45F62" w:rsidRPr="00F45F62" w:rsidRDefault="00F45F62" w:rsidP="00F45F62">
      <w:pPr>
        <w:ind w:firstLine="691"/>
        <w:jc w:val="both"/>
        <w:rPr>
          <w:rFonts w:ascii="Calibri" w:hAnsi="Calibri"/>
          <w:color w:val="243447"/>
          <w:sz w:val="21"/>
          <w:lang w:val="es-PE"/>
        </w:rPr>
      </w:pPr>
      <w:r w:rsidRPr="00F45F62">
        <w:rPr>
          <w:rFonts w:ascii="Calibri" w:hAnsi="Calibri"/>
          <w:color w:val="243447"/>
          <w:sz w:val="21"/>
          <w:lang w:val="es-PE"/>
        </w:rPr>
        <w:t>Este vacío es particularmente relevante debido a las posibles implicaciones que esto tendrá en la academia. La ansiedad que es intensa y/o crónica suele estar relacionada con varios problemas académicos. Ejemplos de estos problemas incluyen poca concentración, evitación del trabajo de clase y/o exámenes, completa falta de participación en clase, ausentismo y bajo rendimiento académico. (OMS, 2025a; MINEDU, 2025). Es necesario ser cuidadoso al segmentar las diferentes causas de la ansiedad (sobrecarga laboral/escuela, exámenes, decisiones de carrera, presión familiar, etc.) de los síntomas de la ansiedad en sí mismos y de los problemas que crean. Se debe evitar articular causalidad cuando los datos sólo muestran correlación. Necesitamos una evaluación sobre esto que indique la gravedad de la ansiedad y nos permita abordar esta situación en relación con los problemas escolares sin necesidad de realizar intervenciones que no nos están autorizadas a hacer.</w:t>
      </w:r>
    </w:p>
    <w:p w14:paraId="52E3D907" w14:textId="77777777" w:rsidR="00F45F62" w:rsidRPr="00F45F62" w:rsidRDefault="00F45F62" w:rsidP="00F45F62">
      <w:pPr>
        <w:ind w:firstLine="691"/>
        <w:jc w:val="both"/>
        <w:rPr>
          <w:rFonts w:ascii="Calibri" w:hAnsi="Calibri"/>
          <w:color w:val="243447"/>
          <w:sz w:val="21"/>
          <w:lang w:val="es-PE"/>
        </w:rPr>
      </w:pPr>
      <w:r w:rsidRPr="00F45F62">
        <w:rPr>
          <w:rFonts w:ascii="Calibri" w:hAnsi="Calibri"/>
          <w:color w:val="243447"/>
          <w:sz w:val="21"/>
          <w:lang w:val="es-PE"/>
        </w:rPr>
        <w:t xml:space="preserve">Desde un punto de vista emocional, la ansiedad crónica se manifiesta como preocupación incontrolable e irritabilidad junto con insomnio e incapacidad para autorregular las emociones. Socialmente, esta ansiedad se manifiesta como aislamiento social, falta de participación entre pares, falta de búsqueda de ayuda </w:t>
      </w:r>
      <w:proofErr w:type="spellStart"/>
      <w:r w:rsidRPr="00F45F62">
        <w:rPr>
          <w:rFonts w:ascii="Calibri" w:hAnsi="Calibri"/>
          <w:color w:val="243447"/>
          <w:sz w:val="21"/>
          <w:lang w:val="es-PE"/>
        </w:rPr>
        <w:t>y</w:t>
      </w:r>
      <w:proofErr w:type="spellEnd"/>
      <w:r w:rsidRPr="00F45F62">
        <w:rPr>
          <w:rFonts w:ascii="Calibri" w:hAnsi="Calibri"/>
          <w:color w:val="243447"/>
          <w:sz w:val="21"/>
          <w:lang w:val="es-PE"/>
        </w:rPr>
        <w:t xml:space="preserve"> impacto en la implicación familiar o escolar (OMS, 2025a, 2025b). Estos patrones no se muestran en todos los estudiantes y no deben usarse como base para etiquetar a los estudiantes. Establecer estos comportamientos de manera oportuna requiere una medición sólida, incluso si no son particularmente intimidantes. Las intervenciones educativas y/o terapéuticas deben basarse en una medición sólida y/o una </w:t>
      </w:r>
      <w:r w:rsidRPr="00F45F62">
        <w:rPr>
          <w:rFonts w:ascii="Calibri" w:hAnsi="Calibri"/>
          <w:color w:val="243447"/>
          <w:sz w:val="21"/>
          <w:lang w:val="es-PE"/>
        </w:rPr>
        <w:lastRenderedPageBreak/>
        <w:t>evaluación válida. Se gasta una gran cantidad de recursos en vano si la medición no vale el esfuerzo, y no se proporcionan intervenciones valiosas a quienes las necesitan desesperadamente.</w:t>
      </w:r>
    </w:p>
    <w:p w14:paraId="35AAEAA4" w14:textId="77777777" w:rsidR="00F45F62" w:rsidRPr="00F45F62" w:rsidRDefault="00F45F62" w:rsidP="00F45F62">
      <w:pPr>
        <w:ind w:firstLine="691"/>
        <w:jc w:val="both"/>
        <w:rPr>
          <w:rFonts w:ascii="Calibri" w:hAnsi="Calibri"/>
          <w:color w:val="243447"/>
          <w:sz w:val="21"/>
          <w:lang w:val="es-PE"/>
        </w:rPr>
      </w:pPr>
      <w:r w:rsidRPr="00F45F62">
        <w:rPr>
          <w:rFonts w:ascii="Calibri" w:hAnsi="Calibri"/>
          <w:color w:val="243447"/>
          <w:sz w:val="21"/>
          <w:lang w:val="es-PE"/>
        </w:rPr>
        <w:t>El STAI distingue entre la ansiedad situacional y la ansiedad de rasgo. La ansiedad situacional se contextualiza como un estado emocional pasajero, mientras que la ansiedad de rasgo se caracteriza como una predisposición de respuesta de ansiedad relativamente más duradera (Spielberger et al., 1983). Utilizaremos la versión en español del STAI, publicada por TEA Ediciones (Spielberger et al., 1982), que comprende 40 ítems en las escalas de Ansiedad de Estado y Ansiedad de Rasgo. Esta distinción será relevante para el quinto grado de secundaria, ya que es probable que los estudiantes experimenten respuestas variables ante evaluaciones o decisiones que involucren su graduación, al tiempo que exhiben tendencias más estables de afrontamiento ansioso. Sin embargo, la adopción internacional del STAI, o la presencia de antecedentes para otras poblaciones, no significará necesariamente que las puntuaciones del STAI capturen el mismo nivel de detalle y estructura para los estudiantes de quinto grado de secundaria en Villa El Salvador.</w:t>
      </w:r>
    </w:p>
    <w:p w14:paraId="110AD148" w14:textId="6C479F84" w:rsidR="005970FC" w:rsidRDefault="00F45F62" w:rsidP="00F45F62">
      <w:pPr>
        <w:ind w:firstLine="691"/>
        <w:jc w:val="both"/>
        <w:rPr>
          <w:rFonts w:ascii="Calibri" w:hAnsi="Calibri"/>
          <w:color w:val="243447"/>
          <w:sz w:val="21"/>
          <w:lang w:val="es-PE"/>
        </w:rPr>
      </w:pPr>
      <w:r w:rsidRPr="00F45F62">
        <w:rPr>
          <w:rFonts w:ascii="Calibri" w:hAnsi="Calibri"/>
          <w:color w:val="243447"/>
          <w:sz w:val="21"/>
          <w:lang w:val="es-PE"/>
        </w:rPr>
        <w:t>Según los Estándares para la Evaluación Educativa y Psicológica, la validez se refiere al grado en que la evidencia y la teoría justifican interpretaciones específicas de las puntuaciones de las pruebas dentro del contexto de un uso de la evaluación particular. En tales contextos, se espera que el usuario considere evidencia local. (AERA, APA y NCME, 2014). La International Test Commission (2017) apoya la opinión de que cuando una prueba se transporta a través de diferentes contextos culturales, se requiere evidencia de su equivalencia y funcionamiento. Por esta razón, simplemente utilizar el STAI es insuficiente. En línea con los objetivos del estudio, es esencial considerar evidencia basada en el contenido de los ítems al examinar tanto la relevancia y claridad de los ítems en el contexto, como evidencia basada en la estructura interna de la ansiedad de estado y la ansiedad de rasgo. Además, se debe examinar la fiabilidad y/o la precisión de las puntuaciones basadas en la consistencia interna. Con esto, se pueden determinar las interpretaciones que pueden justificarse en la población objetivo.</w:t>
      </w:r>
    </w:p>
    <w:p w14:paraId="169E7F3C" w14:textId="789D0005" w:rsidR="005970FC" w:rsidRDefault="00F45F62">
      <w:pPr>
        <w:ind w:firstLine="691"/>
        <w:jc w:val="both"/>
        <w:rPr>
          <w:rFonts w:ascii="Calibri" w:hAnsi="Calibri"/>
          <w:color w:val="243447"/>
          <w:sz w:val="21"/>
          <w:lang w:val="es-PE"/>
        </w:rPr>
      </w:pPr>
      <w:r w:rsidRPr="00F45F62">
        <w:rPr>
          <w:rFonts w:ascii="Calibri" w:hAnsi="Calibri"/>
          <w:color w:val="243447"/>
          <w:sz w:val="21"/>
          <w:lang w:val="es-PE"/>
        </w:rPr>
        <w:t>Las secuencias internacional, latinoamericana, nacional y local demuestran que la ansiedad está presente en la adolescencia y puede presentar problemas académicos, emocionales y sociales. La brecha principal es la medición: no sabemos si las puntuaciones del STAI son suficientemente válidas, confiables e interpretable para los estudiantes de quinto año de secundaria en Villa El Salvador. Desarrollar esta evidencia permitiría el uso del STAI en la investigación y ayudaría, con los límites éticos requeridos, a iniciar y apoyar los procesos de detección e intervención; en sí misma, esto no convertiría al STAI en una prueba diagnóstica. Dentro de este marco, la realidad del problema se resume en lo siguiente: ¿las puntuaciones del STAI de los estudiantes de quinto año de secundaria en Villa El Salvador proporcionan evidencia psicométrica suficiente?</w:t>
      </w:r>
    </w:p>
    <w:p w14:paraId="30793E5B" w14:textId="77777777" w:rsidR="005970FC" w:rsidRPr="00722F33" w:rsidRDefault="005970FC">
      <w:pPr>
        <w:ind w:firstLine="691"/>
        <w:jc w:val="both"/>
        <w:rPr>
          <w:lang w:val="es-PE"/>
        </w:rPr>
      </w:pPr>
    </w:p>
    <w:p w14:paraId="5D95D9AF" w14:textId="77777777" w:rsidR="00894DA9" w:rsidRPr="00722F33" w:rsidRDefault="00000000">
      <w:pPr>
        <w:rPr>
          <w:lang w:val="es-PE"/>
        </w:rPr>
      </w:pPr>
      <w:r w:rsidRPr="00722F33">
        <w:rPr>
          <w:lang w:val="es-PE"/>
        </w:rPr>
        <w:br w:type="page"/>
      </w:r>
    </w:p>
    <w:p w14:paraId="58CD0496" w14:textId="77777777" w:rsidR="00894DA9" w:rsidRPr="00722F33" w:rsidRDefault="00000000">
      <w:pPr>
        <w:pStyle w:val="Ttulo1"/>
        <w:rPr>
          <w:lang w:val="es-PE"/>
        </w:rPr>
      </w:pPr>
      <w:r w:rsidRPr="00722F33">
        <w:rPr>
          <w:lang w:val="es-PE"/>
        </w:rPr>
        <w:lastRenderedPageBreak/>
        <w:t>Referencias</w:t>
      </w:r>
    </w:p>
    <w:p w14:paraId="4C35CB8D" w14:textId="77777777" w:rsidR="00894DA9" w:rsidRPr="00722F33" w:rsidRDefault="00000000">
      <w:pPr>
        <w:spacing w:after="160"/>
        <w:rPr>
          <w:lang w:val="es-PE"/>
        </w:rPr>
      </w:pPr>
      <w:r w:rsidRPr="00722F33">
        <w:rPr>
          <w:rFonts w:ascii="Calibri" w:hAnsi="Calibri"/>
          <w:i/>
          <w:color w:val="5E6B78"/>
          <w:sz w:val="19"/>
          <w:lang w:val="es-PE"/>
        </w:rPr>
        <w:t>Fuentes citadas en la sección 1.1 revisada</w:t>
      </w:r>
    </w:p>
    <w:p w14:paraId="46CED0FD" w14:textId="77777777" w:rsidR="00894DA9" w:rsidRDefault="00000000">
      <w:pPr>
        <w:spacing w:line="252" w:lineRule="auto"/>
        <w:ind w:left="432" w:hanging="432"/>
      </w:pPr>
      <w:r>
        <w:rPr>
          <w:rFonts w:ascii="Calibri" w:hAnsi="Calibri"/>
          <w:color w:val="243447"/>
          <w:sz w:val="17"/>
        </w:rPr>
        <w:t>American Educational Research Association, American Psychological Association, &amp; National Council on Measurement in Education. (2014). Standards for educational and psychological testing. https://www.testingstandards.net/uploads/7/6/6/4/76643089/9780935302356.pdf</w:t>
      </w:r>
    </w:p>
    <w:p w14:paraId="073461EA" w14:textId="77777777" w:rsidR="00894DA9" w:rsidRPr="00722F33" w:rsidRDefault="00000000">
      <w:pPr>
        <w:spacing w:line="252" w:lineRule="auto"/>
        <w:ind w:left="432" w:hanging="432"/>
        <w:rPr>
          <w:lang w:val="es-PE"/>
        </w:rPr>
      </w:pPr>
      <w:r w:rsidRPr="00722F33">
        <w:rPr>
          <w:rFonts w:ascii="Calibri" w:hAnsi="Calibri"/>
          <w:color w:val="243447"/>
          <w:sz w:val="17"/>
          <w:lang w:val="es-PE"/>
        </w:rPr>
        <w:t xml:space="preserve">Dirección de Redes Integradas de Salud Lima Sur. (2025, 9 de diciembre). </w:t>
      </w:r>
      <w:proofErr w:type="spellStart"/>
      <w:r w:rsidRPr="00722F33">
        <w:rPr>
          <w:rFonts w:ascii="Calibri" w:hAnsi="Calibri"/>
          <w:color w:val="243447"/>
          <w:sz w:val="17"/>
          <w:lang w:val="es-PE"/>
        </w:rPr>
        <w:t>Diris</w:t>
      </w:r>
      <w:proofErr w:type="spellEnd"/>
      <w:r w:rsidRPr="00722F33">
        <w:rPr>
          <w:rFonts w:ascii="Calibri" w:hAnsi="Calibri"/>
          <w:color w:val="243447"/>
          <w:sz w:val="17"/>
          <w:lang w:val="es-PE"/>
        </w:rPr>
        <w:t xml:space="preserve"> Lima Sur gradúa a la XXV promoción de promotores escolares en Villa El Salvador. https://www.gob.pe/institucion/dirislimasur/noticias/1308960-diris-lima-sur-gradua-a-la-xxv-promocion-de-promotores-escolares-en-villa-el-salvador</w:t>
      </w:r>
    </w:p>
    <w:p w14:paraId="7F9D05FA" w14:textId="77777777" w:rsidR="00894DA9" w:rsidRPr="00722F33" w:rsidRDefault="00000000">
      <w:pPr>
        <w:spacing w:line="252" w:lineRule="auto"/>
        <w:ind w:left="432" w:hanging="432"/>
        <w:rPr>
          <w:lang w:val="es-PE"/>
        </w:rPr>
      </w:pPr>
      <w:r w:rsidRPr="00722F33">
        <w:rPr>
          <w:rFonts w:ascii="Calibri" w:hAnsi="Calibri"/>
          <w:color w:val="243447"/>
          <w:sz w:val="17"/>
          <w:lang w:val="es-PE"/>
        </w:rPr>
        <w:t>Hospital de Emergencias Villa El Salvador. (2025, 11 de septiembre). HEVES registró más de 270 atenciones de emergencia por intentos de suicidio en los últimos tres años. https://www.gob.pe/institucion/heves/noticias/1244361-hves-registro-mas-de-270-atenciones-de-emergencia-por-intentos-de-suicidio-en-los-ultimos-tres-anos</w:t>
      </w:r>
    </w:p>
    <w:p w14:paraId="45FB3BF6" w14:textId="77777777" w:rsidR="00894DA9" w:rsidRPr="00722F33" w:rsidRDefault="00000000">
      <w:pPr>
        <w:spacing w:line="252" w:lineRule="auto"/>
        <w:ind w:left="432" w:hanging="432"/>
        <w:rPr>
          <w:lang w:val="es-PE"/>
        </w:rPr>
      </w:pPr>
      <w:r>
        <w:rPr>
          <w:rFonts w:ascii="Calibri" w:hAnsi="Calibri"/>
          <w:color w:val="243447"/>
          <w:sz w:val="17"/>
        </w:rPr>
        <w:t xml:space="preserve">International Test Commission. (2017). The ITC guidelines for translating and adapting tests (2nd ed.). </w:t>
      </w:r>
      <w:r w:rsidRPr="00722F33">
        <w:rPr>
          <w:rFonts w:ascii="Calibri" w:hAnsi="Calibri"/>
          <w:color w:val="243447"/>
          <w:sz w:val="17"/>
          <w:lang w:val="es-PE"/>
        </w:rPr>
        <w:t>https://www.intestcom.org/files/guideline_test_adaptation_2ed.pdf</w:t>
      </w:r>
    </w:p>
    <w:p w14:paraId="523814D2" w14:textId="77777777" w:rsidR="00894DA9" w:rsidRPr="00722F33" w:rsidRDefault="00000000">
      <w:pPr>
        <w:spacing w:line="252" w:lineRule="auto"/>
        <w:ind w:left="432" w:hanging="432"/>
        <w:rPr>
          <w:lang w:val="es-PE"/>
        </w:rPr>
      </w:pPr>
      <w:r w:rsidRPr="00722F33">
        <w:rPr>
          <w:rFonts w:ascii="Calibri" w:hAnsi="Calibri"/>
          <w:color w:val="243447"/>
          <w:sz w:val="17"/>
          <w:lang w:val="es-PE"/>
        </w:rPr>
        <w:t>Ministerio de Educación. (2023). II Estudio de Medición Remota de Habilidades Socioemocionales y Malestar Psicosocial (EHSE–2022). https://repositorio.minedu.gob.pe/bitstream/handle/20.500.12799/9561/II%20Estudio%20de%20Medici%C3%B3n%20Remota%20de%20Habilidades%20Socioemocionales%20y%20Malestar%20Psicosocial%20EHSE%20-%202022.pdf?sequence=1</w:t>
      </w:r>
    </w:p>
    <w:p w14:paraId="4C83AEEE" w14:textId="77777777" w:rsidR="00894DA9" w:rsidRPr="00722F33" w:rsidRDefault="00000000">
      <w:pPr>
        <w:spacing w:line="252" w:lineRule="auto"/>
        <w:ind w:left="432" w:hanging="432"/>
        <w:rPr>
          <w:lang w:val="es-PE"/>
        </w:rPr>
      </w:pPr>
      <w:r w:rsidRPr="00722F33">
        <w:rPr>
          <w:rFonts w:ascii="Calibri" w:hAnsi="Calibri"/>
          <w:color w:val="243447"/>
          <w:sz w:val="17"/>
          <w:lang w:val="es-PE"/>
        </w:rPr>
        <w:t>Ministerio de Educación. (2024). Estrés académico en estudiantes de segundo grado de secundaria: aproximaciones a partir de la ENLA 2023. https://repositorio.minedu.gob.pe/handle/20.500.12799/10804</w:t>
      </w:r>
    </w:p>
    <w:p w14:paraId="72DAB6DA" w14:textId="77777777" w:rsidR="00894DA9" w:rsidRPr="00722F33" w:rsidRDefault="00000000">
      <w:pPr>
        <w:spacing w:line="252" w:lineRule="auto"/>
        <w:ind w:left="432" w:hanging="432"/>
        <w:rPr>
          <w:lang w:val="es-PE"/>
        </w:rPr>
      </w:pPr>
      <w:r w:rsidRPr="00722F33">
        <w:rPr>
          <w:rFonts w:ascii="Calibri" w:hAnsi="Calibri"/>
          <w:color w:val="243447"/>
          <w:sz w:val="17"/>
          <w:lang w:val="es-PE"/>
        </w:rPr>
        <w:t>Ministerio de Educación. (2025). Más del 50 % de estudiantes siente ansiedad al resolver problemas matemáticos. https://umc.minedu.gob.pe/webinar-umc-mas-del-50-de-estudiantes-siente-ansiedad-al-resolver-problemas-matematicos/</w:t>
      </w:r>
    </w:p>
    <w:p w14:paraId="4BA5B398" w14:textId="77777777" w:rsidR="00894DA9" w:rsidRPr="00722F33" w:rsidRDefault="00000000">
      <w:pPr>
        <w:spacing w:line="252" w:lineRule="auto"/>
        <w:ind w:left="432" w:hanging="432"/>
        <w:rPr>
          <w:lang w:val="es-PE"/>
        </w:rPr>
      </w:pPr>
      <w:r w:rsidRPr="00722F33">
        <w:rPr>
          <w:rFonts w:ascii="Calibri" w:hAnsi="Calibri"/>
          <w:color w:val="243447"/>
          <w:sz w:val="17"/>
          <w:lang w:val="es-PE"/>
        </w:rPr>
        <w:t>Ministerio de Salud. (2021, 30 de septiembre). Minsa: el 29.6 % de adolescentes entre los 12 y 17 años presenta riesgo de padecer algún problema de salud mental o emocional. https://www.gob.pe/institucion/minsa/noticias/536664-minsa-el-29-6-de-adolescentes-entre-los-12-y-17-anos-presenta-riesgo-de-padecer-algun-problema-de-salud-mental-o-emocional</w:t>
      </w:r>
    </w:p>
    <w:p w14:paraId="2EE7A55D" w14:textId="77777777" w:rsidR="00894DA9" w:rsidRPr="00722F33" w:rsidRDefault="00000000">
      <w:pPr>
        <w:spacing w:line="252" w:lineRule="auto"/>
        <w:ind w:left="432" w:hanging="432"/>
        <w:rPr>
          <w:lang w:val="es-PE"/>
        </w:rPr>
      </w:pPr>
      <w:r w:rsidRPr="00722F33">
        <w:rPr>
          <w:rFonts w:ascii="Calibri" w:hAnsi="Calibri"/>
          <w:color w:val="243447"/>
          <w:sz w:val="17"/>
          <w:lang w:val="es-PE"/>
        </w:rPr>
        <w:t>Ministerio de Salud. (2026). Conocer los centros de salud mental comunitaria en el Perú. https://www.gob.pe/institucion/minsa/pages/10942-conocer-los-centros-de-salud-mental-comunitaria-en-el-peru</w:t>
      </w:r>
    </w:p>
    <w:p w14:paraId="07BF9DC8" w14:textId="77777777" w:rsidR="00894DA9" w:rsidRPr="00722F33" w:rsidRDefault="00000000">
      <w:pPr>
        <w:spacing w:line="252" w:lineRule="auto"/>
        <w:ind w:left="432" w:hanging="432"/>
        <w:rPr>
          <w:lang w:val="es-PE"/>
        </w:rPr>
      </w:pPr>
      <w:r w:rsidRPr="00722F33">
        <w:rPr>
          <w:rFonts w:ascii="Calibri" w:hAnsi="Calibri"/>
          <w:color w:val="243447"/>
          <w:sz w:val="17"/>
          <w:lang w:val="es-PE"/>
        </w:rPr>
        <w:t>Organización Mundial de la Salud. (2025a, 1 de septiembre). La salud mental de los adolescentes. https://www.who.int/es/news-room/fact-sheets/detail/adolescent-mental-health</w:t>
      </w:r>
    </w:p>
    <w:p w14:paraId="5D14AF96" w14:textId="77777777" w:rsidR="00894DA9" w:rsidRPr="00722F33" w:rsidRDefault="00000000">
      <w:pPr>
        <w:spacing w:line="252" w:lineRule="auto"/>
        <w:ind w:left="432" w:hanging="432"/>
        <w:rPr>
          <w:lang w:val="es-PE"/>
        </w:rPr>
      </w:pPr>
      <w:r w:rsidRPr="00722F33">
        <w:rPr>
          <w:rFonts w:ascii="Calibri" w:hAnsi="Calibri"/>
          <w:color w:val="243447"/>
          <w:sz w:val="17"/>
          <w:lang w:val="es-PE"/>
        </w:rPr>
        <w:t xml:space="preserve">Organización Mundial de la Salud. (2025b, 8 de septiembre). Anxiety </w:t>
      </w:r>
      <w:proofErr w:type="spellStart"/>
      <w:r w:rsidRPr="00722F33">
        <w:rPr>
          <w:rFonts w:ascii="Calibri" w:hAnsi="Calibri"/>
          <w:color w:val="243447"/>
          <w:sz w:val="17"/>
          <w:lang w:val="es-PE"/>
        </w:rPr>
        <w:t>disorders</w:t>
      </w:r>
      <w:proofErr w:type="spellEnd"/>
      <w:r w:rsidRPr="00722F33">
        <w:rPr>
          <w:rFonts w:ascii="Calibri" w:hAnsi="Calibri"/>
          <w:color w:val="243447"/>
          <w:sz w:val="17"/>
          <w:lang w:val="es-PE"/>
        </w:rPr>
        <w:t>. https://www.who.int/news-room/fact-sheets/detail/anxiety-disorders</w:t>
      </w:r>
    </w:p>
    <w:p w14:paraId="7DA0F497" w14:textId="77777777" w:rsidR="00894DA9" w:rsidRDefault="00000000">
      <w:pPr>
        <w:spacing w:line="252" w:lineRule="auto"/>
        <w:ind w:left="432" w:hanging="432"/>
      </w:pPr>
      <w:r>
        <w:rPr>
          <w:rFonts w:ascii="Calibri" w:hAnsi="Calibri"/>
          <w:color w:val="243447"/>
          <w:sz w:val="17"/>
        </w:rPr>
        <w:t xml:space="preserve">Spielberger, C. D., Gorsuch, R. L., &amp; Lushene, R. E. (1982). </w:t>
      </w:r>
      <w:r w:rsidRPr="00722F33">
        <w:rPr>
          <w:rFonts w:ascii="Calibri" w:hAnsi="Calibri"/>
          <w:color w:val="243447"/>
          <w:sz w:val="17"/>
          <w:lang w:val="es-PE"/>
        </w:rPr>
        <w:t xml:space="preserve">STAI: Cuestionario de Ansiedad Estado–Rasgo (adaptación española). </w:t>
      </w:r>
      <w:r>
        <w:rPr>
          <w:rFonts w:ascii="Calibri" w:hAnsi="Calibri"/>
          <w:color w:val="243447"/>
          <w:sz w:val="17"/>
        </w:rPr>
        <w:t xml:space="preserve">TEA </w:t>
      </w:r>
      <w:proofErr w:type="spellStart"/>
      <w:r>
        <w:rPr>
          <w:rFonts w:ascii="Calibri" w:hAnsi="Calibri"/>
          <w:color w:val="243447"/>
          <w:sz w:val="17"/>
        </w:rPr>
        <w:t>Ediciones</w:t>
      </w:r>
      <w:proofErr w:type="spellEnd"/>
      <w:r>
        <w:rPr>
          <w:rFonts w:ascii="Calibri" w:hAnsi="Calibri"/>
          <w:color w:val="243447"/>
          <w:sz w:val="17"/>
        </w:rPr>
        <w:t>.</w:t>
      </w:r>
    </w:p>
    <w:p w14:paraId="22D442AA" w14:textId="77777777" w:rsidR="00894DA9" w:rsidRDefault="00000000">
      <w:pPr>
        <w:spacing w:line="252" w:lineRule="auto"/>
        <w:ind w:left="432" w:hanging="432"/>
      </w:pPr>
      <w:r>
        <w:rPr>
          <w:rFonts w:ascii="Calibri" w:hAnsi="Calibri"/>
          <w:color w:val="243447"/>
          <w:sz w:val="17"/>
        </w:rPr>
        <w:t>Spielberger, C. D., Gorsuch, R. L., Lushene, R., Vagg, P. R., &amp; Jacobs, G. A. (1983). Manual for the State–Trait Anxiety Inventory. Consulting Psychologists Press.</w:t>
      </w:r>
    </w:p>
    <w:p w14:paraId="440E2656" w14:textId="77777777" w:rsidR="00894DA9" w:rsidRDefault="00000000">
      <w:pPr>
        <w:spacing w:line="252" w:lineRule="auto"/>
        <w:ind w:left="432" w:hanging="432"/>
      </w:pPr>
      <w:r>
        <w:rPr>
          <w:rFonts w:ascii="Calibri" w:hAnsi="Calibri"/>
          <w:color w:val="243447"/>
          <w:sz w:val="17"/>
        </w:rPr>
        <w:t>UNICEF. (2021a, 5 de octubre). Over US$30 billion is lost to economies in Latin America and the Caribbean each year due to youth mental health disorders. https://www.unicef.org/lac/en/press-releases/over-us30-billion-is-lost-to-economies-in-latin-america-and-caribbean-each-year-due-youth-mental-health-disorders</w:t>
      </w:r>
    </w:p>
    <w:p w14:paraId="6DE17C05" w14:textId="77777777" w:rsidR="00894DA9" w:rsidRPr="00722F33" w:rsidRDefault="00000000">
      <w:pPr>
        <w:spacing w:line="252" w:lineRule="auto"/>
        <w:ind w:left="432" w:hanging="432"/>
        <w:rPr>
          <w:lang w:val="es-PE"/>
        </w:rPr>
      </w:pPr>
      <w:r w:rsidRPr="00722F33">
        <w:rPr>
          <w:rFonts w:ascii="Calibri" w:hAnsi="Calibri"/>
          <w:color w:val="243447"/>
          <w:sz w:val="17"/>
          <w:lang w:val="es-PE"/>
        </w:rPr>
        <w:t>UNICEF. (2021b). El impacto del COVID-19 en la salud mental de adolescentes y jóvenes. https://www.unicef.org/lac/el-impacto-del-covid-19-en-la-salud-mental-de-adolescentes-y-j%C3%B3venes</w:t>
      </w:r>
    </w:p>
    <w:p w14:paraId="7E5FB04B" w14:textId="77777777" w:rsidR="00894DA9" w:rsidRDefault="00000000">
      <w:pPr>
        <w:spacing w:line="252" w:lineRule="auto"/>
        <w:ind w:left="432" w:hanging="432"/>
      </w:pPr>
      <w:r>
        <w:rPr>
          <w:rFonts w:ascii="Calibri" w:hAnsi="Calibri"/>
          <w:color w:val="243447"/>
          <w:sz w:val="17"/>
        </w:rPr>
        <w:t>UNICEF. (2022). No time to lose: Health challenges for adolescents in Latin America and the Caribbean. https://data.unicef.org/resources/no-time-to-lose-health-challenges-for-adolescents-in-latin-america-and-the-caribbean/</w:t>
      </w:r>
    </w:p>
    <w:p w14:paraId="37FB1D6A" w14:textId="77777777" w:rsidR="00894DA9" w:rsidRDefault="00000000">
      <w:r>
        <w:br w:type="page"/>
      </w:r>
    </w:p>
    <w:p w14:paraId="37A44233" w14:textId="77777777" w:rsidR="00894DA9" w:rsidRPr="00722F33" w:rsidRDefault="00000000">
      <w:pPr>
        <w:pStyle w:val="Ttulo1"/>
        <w:rPr>
          <w:lang w:val="es-PE"/>
        </w:rPr>
      </w:pPr>
      <w:r w:rsidRPr="00722F33">
        <w:rPr>
          <w:lang w:val="es-PE"/>
        </w:rPr>
        <w:lastRenderedPageBreak/>
        <w:t>Levantamiento de observaciones prioritarias</w:t>
      </w:r>
    </w:p>
    <w:p w14:paraId="338C7E70" w14:textId="77777777" w:rsidR="00894DA9" w:rsidRPr="00722F33" w:rsidRDefault="00000000">
      <w:pPr>
        <w:spacing w:after="160"/>
        <w:rPr>
          <w:lang w:val="es-PE"/>
        </w:rPr>
      </w:pPr>
      <w:r w:rsidRPr="00722F33">
        <w:rPr>
          <w:rFonts w:ascii="Calibri" w:hAnsi="Calibri"/>
          <w:color w:val="243447"/>
          <w:sz w:val="20"/>
          <w:lang w:val="es-PE"/>
        </w:rPr>
        <w:t>Las observaciones de la evaluación previa se atendieron de la siguiente manera:</w:t>
      </w:r>
    </w:p>
    <w:tbl>
      <w:tblPr>
        <w:tblStyle w:val="Tablaconcuadrcula"/>
        <w:tblW w:w="9500" w:type="dxa"/>
        <w:tblBorders>
          <w:top w:val="single" w:sz="4" w:space="0" w:color="B7C4D0"/>
          <w:left w:val="single" w:sz="4" w:space="0" w:color="B7C4D0"/>
          <w:bottom w:val="single" w:sz="4" w:space="0" w:color="B7C4D0"/>
          <w:right w:val="single" w:sz="4" w:space="0" w:color="B7C4D0"/>
          <w:insideH w:val="single" w:sz="4" w:space="0" w:color="B7C4D0"/>
          <w:insideV w:val="single" w:sz="4" w:space="0" w:color="B7C4D0"/>
        </w:tblBorders>
        <w:tblLayout w:type="fixed"/>
        <w:tblLook w:val="04A0" w:firstRow="1" w:lastRow="0" w:firstColumn="1" w:lastColumn="0" w:noHBand="0" w:noVBand="1"/>
      </w:tblPr>
      <w:tblGrid>
        <w:gridCol w:w="2300"/>
        <w:gridCol w:w="7200"/>
      </w:tblGrid>
      <w:tr w:rsidR="00894DA9" w14:paraId="3E9465DC" w14:textId="77777777">
        <w:trPr>
          <w:tblHeader/>
        </w:trPr>
        <w:tc>
          <w:tcPr>
            <w:tcW w:w="2300" w:type="dxa"/>
            <w:shd w:val="clear" w:color="auto" w:fill="1F4D78"/>
            <w:tcMar>
              <w:top w:w="80" w:type="dxa"/>
              <w:left w:w="120" w:type="dxa"/>
              <w:bottom w:w="80" w:type="dxa"/>
              <w:right w:w="120" w:type="dxa"/>
            </w:tcMar>
          </w:tcPr>
          <w:p w14:paraId="2FDB5559" w14:textId="77777777" w:rsidR="00894DA9" w:rsidRDefault="00000000">
            <w:pPr>
              <w:spacing w:after="0" w:line="240" w:lineRule="auto"/>
            </w:pPr>
            <w:proofErr w:type="spellStart"/>
            <w:r>
              <w:rPr>
                <w:rFonts w:ascii="Calibri" w:hAnsi="Calibri"/>
                <w:b/>
                <w:color w:val="FFFFFF"/>
                <w:sz w:val="18"/>
              </w:rPr>
              <w:t>Observación</w:t>
            </w:r>
            <w:proofErr w:type="spellEnd"/>
          </w:p>
        </w:tc>
        <w:tc>
          <w:tcPr>
            <w:tcW w:w="7200" w:type="dxa"/>
            <w:shd w:val="clear" w:color="auto" w:fill="1F4D78"/>
            <w:tcMar>
              <w:top w:w="80" w:type="dxa"/>
              <w:left w:w="120" w:type="dxa"/>
              <w:bottom w:w="80" w:type="dxa"/>
              <w:right w:w="120" w:type="dxa"/>
            </w:tcMar>
          </w:tcPr>
          <w:p w14:paraId="0C65F5D3" w14:textId="77777777" w:rsidR="00894DA9" w:rsidRDefault="00000000">
            <w:pPr>
              <w:spacing w:after="0" w:line="240" w:lineRule="auto"/>
            </w:pPr>
            <w:r>
              <w:rPr>
                <w:rFonts w:ascii="Calibri" w:hAnsi="Calibri"/>
                <w:b/>
                <w:color w:val="FFFFFF"/>
                <w:sz w:val="18"/>
              </w:rPr>
              <w:t>Corrección incorporada</w:t>
            </w:r>
          </w:p>
        </w:tc>
      </w:tr>
      <w:tr w:rsidR="00894DA9" w:rsidRPr="00722F33" w14:paraId="38BDF5F0" w14:textId="77777777">
        <w:trPr>
          <w:cantSplit/>
        </w:trPr>
        <w:tc>
          <w:tcPr>
            <w:tcW w:w="2300" w:type="dxa"/>
            <w:shd w:val="clear" w:color="auto" w:fill="E8EEF5"/>
            <w:tcMar>
              <w:top w:w="90" w:type="dxa"/>
              <w:left w:w="110" w:type="dxa"/>
              <w:bottom w:w="90" w:type="dxa"/>
              <w:right w:w="110" w:type="dxa"/>
            </w:tcMar>
          </w:tcPr>
          <w:p w14:paraId="5E148A54" w14:textId="77777777" w:rsidR="00894DA9" w:rsidRDefault="00000000">
            <w:pPr>
              <w:spacing w:after="0" w:line="240" w:lineRule="auto"/>
            </w:pPr>
            <w:r>
              <w:rPr>
                <w:rFonts w:ascii="Calibri" w:hAnsi="Calibri"/>
                <w:b/>
                <w:color w:val="1F4D78"/>
                <w:sz w:val="17"/>
              </w:rPr>
              <w:t>A. Evidencia local</w:t>
            </w:r>
          </w:p>
        </w:tc>
        <w:tc>
          <w:tcPr>
            <w:tcW w:w="7200" w:type="dxa"/>
            <w:tcMar>
              <w:top w:w="90" w:type="dxa"/>
              <w:left w:w="110" w:type="dxa"/>
              <w:bottom w:w="90" w:type="dxa"/>
              <w:right w:w="110" w:type="dxa"/>
            </w:tcMar>
          </w:tcPr>
          <w:p w14:paraId="550B9773" w14:textId="77777777" w:rsidR="00894DA9" w:rsidRPr="00722F33" w:rsidRDefault="00000000">
            <w:pPr>
              <w:spacing w:after="0" w:line="240" w:lineRule="auto"/>
              <w:rPr>
                <w:lang w:val="es-PE"/>
              </w:rPr>
            </w:pPr>
            <w:r w:rsidRPr="00722F33">
              <w:rPr>
                <w:rFonts w:ascii="Calibri" w:hAnsi="Calibri"/>
                <w:color w:val="243447"/>
                <w:sz w:val="17"/>
                <w:lang w:val="es-PE"/>
              </w:rPr>
              <w:t>Se incorporaron fuentes de Villa El Salvador/Lima Sur y se declaró el vacío de una estimación distrital de ansiedad en quinto de secundaria, sin usar indicadores indirectos como prevalencia.</w:t>
            </w:r>
          </w:p>
        </w:tc>
      </w:tr>
      <w:tr w:rsidR="00894DA9" w:rsidRPr="00722F33" w14:paraId="7A429D14" w14:textId="77777777">
        <w:trPr>
          <w:cantSplit/>
        </w:trPr>
        <w:tc>
          <w:tcPr>
            <w:tcW w:w="2300" w:type="dxa"/>
            <w:shd w:val="clear" w:color="auto" w:fill="E8EEF5"/>
            <w:tcMar>
              <w:top w:w="90" w:type="dxa"/>
              <w:left w:w="110" w:type="dxa"/>
              <w:bottom w:w="90" w:type="dxa"/>
              <w:right w:w="110" w:type="dxa"/>
            </w:tcMar>
          </w:tcPr>
          <w:p w14:paraId="6A90C5E3" w14:textId="77777777" w:rsidR="00894DA9" w:rsidRDefault="00000000">
            <w:pPr>
              <w:spacing w:after="0" w:line="240" w:lineRule="auto"/>
            </w:pPr>
            <w:r>
              <w:rPr>
                <w:rFonts w:ascii="Calibri" w:hAnsi="Calibri"/>
                <w:b/>
                <w:color w:val="1F4D78"/>
                <w:sz w:val="17"/>
              </w:rPr>
              <w:t>B. Población consistente</w:t>
            </w:r>
          </w:p>
        </w:tc>
        <w:tc>
          <w:tcPr>
            <w:tcW w:w="7200" w:type="dxa"/>
            <w:tcMar>
              <w:top w:w="90" w:type="dxa"/>
              <w:left w:w="110" w:type="dxa"/>
              <w:bottom w:w="90" w:type="dxa"/>
              <w:right w:w="110" w:type="dxa"/>
            </w:tcMar>
          </w:tcPr>
          <w:p w14:paraId="4F047D2A" w14:textId="77777777" w:rsidR="00894DA9" w:rsidRPr="00722F33" w:rsidRDefault="00000000">
            <w:pPr>
              <w:spacing w:after="0" w:line="240" w:lineRule="auto"/>
              <w:rPr>
                <w:lang w:val="es-PE"/>
              </w:rPr>
            </w:pPr>
            <w:r w:rsidRPr="00722F33">
              <w:rPr>
                <w:rFonts w:ascii="Calibri" w:hAnsi="Calibri"/>
                <w:color w:val="243447"/>
                <w:sz w:val="17"/>
                <w:lang w:val="es-PE"/>
              </w:rPr>
              <w:t>Se mantuvo en todo el texto la población: estudiantes de quinto de secundaria de Villa El Salvador.</w:t>
            </w:r>
          </w:p>
        </w:tc>
      </w:tr>
      <w:tr w:rsidR="00894DA9" w:rsidRPr="00722F33" w14:paraId="16BCF263" w14:textId="77777777">
        <w:trPr>
          <w:cantSplit/>
        </w:trPr>
        <w:tc>
          <w:tcPr>
            <w:tcW w:w="2300" w:type="dxa"/>
            <w:shd w:val="clear" w:color="auto" w:fill="E8EEF5"/>
            <w:tcMar>
              <w:top w:w="90" w:type="dxa"/>
              <w:left w:w="110" w:type="dxa"/>
              <w:bottom w:w="90" w:type="dxa"/>
              <w:right w:w="110" w:type="dxa"/>
            </w:tcMar>
          </w:tcPr>
          <w:p w14:paraId="68910CE3" w14:textId="77777777" w:rsidR="00894DA9" w:rsidRDefault="00000000">
            <w:pPr>
              <w:spacing w:after="0" w:line="240" w:lineRule="auto"/>
            </w:pPr>
            <w:r>
              <w:rPr>
                <w:rFonts w:ascii="Calibri" w:hAnsi="Calibri"/>
                <w:b/>
                <w:color w:val="1F4D78"/>
                <w:sz w:val="17"/>
              </w:rPr>
              <w:t>C. Problema de medición</w:t>
            </w:r>
          </w:p>
        </w:tc>
        <w:tc>
          <w:tcPr>
            <w:tcW w:w="7200" w:type="dxa"/>
            <w:tcMar>
              <w:top w:w="90" w:type="dxa"/>
              <w:left w:w="110" w:type="dxa"/>
              <w:bottom w:w="90" w:type="dxa"/>
              <w:right w:w="110" w:type="dxa"/>
            </w:tcMar>
          </w:tcPr>
          <w:p w14:paraId="1FA84DCA" w14:textId="77777777" w:rsidR="00894DA9" w:rsidRPr="00722F33" w:rsidRDefault="00000000">
            <w:pPr>
              <w:spacing w:after="0" w:line="240" w:lineRule="auto"/>
              <w:rPr>
                <w:lang w:val="es-PE"/>
              </w:rPr>
            </w:pPr>
            <w:r w:rsidRPr="00722F33">
              <w:rPr>
                <w:rFonts w:ascii="Calibri" w:hAnsi="Calibri"/>
                <w:color w:val="243447"/>
                <w:sz w:val="17"/>
                <w:lang w:val="es-PE"/>
              </w:rPr>
              <w:t>El cierre se reformuló en términos de evidencias psicométricas de las puntuaciones del STAI y se alineó con los objetivos: contenido, estructura interna y confiabilidad por consistencia interna.</w:t>
            </w:r>
          </w:p>
        </w:tc>
      </w:tr>
      <w:tr w:rsidR="00894DA9" w:rsidRPr="00722F33" w14:paraId="243C0652" w14:textId="77777777">
        <w:trPr>
          <w:cantSplit/>
        </w:trPr>
        <w:tc>
          <w:tcPr>
            <w:tcW w:w="2300" w:type="dxa"/>
            <w:shd w:val="clear" w:color="auto" w:fill="E8EEF5"/>
            <w:tcMar>
              <w:top w:w="90" w:type="dxa"/>
              <w:left w:w="110" w:type="dxa"/>
              <w:bottom w:w="90" w:type="dxa"/>
              <w:right w:w="110" w:type="dxa"/>
            </w:tcMar>
          </w:tcPr>
          <w:p w14:paraId="69AB75B0" w14:textId="77777777" w:rsidR="00894DA9" w:rsidRDefault="00000000">
            <w:pPr>
              <w:spacing w:after="0" w:line="240" w:lineRule="auto"/>
            </w:pPr>
            <w:r>
              <w:rPr>
                <w:rFonts w:ascii="Calibri" w:hAnsi="Calibri"/>
                <w:b/>
                <w:color w:val="1F4D78"/>
                <w:sz w:val="17"/>
              </w:rPr>
              <w:t>D. Consecuencias</w:t>
            </w:r>
          </w:p>
        </w:tc>
        <w:tc>
          <w:tcPr>
            <w:tcW w:w="7200" w:type="dxa"/>
            <w:tcMar>
              <w:top w:w="90" w:type="dxa"/>
              <w:left w:w="110" w:type="dxa"/>
              <w:bottom w:w="90" w:type="dxa"/>
              <w:right w:w="110" w:type="dxa"/>
            </w:tcMar>
          </w:tcPr>
          <w:p w14:paraId="71CEC3D7" w14:textId="77777777" w:rsidR="00894DA9" w:rsidRPr="00722F33" w:rsidRDefault="00000000">
            <w:pPr>
              <w:spacing w:after="0" w:line="240" w:lineRule="auto"/>
              <w:rPr>
                <w:lang w:val="es-PE"/>
              </w:rPr>
            </w:pPr>
            <w:r w:rsidRPr="00722F33">
              <w:rPr>
                <w:rFonts w:ascii="Calibri" w:hAnsi="Calibri"/>
                <w:color w:val="243447"/>
                <w:sz w:val="17"/>
                <w:lang w:val="es-PE"/>
              </w:rPr>
              <w:t>Se separaron demandas o factores asociados, manifestaciones y consecuencias académicas, emocionales y sociales, con cautela causal.</w:t>
            </w:r>
          </w:p>
        </w:tc>
      </w:tr>
      <w:tr w:rsidR="00894DA9" w:rsidRPr="00722F33" w14:paraId="2BED11B4" w14:textId="77777777">
        <w:trPr>
          <w:cantSplit/>
        </w:trPr>
        <w:tc>
          <w:tcPr>
            <w:tcW w:w="2300" w:type="dxa"/>
            <w:shd w:val="clear" w:color="auto" w:fill="E8EEF5"/>
            <w:tcMar>
              <w:top w:w="90" w:type="dxa"/>
              <w:left w:w="110" w:type="dxa"/>
              <w:bottom w:w="90" w:type="dxa"/>
              <w:right w:w="110" w:type="dxa"/>
            </w:tcMar>
          </w:tcPr>
          <w:p w14:paraId="2DCB2AF7" w14:textId="77777777" w:rsidR="00894DA9" w:rsidRDefault="00000000">
            <w:pPr>
              <w:spacing w:after="0" w:line="240" w:lineRule="auto"/>
            </w:pPr>
            <w:r>
              <w:rPr>
                <w:rFonts w:ascii="Calibri" w:hAnsi="Calibri"/>
                <w:b/>
                <w:color w:val="1F4D78"/>
                <w:sz w:val="17"/>
              </w:rPr>
              <w:t>E. Auditoría de cifras</w:t>
            </w:r>
          </w:p>
        </w:tc>
        <w:tc>
          <w:tcPr>
            <w:tcW w:w="7200" w:type="dxa"/>
            <w:tcMar>
              <w:top w:w="90" w:type="dxa"/>
              <w:left w:w="110" w:type="dxa"/>
              <w:bottom w:w="90" w:type="dxa"/>
              <w:right w:w="110" w:type="dxa"/>
            </w:tcMar>
          </w:tcPr>
          <w:p w14:paraId="663C21E4" w14:textId="77777777" w:rsidR="00894DA9" w:rsidRPr="00722F33" w:rsidRDefault="00000000">
            <w:pPr>
              <w:spacing w:after="0" w:line="240" w:lineRule="auto"/>
              <w:rPr>
                <w:lang w:val="es-PE"/>
              </w:rPr>
            </w:pPr>
            <w:r w:rsidRPr="00722F33">
              <w:rPr>
                <w:rFonts w:ascii="Calibri" w:hAnsi="Calibri"/>
                <w:color w:val="243447"/>
                <w:sz w:val="17"/>
                <w:lang w:val="es-PE"/>
              </w:rPr>
              <w:t>Se sustituyeron datos inconsistentes por fuentes oficiales identificables y se precisaron edad, contexto, alcance y límites de generalización.</w:t>
            </w:r>
          </w:p>
        </w:tc>
      </w:tr>
      <w:tr w:rsidR="00894DA9" w:rsidRPr="00722F33" w14:paraId="00D7E756" w14:textId="77777777">
        <w:trPr>
          <w:cantSplit/>
        </w:trPr>
        <w:tc>
          <w:tcPr>
            <w:tcW w:w="2300" w:type="dxa"/>
            <w:shd w:val="clear" w:color="auto" w:fill="E8EEF5"/>
            <w:tcMar>
              <w:top w:w="90" w:type="dxa"/>
              <w:left w:w="110" w:type="dxa"/>
              <w:bottom w:w="90" w:type="dxa"/>
              <w:right w:w="110" w:type="dxa"/>
            </w:tcMar>
          </w:tcPr>
          <w:p w14:paraId="40CCF31E" w14:textId="77777777" w:rsidR="00894DA9" w:rsidRDefault="00000000">
            <w:pPr>
              <w:spacing w:after="0" w:line="240" w:lineRule="auto"/>
            </w:pPr>
            <w:r>
              <w:rPr>
                <w:rFonts w:ascii="Calibri" w:hAnsi="Calibri"/>
                <w:b/>
                <w:color w:val="1F4D78"/>
                <w:sz w:val="17"/>
              </w:rPr>
              <w:t>F. Redacción académica</w:t>
            </w:r>
          </w:p>
        </w:tc>
        <w:tc>
          <w:tcPr>
            <w:tcW w:w="7200" w:type="dxa"/>
            <w:tcMar>
              <w:top w:w="90" w:type="dxa"/>
              <w:left w:w="110" w:type="dxa"/>
              <w:bottom w:w="90" w:type="dxa"/>
              <w:right w:w="110" w:type="dxa"/>
            </w:tcMar>
          </w:tcPr>
          <w:p w14:paraId="11979FBE" w14:textId="77777777" w:rsidR="00894DA9" w:rsidRPr="00722F33" w:rsidRDefault="00000000">
            <w:pPr>
              <w:spacing w:after="0" w:line="240" w:lineRule="auto"/>
              <w:rPr>
                <w:lang w:val="es-PE"/>
              </w:rPr>
            </w:pPr>
            <w:r w:rsidRPr="00722F33">
              <w:rPr>
                <w:rFonts w:ascii="Calibri" w:hAnsi="Calibri"/>
                <w:color w:val="243447"/>
                <w:sz w:val="17"/>
                <w:lang w:val="es-PE"/>
              </w:rPr>
              <w:t>Se revisó cohesión macro–micro, sintaxis, terminología, tono no estigmatizante y transiciones entre niveles.</w:t>
            </w:r>
          </w:p>
        </w:tc>
      </w:tr>
    </w:tbl>
    <w:p w14:paraId="75D28144" w14:textId="77777777" w:rsidR="00894DA9" w:rsidRPr="00722F33" w:rsidRDefault="00894DA9">
      <w:pPr>
        <w:rPr>
          <w:lang w:val="es-PE"/>
        </w:rPr>
        <w:sectPr w:rsidR="00894DA9" w:rsidRPr="00722F33">
          <w:headerReference w:type="default" r:id="rId8"/>
          <w:footerReference w:type="default" r:id="rId9"/>
          <w:pgSz w:w="11909" w:h="16834"/>
          <w:pgMar w:top="1080" w:right="1152" w:bottom="1037" w:left="1296" w:header="720" w:footer="720" w:gutter="0"/>
          <w:cols w:space="720"/>
          <w:docGrid w:linePitch="360"/>
        </w:sectPr>
      </w:pPr>
    </w:p>
    <w:p w14:paraId="27B6024B" w14:textId="77777777" w:rsidR="00894DA9" w:rsidRPr="00722F33" w:rsidRDefault="00000000">
      <w:pPr>
        <w:pStyle w:val="Ttulo1"/>
        <w:rPr>
          <w:lang w:val="es-PE"/>
        </w:rPr>
      </w:pPr>
      <w:r w:rsidRPr="00722F33">
        <w:rPr>
          <w:lang w:val="es-PE"/>
        </w:rPr>
        <w:lastRenderedPageBreak/>
        <w:t xml:space="preserve">Matriz de cotejo final — criterios A </w:t>
      </w:r>
      <w:proofErr w:type="spellStart"/>
      <w:r w:rsidRPr="00722F33">
        <w:rPr>
          <w:lang w:val="es-PE"/>
        </w:rPr>
        <w:t>a</w:t>
      </w:r>
      <w:proofErr w:type="spellEnd"/>
      <w:r w:rsidRPr="00722F33">
        <w:rPr>
          <w:lang w:val="es-PE"/>
        </w:rPr>
        <w:t xml:space="preserve"> H</w:t>
      </w:r>
    </w:p>
    <w:p w14:paraId="0C82CE8B" w14:textId="77777777" w:rsidR="00894DA9" w:rsidRPr="00722F33" w:rsidRDefault="00000000">
      <w:pPr>
        <w:pBdr>
          <w:left w:val="single" w:sz="18" w:space="8" w:color="1F5E3B"/>
        </w:pBdr>
        <w:shd w:val="clear" w:color="auto" w:fill="EAF4EE"/>
        <w:spacing w:after="140"/>
        <w:rPr>
          <w:lang w:val="es-PE"/>
        </w:rPr>
      </w:pPr>
      <w:r w:rsidRPr="00722F33">
        <w:rPr>
          <w:rFonts w:ascii="Calibri" w:hAnsi="Calibri"/>
          <w:b/>
          <w:color w:val="1F5E3B"/>
          <w:sz w:val="19"/>
          <w:lang w:val="es-PE"/>
        </w:rPr>
        <w:t xml:space="preserve">RESULTADO: 32 criterios en Total = </w:t>
      </w:r>
      <w:proofErr w:type="gramStart"/>
      <w:r w:rsidRPr="00722F33">
        <w:rPr>
          <w:rFonts w:ascii="Calibri" w:hAnsi="Calibri"/>
          <w:b/>
          <w:color w:val="1F5E3B"/>
          <w:sz w:val="19"/>
          <w:lang w:val="es-PE"/>
        </w:rPr>
        <w:t>2  |</w:t>
      </w:r>
      <w:proofErr w:type="gramEnd"/>
      <w:r w:rsidRPr="00722F33">
        <w:rPr>
          <w:rFonts w:ascii="Calibri" w:hAnsi="Calibri"/>
          <w:b/>
          <w:color w:val="1F5E3B"/>
          <w:sz w:val="19"/>
          <w:lang w:val="es-PE"/>
        </w:rPr>
        <w:t xml:space="preserve">  64/64 </w:t>
      </w:r>
      <w:proofErr w:type="gramStart"/>
      <w:r w:rsidRPr="00722F33">
        <w:rPr>
          <w:rFonts w:ascii="Calibri" w:hAnsi="Calibri"/>
          <w:b/>
          <w:color w:val="1F5E3B"/>
          <w:sz w:val="19"/>
          <w:lang w:val="es-PE"/>
        </w:rPr>
        <w:t>puntos  |</w:t>
      </w:r>
      <w:proofErr w:type="gramEnd"/>
      <w:r w:rsidRPr="00722F33">
        <w:rPr>
          <w:rFonts w:ascii="Calibri" w:hAnsi="Calibri"/>
          <w:b/>
          <w:color w:val="1F5E3B"/>
          <w:sz w:val="19"/>
          <w:lang w:val="es-PE"/>
        </w:rPr>
        <w:t xml:space="preserve">  100 % de cumplimiento</w:t>
      </w:r>
    </w:p>
    <w:tbl>
      <w:tblPr>
        <w:tblStyle w:val="Tablaconcuadrcula"/>
        <w:tblW w:w="11370" w:type="dxa"/>
        <w:tblBorders>
          <w:top w:val="single" w:sz="4" w:space="0" w:color="B7C4D0"/>
          <w:left w:val="single" w:sz="4" w:space="0" w:color="B7C4D0"/>
          <w:bottom w:val="single" w:sz="4" w:space="0" w:color="B7C4D0"/>
          <w:right w:val="single" w:sz="4" w:space="0" w:color="B7C4D0"/>
          <w:insideH w:val="single" w:sz="4" w:space="0" w:color="B7C4D0"/>
          <w:insideV w:val="single" w:sz="4" w:space="0" w:color="B7C4D0"/>
        </w:tblBorders>
        <w:tblLayout w:type="fixed"/>
        <w:tblLook w:val="04A0" w:firstRow="1" w:lastRow="0" w:firstColumn="1" w:lastColumn="0" w:noHBand="0" w:noVBand="1"/>
      </w:tblPr>
      <w:tblGrid>
        <w:gridCol w:w="430"/>
        <w:gridCol w:w="3750"/>
        <w:gridCol w:w="640"/>
        <w:gridCol w:w="6550"/>
      </w:tblGrid>
      <w:tr w:rsidR="00894DA9" w14:paraId="1962CB8E" w14:textId="77777777">
        <w:trPr>
          <w:tblHeader/>
        </w:trPr>
        <w:tc>
          <w:tcPr>
            <w:tcW w:w="430" w:type="dxa"/>
            <w:shd w:val="clear" w:color="auto" w:fill="1F4D78"/>
            <w:tcMar>
              <w:top w:w="80" w:type="dxa"/>
              <w:left w:w="120" w:type="dxa"/>
              <w:bottom w:w="80" w:type="dxa"/>
              <w:right w:w="120" w:type="dxa"/>
            </w:tcMar>
          </w:tcPr>
          <w:p w14:paraId="113A4F10" w14:textId="77777777" w:rsidR="00894DA9" w:rsidRDefault="00000000">
            <w:pPr>
              <w:spacing w:after="0" w:line="240" w:lineRule="auto"/>
              <w:jc w:val="center"/>
            </w:pPr>
            <w:proofErr w:type="gramStart"/>
            <w:r>
              <w:rPr>
                <w:rFonts w:ascii="Calibri" w:hAnsi="Calibri"/>
                <w:b/>
                <w:color w:val="FFFFFF"/>
                <w:sz w:val="15"/>
              </w:rPr>
              <w:t>N.º</w:t>
            </w:r>
            <w:proofErr w:type="gramEnd"/>
          </w:p>
        </w:tc>
        <w:tc>
          <w:tcPr>
            <w:tcW w:w="3750" w:type="dxa"/>
            <w:shd w:val="clear" w:color="auto" w:fill="1F4D78"/>
            <w:tcMar>
              <w:top w:w="80" w:type="dxa"/>
              <w:left w:w="120" w:type="dxa"/>
              <w:bottom w:w="80" w:type="dxa"/>
              <w:right w:w="120" w:type="dxa"/>
            </w:tcMar>
          </w:tcPr>
          <w:p w14:paraId="04F7E4DE" w14:textId="77777777" w:rsidR="00894DA9" w:rsidRDefault="00000000">
            <w:pPr>
              <w:spacing w:after="0" w:line="240" w:lineRule="auto"/>
            </w:pPr>
            <w:r>
              <w:rPr>
                <w:rFonts w:ascii="Calibri" w:hAnsi="Calibri"/>
                <w:b/>
                <w:color w:val="FFFFFF"/>
                <w:sz w:val="15"/>
              </w:rPr>
              <w:t>Criterio verificable</w:t>
            </w:r>
          </w:p>
        </w:tc>
        <w:tc>
          <w:tcPr>
            <w:tcW w:w="640" w:type="dxa"/>
            <w:shd w:val="clear" w:color="auto" w:fill="1F4D78"/>
            <w:tcMar>
              <w:top w:w="80" w:type="dxa"/>
              <w:left w:w="120" w:type="dxa"/>
              <w:bottom w:w="80" w:type="dxa"/>
              <w:right w:w="120" w:type="dxa"/>
            </w:tcMar>
          </w:tcPr>
          <w:p w14:paraId="3513DA23" w14:textId="77777777" w:rsidR="00894DA9" w:rsidRDefault="00000000">
            <w:pPr>
              <w:spacing w:after="0" w:line="240" w:lineRule="auto"/>
              <w:jc w:val="center"/>
            </w:pPr>
            <w:r>
              <w:rPr>
                <w:rFonts w:ascii="Calibri" w:hAnsi="Calibri"/>
                <w:b/>
                <w:color w:val="FFFFFF"/>
                <w:sz w:val="15"/>
              </w:rPr>
              <w:t>Total</w:t>
            </w:r>
            <w:r>
              <w:rPr>
                <w:rFonts w:ascii="Calibri" w:hAnsi="Calibri"/>
                <w:b/>
                <w:color w:val="FFFFFF"/>
                <w:sz w:val="15"/>
              </w:rPr>
              <w:br/>
              <w:t>(2)</w:t>
            </w:r>
          </w:p>
        </w:tc>
        <w:tc>
          <w:tcPr>
            <w:tcW w:w="6550" w:type="dxa"/>
            <w:shd w:val="clear" w:color="auto" w:fill="1F4D78"/>
            <w:tcMar>
              <w:top w:w="80" w:type="dxa"/>
              <w:left w:w="120" w:type="dxa"/>
              <w:bottom w:w="80" w:type="dxa"/>
              <w:right w:w="120" w:type="dxa"/>
            </w:tcMar>
          </w:tcPr>
          <w:p w14:paraId="55A4411D" w14:textId="77777777" w:rsidR="00894DA9" w:rsidRDefault="00000000">
            <w:pPr>
              <w:spacing w:after="0" w:line="240" w:lineRule="auto"/>
            </w:pPr>
            <w:r>
              <w:rPr>
                <w:rFonts w:ascii="Calibri" w:hAnsi="Calibri"/>
                <w:b/>
                <w:color w:val="FFFFFF"/>
                <w:sz w:val="15"/>
              </w:rPr>
              <w:t>Evidencia de cumplimiento</w:t>
            </w:r>
          </w:p>
        </w:tc>
      </w:tr>
      <w:tr w:rsidR="00894DA9" w:rsidRPr="00722F33" w14:paraId="581C26D3" w14:textId="77777777">
        <w:trPr>
          <w:cantSplit/>
        </w:trPr>
        <w:tc>
          <w:tcPr>
            <w:tcW w:w="11370" w:type="dxa"/>
            <w:gridSpan w:val="4"/>
            <w:shd w:val="clear" w:color="auto" w:fill="E8EEF5"/>
            <w:tcMar>
              <w:top w:w="80" w:type="dxa"/>
              <w:left w:w="120" w:type="dxa"/>
              <w:bottom w:w="80" w:type="dxa"/>
              <w:right w:w="120" w:type="dxa"/>
            </w:tcMar>
          </w:tcPr>
          <w:p w14:paraId="7E27CE24" w14:textId="77777777" w:rsidR="00894DA9" w:rsidRPr="00722F33" w:rsidRDefault="00000000">
            <w:pPr>
              <w:spacing w:after="0" w:line="240" w:lineRule="auto"/>
              <w:rPr>
                <w:lang w:val="es-PE"/>
              </w:rPr>
            </w:pPr>
            <w:r w:rsidRPr="00722F33">
              <w:rPr>
                <w:rFonts w:ascii="Calibri" w:hAnsi="Calibri"/>
                <w:b/>
                <w:color w:val="1F4D78"/>
                <w:sz w:val="16"/>
                <w:lang w:val="es-PE"/>
              </w:rPr>
              <w:t>A. Delimitación y conceptualización de la ansiedad en adolescentes</w:t>
            </w:r>
          </w:p>
        </w:tc>
      </w:tr>
      <w:tr w:rsidR="00894DA9" w:rsidRPr="00722F33" w14:paraId="162C0BF2" w14:textId="77777777">
        <w:trPr>
          <w:cantSplit/>
        </w:trPr>
        <w:tc>
          <w:tcPr>
            <w:tcW w:w="430" w:type="dxa"/>
            <w:tcMar>
              <w:top w:w="80" w:type="dxa"/>
              <w:left w:w="120" w:type="dxa"/>
              <w:bottom w:w="80" w:type="dxa"/>
              <w:right w:w="120" w:type="dxa"/>
            </w:tcMar>
            <w:vAlign w:val="center"/>
          </w:tcPr>
          <w:p w14:paraId="4B0A4E49" w14:textId="77777777" w:rsidR="00894DA9" w:rsidRDefault="00000000">
            <w:pPr>
              <w:spacing w:after="0" w:line="240" w:lineRule="auto"/>
              <w:jc w:val="center"/>
            </w:pPr>
            <w:r>
              <w:rPr>
                <w:rFonts w:ascii="Calibri" w:hAnsi="Calibri"/>
                <w:b/>
                <w:color w:val="243447"/>
                <w:sz w:val="14"/>
              </w:rPr>
              <w:t>1</w:t>
            </w:r>
          </w:p>
        </w:tc>
        <w:tc>
          <w:tcPr>
            <w:tcW w:w="3750" w:type="dxa"/>
            <w:tcMar>
              <w:top w:w="80" w:type="dxa"/>
              <w:left w:w="120" w:type="dxa"/>
              <w:bottom w:w="80" w:type="dxa"/>
              <w:right w:w="120" w:type="dxa"/>
            </w:tcMar>
            <w:vAlign w:val="center"/>
          </w:tcPr>
          <w:p w14:paraId="656A13FE" w14:textId="77777777" w:rsidR="00894DA9" w:rsidRPr="00722F33" w:rsidRDefault="00000000">
            <w:pPr>
              <w:spacing w:after="0" w:line="240" w:lineRule="auto"/>
              <w:rPr>
                <w:lang w:val="es-PE"/>
              </w:rPr>
            </w:pPr>
            <w:r w:rsidRPr="00722F33">
              <w:rPr>
                <w:rFonts w:ascii="Calibri" w:hAnsi="Calibri"/>
                <w:color w:val="243447"/>
                <w:sz w:val="14"/>
                <w:lang w:val="es-PE"/>
              </w:rPr>
              <w:t>Presenta la ansiedad en adolescentes como fenómeno central de la realidad problemática, sin desviar el foco hacia otros problemas de salud mental.</w:t>
            </w:r>
          </w:p>
        </w:tc>
        <w:tc>
          <w:tcPr>
            <w:tcW w:w="640" w:type="dxa"/>
            <w:shd w:val="clear" w:color="auto" w:fill="EAF4EE"/>
            <w:tcMar>
              <w:top w:w="80" w:type="dxa"/>
              <w:left w:w="120" w:type="dxa"/>
              <w:bottom w:w="80" w:type="dxa"/>
              <w:right w:w="120" w:type="dxa"/>
            </w:tcMar>
            <w:vAlign w:val="center"/>
          </w:tcPr>
          <w:p w14:paraId="318DF06F" w14:textId="77777777" w:rsidR="00894DA9" w:rsidRDefault="00000000">
            <w:pPr>
              <w:spacing w:after="0" w:line="240" w:lineRule="auto"/>
              <w:jc w:val="center"/>
            </w:pPr>
            <w:r>
              <w:rPr>
                <w:rFonts w:ascii="Calibri" w:hAnsi="Calibri"/>
                <w:b/>
                <w:color w:val="1F5E3B"/>
                <w:sz w:val="18"/>
              </w:rPr>
              <w:t>X</w:t>
            </w:r>
          </w:p>
        </w:tc>
        <w:tc>
          <w:tcPr>
            <w:tcW w:w="6550" w:type="dxa"/>
            <w:tcMar>
              <w:top w:w="80" w:type="dxa"/>
              <w:left w:w="120" w:type="dxa"/>
              <w:bottom w:w="80" w:type="dxa"/>
              <w:right w:w="120" w:type="dxa"/>
            </w:tcMar>
            <w:vAlign w:val="center"/>
          </w:tcPr>
          <w:p w14:paraId="2D4DA126" w14:textId="77777777" w:rsidR="00894DA9" w:rsidRPr="00722F33" w:rsidRDefault="00000000">
            <w:pPr>
              <w:spacing w:after="0" w:line="240" w:lineRule="auto"/>
              <w:rPr>
                <w:lang w:val="es-PE"/>
              </w:rPr>
            </w:pPr>
            <w:proofErr w:type="spellStart"/>
            <w:r w:rsidRPr="00722F33">
              <w:rPr>
                <w:rFonts w:ascii="Calibri" w:hAnsi="Calibri"/>
                <w:color w:val="243447"/>
                <w:sz w:val="14"/>
                <w:lang w:val="es-PE"/>
              </w:rPr>
              <w:t>Párrs</w:t>
            </w:r>
            <w:proofErr w:type="spellEnd"/>
            <w:r w:rsidRPr="00722F33">
              <w:rPr>
                <w:rFonts w:ascii="Calibri" w:hAnsi="Calibri"/>
                <w:color w:val="243447"/>
                <w:sz w:val="14"/>
                <w:lang w:val="es-PE"/>
              </w:rPr>
              <w:t>. 1–2: la ansiedad es el eje exclusivo y se diferencia de otros problemas emocionales.</w:t>
            </w:r>
          </w:p>
        </w:tc>
      </w:tr>
      <w:tr w:rsidR="00894DA9" w:rsidRPr="00722F33" w14:paraId="7132A1A4" w14:textId="77777777">
        <w:trPr>
          <w:cantSplit/>
        </w:trPr>
        <w:tc>
          <w:tcPr>
            <w:tcW w:w="430" w:type="dxa"/>
            <w:tcMar>
              <w:top w:w="80" w:type="dxa"/>
              <w:left w:w="120" w:type="dxa"/>
              <w:bottom w:w="80" w:type="dxa"/>
              <w:right w:w="120" w:type="dxa"/>
            </w:tcMar>
            <w:vAlign w:val="center"/>
          </w:tcPr>
          <w:p w14:paraId="32D2EDED" w14:textId="77777777" w:rsidR="00894DA9" w:rsidRDefault="00000000">
            <w:pPr>
              <w:spacing w:after="0" w:line="240" w:lineRule="auto"/>
              <w:jc w:val="center"/>
            </w:pPr>
            <w:r>
              <w:rPr>
                <w:rFonts w:ascii="Calibri" w:hAnsi="Calibri"/>
                <w:b/>
                <w:color w:val="243447"/>
                <w:sz w:val="14"/>
              </w:rPr>
              <w:t>2</w:t>
            </w:r>
          </w:p>
        </w:tc>
        <w:tc>
          <w:tcPr>
            <w:tcW w:w="3750" w:type="dxa"/>
            <w:tcMar>
              <w:top w:w="80" w:type="dxa"/>
              <w:left w:w="120" w:type="dxa"/>
              <w:bottom w:w="80" w:type="dxa"/>
              <w:right w:w="120" w:type="dxa"/>
            </w:tcMar>
            <w:vAlign w:val="center"/>
          </w:tcPr>
          <w:p w14:paraId="60FE5A9D" w14:textId="77777777" w:rsidR="00894DA9" w:rsidRPr="00722F33" w:rsidRDefault="00000000">
            <w:pPr>
              <w:spacing w:after="0" w:line="240" w:lineRule="auto"/>
              <w:rPr>
                <w:lang w:val="es-PE"/>
              </w:rPr>
            </w:pPr>
            <w:r w:rsidRPr="00722F33">
              <w:rPr>
                <w:rFonts w:ascii="Calibri" w:hAnsi="Calibri"/>
                <w:color w:val="243447"/>
                <w:sz w:val="14"/>
                <w:lang w:val="es-PE"/>
              </w:rPr>
              <w:t>Delimita desde el inicio a estudiantes de quinto de secundaria y explica las exigencias propias de esta etapa (académicas, vocacionales, familiares o sociales).</w:t>
            </w:r>
          </w:p>
        </w:tc>
        <w:tc>
          <w:tcPr>
            <w:tcW w:w="640" w:type="dxa"/>
            <w:shd w:val="clear" w:color="auto" w:fill="EAF4EE"/>
            <w:tcMar>
              <w:top w:w="80" w:type="dxa"/>
              <w:left w:w="120" w:type="dxa"/>
              <w:bottom w:w="80" w:type="dxa"/>
              <w:right w:w="120" w:type="dxa"/>
            </w:tcMar>
            <w:vAlign w:val="center"/>
          </w:tcPr>
          <w:p w14:paraId="18E717BF" w14:textId="77777777" w:rsidR="00894DA9" w:rsidRDefault="00000000">
            <w:pPr>
              <w:spacing w:after="0" w:line="240" w:lineRule="auto"/>
              <w:jc w:val="center"/>
            </w:pPr>
            <w:r>
              <w:rPr>
                <w:rFonts w:ascii="Calibri" w:hAnsi="Calibri"/>
                <w:b/>
                <w:color w:val="1F5E3B"/>
                <w:sz w:val="18"/>
              </w:rPr>
              <w:t>X</w:t>
            </w:r>
          </w:p>
        </w:tc>
        <w:tc>
          <w:tcPr>
            <w:tcW w:w="6550" w:type="dxa"/>
            <w:tcMar>
              <w:top w:w="80" w:type="dxa"/>
              <w:left w:w="120" w:type="dxa"/>
              <w:bottom w:w="80" w:type="dxa"/>
              <w:right w:w="120" w:type="dxa"/>
            </w:tcMar>
            <w:vAlign w:val="center"/>
          </w:tcPr>
          <w:p w14:paraId="7486C4A3" w14:textId="77777777" w:rsidR="00894DA9" w:rsidRPr="00722F33" w:rsidRDefault="00000000">
            <w:pPr>
              <w:spacing w:after="0" w:line="240" w:lineRule="auto"/>
              <w:rPr>
                <w:lang w:val="es-PE"/>
              </w:rPr>
            </w:pPr>
            <w:r w:rsidRPr="00722F33">
              <w:rPr>
                <w:rFonts w:ascii="Calibri" w:hAnsi="Calibri"/>
                <w:color w:val="243447"/>
                <w:sz w:val="14"/>
                <w:lang w:val="es-PE"/>
              </w:rPr>
              <w:t>Párr. 1: delimita literalmente a estudiantes de quinto de secundaria de Villa El Salvador y explica demandas académicas, vocacionales, familiares y sociales.</w:t>
            </w:r>
          </w:p>
        </w:tc>
      </w:tr>
      <w:tr w:rsidR="00894DA9" w:rsidRPr="00722F33" w14:paraId="2340C0BA" w14:textId="77777777">
        <w:trPr>
          <w:cantSplit/>
        </w:trPr>
        <w:tc>
          <w:tcPr>
            <w:tcW w:w="430" w:type="dxa"/>
            <w:tcMar>
              <w:top w:w="80" w:type="dxa"/>
              <w:left w:w="120" w:type="dxa"/>
              <w:bottom w:w="80" w:type="dxa"/>
              <w:right w:w="120" w:type="dxa"/>
            </w:tcMar>
            <w:vAlign w:val="center"/>
          </w:tcPr>
          <w:p w14:paraId="3E6FF74E" w14:textId="77777777" w:rsidR="00894DA9" w:rsidRDefault="00000000">
            <w:pPr>
              <w:spacing w:after="0" w:line="240" w:lineRule="auto"/>
              <w:jc w:val="center"/>
            </w:pPr>
            <w:r>
              <w:rPr>
                <w:rFonts w:ascii="Calibri" w:hAnsi="Calibri"/>
                <w:b/>
                <w:color w:val="243447"/>
                <w:sz w:val="14"/>
              </w:rPr>
              <w:t>3</w:t>
            </w:r>
          </w:p>
        </w:tc>
        <w:tc>
          <w:tcPr>
            <w:tcW w:w="3750" w:type="dxa"/>
            <w:tcMar>
              <w:top w:w="80" w:type="dxa"/>
              <w:left w:w="120" w:type="dxa"/>
              <w:bottom w:w="80" w:type="dxa"/>
              <w:right w:w="120" w:type="dxa"/>
            </w:tcMar>
            <w:vAlign w:val="center"/>
          </w:tcPr>
          <w:p w14:paraId="686F465F" w14:textId="77777777" w:rsidR="00894DA9" w:rsidRPr="00722F33" w:rsidRDefault="00000000">
            <w:pPr>
              <w:spacing w:after="0" w:line="240" w:lineRule="auto"/>
              <w:rPr>
                <w:lang w:val="es-PE"/>
              </w:rPr>
            </w:pPr>
            <w:r w:rsidRPr="00722F33">
              <w:rPr>
                <w:rFonts w:ascii="Calibri" w:hAnsi="Calibri"/>
                <w:color w:val="243447"/>
                <w:sz w:val="14"/>
                <w:lang w:val="es-PE"/>
              </w:rPr>
              <w:t>Define la ansiedad con sustento científico pertinente y diferencia su función adaptativa de las manifestaciones que generan malestar o interferencia.</w:t>
            </w:r>
          </w:p>
        </w:tc>
        <w:tc>
          <w:tcPr>
            <w:tcW w:w="640" w:type="dxa"/>
            <w:shd w:val="clear" w:color="auto" w:fill="EAF4EE"/>
            <w:tcMar>
              <w:top w:w="80" w:type="dxa"/>
              <w:left w:w="120" w:type="dxa"/>
              <w:bottom w:w="80" w:type="dxa"/>
              <w:right w:w="120" w:type="dxa"/>
            </w:tcMar>
            <w:vAlign w:val="center"/>
          </w:tcPr>
          <w:p w14:paraId="0FEB9EF4" w14:textId="77777777" w:rsidR="00894DA9" w:rsidRDefault="00000000">
            <w:pPr>
              <w:spacing w:after="0" w:line="240" w:lineRule="auto"/>
              <w:jc w:val="center"/>
            </w:pPr>
            <w:r>
              <w:rPr>
                <w:rFonts w:ascii="Calibri" w:hAnsi="Calibri"/>
                <w:b/>
                <w:color w:val="1F5E3B"/>
                <w:sz w:val="18"/>
              </w:rPr>
              <w:t>X</w:t>
            </w:r>
          </w:p>
        </w:tc>
        <w:tc>
          <w:tcPr>
            <w:tcW w:w="6550" w:type="dxa"/>
            <w:tcMar>
              <w:top w:w="80" w:type="dxa"/>
              <w:left w:w="120" w:type="dxa"/>
              <w:bottom w:w="80" w:type="dxa"/>
              <w:right w:w="120" w:type="dxa"/>
            </w:tcMar>
            <w:vAlign w:val="center"/>
          </w:tcPr>
          <w:p w14:paraId="5D3DB474" w14:textId="77777777" w:rsidR="00894DA9" w:rsidRPr="00722F33" w:rsidRDefault="00000000">
            <w:pPr>
              <w:spacing w:after="0" w:line="240" w:lineRule="auto"/>
              <w:rPr>
                <w:lang w:val="es-PE"/>
              </w:rPr>
            </w:pPr>
            <w:r w:rsidRPr="00722F33">
              <w:rPr>
                <w:rFonts w:ascii="Calibri" w:hAnsi="Calibri"/>
                <w:color w:val="243447"/>
                <w:sz w:val="14"/>
                <w:lang w:val="es-PE"/>
              </w:rPr>
              <w:t>Párr. 2: define la ansiedad como anticipación/alerta y diferencia su función adaptativa de la interferencia problemática.</w:t>
            </w:r>
          </w:p>
        </w:tc>
      </w:tr>
      <w:tr w:rsidR="00894DA9" w:rsidRPr="00722F33" w14:paraId="03D69A7F" w14:textId="77777777">
        <w:trPr>
          <w:cantSplit/>
        </w:trPr>
        <w:tc>
          <w:tcPr>
            <w:tcW w:w="430" w:type="dxa"/>
            <w:tcMar>
              <w:top w:w="80" w:type="dxa"/>
              <w:left w:w="120" w:type="dxa"/>
              <w:bottom w:w="80" w:type="dxa"/>
              <w:right w:w="120" w:type="dxa"/>
            </w:tcMar>
            <w:vAlign w:val="center"/>
          </w:tcPr>
          <w:p w14:paraId="062E5958" w14:textId="77777777" w:rsidR="00894DA9" w:rsidRDefault="00000000">
            <w:pPr>
              <w:spacing w:after="0" w:line="240" w:lineRule="auto"/>
              <w:jc w:val="center"/>
            </w:pPr>
            <w:r>
              <w:rPr>
                <w:rFonts w:ascii="Calibri" w:hAnsi="Calibri"/>
                <w:b/>
                <w:color w:val="243447"/>
                <w:sz w:val="14"/>
              </w:rPr>
              <w:t>4</w:t>
            </w:r>
          </w:p>
        </w:tc>
        <w:tc>
          <w:tcPr>
            <w:tcW w:w="3750" w:type="dxa"/>
            <w:tcMar>
              <w:top w:w="80" w:type="dxa"/>
              <w:left w:w="120" w:type="dxa"/>
              <w:bottom w:w="80" w:type="dxa"/>
              <w:right w:w="120" w:type="dxa"/>
            </w:tcMar>
            <w:vAlign w:val="center"/>
          </w:tcPr>
          <w:p w14:paraId="3B263A2B" w14:textId="77777777" w:rsidR="00894DA9" w:rsidRPr="00722F33" w:rsidRDefault="00000000">
            <w:pPr>
              <w:spacing w:after="0" w:line="240" w:lineRule="auto"/>
              <w:rPr>
                <w:lang w:val="es-PE"/>
              </w:rPr>
            </w:pPr>
            <w:r w:rsidRPr="00722F33">
              <w:rPr>
                <w:rFonts w:ascii="Calibri" w:hAnsi="Calibri"/>
                <w:color w:val="243447"/>
                <w:sz w:val="14"/>
                <w:lang w:val="es-PE"/>
              </w:rPr>
              <w:t>Describe manifestaciones relevantes de la ansiedad en adolescentes (cognitivas, emocionales, somáticas y/o conductuales).</w:t>
            </w:r>
          </w:p>
        </w:tc>
        <w:tc>
          <w:tcPr>
            <w:tcW w:w="640" w:type="dxa"/>
            <w:shd w:val="clear" w:color="auto" w:fill="EAF4EE"/>
            <w:tcMar>
              <w:top w:w="80" w:type="dxa"/>
              <w:left w:w="120" w:type="dxa"/>
              <w:bottom w:w="80" w:type="dxa"/>
              <w:right w:w="120" w:type="dxa"/>
            </w:tcMar>
            <w:vAlign w:val="center"/>
          </w:tcPr>
          <w:p w14:paraId="44925C1D" w14:textId="77777777" w:rsidR="00894DA9" w:rsidRDefault="00000000">
            <w:pPr>
              <w:spacing w:after="0" w:line="240" w:lineRule="auto"/>
              <w:jc w:val="center"/>
            </w:pPr>
            <w:r>
              <w:rPr>
                <w:rFonts w:ascii="Calibri" w:hAnsi="Calibri"/>
                <w:b/>
                <w:color w:val="1F5E3B"/>
                <w:sz w:val="18"/>
              </w:rPr>
              <w:t>X</w:t>
            </w:r>
          </w:p>
        </w:tc>
        <w:tc>
          <w:tcPr>
            <w:tcW w:w="6550" w:type="dxa"/>
            <w:tcMar>
              <w:top w:w="80" w:type="dxa"/>
              <w:left w:w="120" w:type="dxa"/>
              <w:bottom w:w="80" w:type="dxa"/>
              <w:right w:w="120" w:type="dxa"/>
            </w:tcMar>
            <w:vAlign w:val="center"/>
          </w:tcPr>
          <w:p w14:paraId="3DE48BDE" w14:textId="77777777" w:rsidR="00894DA9" w:rsidRPr="00722F33" w:rsidRDefault="00000000">
            <w:pPr>
              <w:spacing w:after="0" w:line="240" w:lineRule="auto"/>
              <w:rPr>
                <w:lang w:val="es-PE"/>
              </w:rPr>
            </w:pPr>
            <w:r w:rsidRPr="00722F33">
              <w:rPr>
                <w:rFonts w:ascii="Calibri" w:hAnsi="Calibri"/>
                <w:color w:val="243447"/>
                <w:sz w:val="14"/>
                <w:lang w:val="es-PE"/>
              </w:rPr>
              <w:t>Párr. 2: organiza manifestaciones cognitivas, emocionales, somáticas y conductuales.</w:t>
            </w:r>
          </w:p>
        </w:tc>
      </w:tr>
      <w:tr w:rsidR="00894DA9" w:rsidRPr="00722F33" w14:paraId="7EAF3078" w14:textId="77777777">
        <w:trPr>
          <w:cantSplit/>
        </w:trPr>
        <w:tc>
          <w:tcPr>
            <w:tcW w:w="430" w:type="dxa"/>
            <w:tcMar>
              <w:top w:w="80" w:type="dxa"/>
              <w:left w:w="120" w:type="dxa"/>
              <w:bottom w:w="80" w:type="dxa"/>
              <w:right w:w="120" w:type="dxa"/>
            </w:tcMar>
            <w:vAlign w:val="center"/>
          </w:tcPr>
          <w:p w14:paraId="5AF19B41" w14:textId="77777777" w:rsidR="00894DA9" w:rsidRDefault="00000000">
            <w:pPr>
              <w:spacing w:after="0" w:line="240" w:lineRule="auto"/>
              <w:jc w:val="center"/>
            </w:pPr>
            <w:r>
              <w:rPr>
                <w:rFonts w:ascii="Calibri" w:hAnsi="Calibri"/>
                <w:b/>
                <w:color w:val="243447"/>
                <w:sz w:val="14"/>
              </w:rPr>
              <w:t>5</w:t>
            </w:r>
          </w:p>
        </w:tc>
        <w:tc>
          <w:tcPr>
            <w:tcW w:w="3750" w:type="dxa"/>
            <w:tcMar>
              <w:top w:w="80" w:type="dxa"/>
              <w:left w:w="120" w:type="dxa"/>
              <w:bottom w:w="80" w:type="dxa"/>
              <w:right w:w="120" w:type="dxa"/>
            </w:tcMar>
            <w:vAlign w:val="center"/>
          </w:tcPr>
          <w:p w14:paraId="01DDF165" w14:textId="77777777" w:rsidR="00894DA9" w:rsidRPr="00722F33" w:rsidRDefault="00000000">
            <w:pPr>
              <w:spacing w:after="0" w:line="240" w:lineRule="auto"/>
              <w:rPr>
                <w:lang w:val="es-PE"/>
              </w:rPr>
            </w:pPr>
            <w:r w:rsidRPr="00722F33">
              <w:rPr>
                <w:rFonts w:ascii="Calibri" w:hAnsi="Calibri"/>
                <w:color w:val="243447"/>
                <w:sz w:val="14"/>
                <w:lang w:val="es-PE"/>
              </w:rPr>
              <w:t>Explica la magnitud o relevancia del problema para la población escolar adolescente y mantiene el foco en el grupo de estudio.</w:t>
            </w:r>
          </w:p>
        </w:tc>
        <w:tc>
          <w:tcPr>
            <w:tcW w:w="640" w:type="dxa"/>
            <w:shd w:val="clear" w:color="auto" w:fill="EAF4EE"/>
            <w:tcMar>
              <w:top w:w="80" w:type="dxa"/>
              <w:left w:w="120" w:type="dxa"/>
              <w:bottom w:w="80" w:type="dxa"/>
              <w:right w:w="120" w:type="dxa"/>
            </w:tcMar>
            <w:vAlign w:val="center"/>
          </w:tcPr>
          <w:p w14:paraId="3A826EEE" w14:textId="77777777" w:rsidR="00894DA9" w:rsidRDefault="00000000">
            <w:pPr>
              <w:spacing w:after="0" w:line="240" w:lineRule="auto"/>
              <w:jc w:val="center"/>
            </w:pPr>
            <w:r>
              <w:rPr>
                <w:rFonts w:ascii="Calibri" w:hAnsi="Calibri"/>
                <w:b/>
                <w:color w:val="1F5E3B"/>
                <w:sz w:val="18"/>
              </w:rPr>
              <w:t>X</w:t>
            </w:r>
          </w:p>
        </w:tc>
        <w:tc>
          <w:tcPr>
            <w:tcW w:w="6550" w:type="dxa"/>
            <w:tcMar>
              <w:top w:w="80" w:type="dxa"/>
              <w:left w:w="120" w:type="dxa"/>
              <w:bottom w:w="80" w:type="dxa"/>
              <w:right w:w="120" w:type="dxa"/>
            </w:tcMar>
            <w:vAlign w:val="center"/>
          </w:tcPr>
          <w:p w14:paraId="38E685FE" w14:textId="77777777" w:rsidR="00894DA9" w:rsidRPr="00722F33" w:rsidRDefault="00000000">
            <w:pPr>
              <w:spacing w:after="0" w:line="240" w:lineRule="auto"/>
              <w:rPr>
                <w:lang w:val="es-PE"/>
              </w:rPr>
            </w:pPr>
            <w:proofErr w:type="spellStart"/>
            <w:r w:rsidRPr="00722F33">
              <w:rPr>
                <w:rFonts w:ascii="Calibri" w:hAnsi="Calibri"/>
                <w:color w:val="243447"/>
                <w:sz w:val="14"/>
                <w:lang w:val="es-PE"/>
              </w:rPr>
              <w:t>Párrs</w:t>
            </w:r>
            <w:proofErr w:type="spellEnd"/>
            <w:r w:rsidRPr="00722F33">
              <w:rPr>
                <w:rFonts w:ascii="Calibri" w:hAnsi="Calibri"/>
                <w:color w:val="243447"/>
                <w:sz w:val="14"/>
                <w:lang w:val="es-PE"/>
              </w:rPr>
              <w:t>. 1–4: explica la relevancia para adolescentes, con cifras específicas del grupo de 15 a 19 años.</w:t>
            </w:r>
          </w:p>
        </w:tc>
      </w:tr>
      <w:tr w:rsidR="00894DA9" w14:paraId="2CA2A32C" w14:textId="77777777">
        <w:trPr>
          <w:cantSplit/>
        </w:trPr>
        <w:tc>
          <w:tcPr>
            <w:tcW w:w="11370" w:type="dxa"/>
            <w:gridSpan w:val="4"/>
            <w:shd w:val="clear" w:color="auto" w:fill="E8EEF5"/>
            <w:tcMar>
              <w:top w:w="80" w:type="dxa"/>
              <w:left w:w="120" w:type="dxa"/>
              <w:bottom w:w="80" w:type="dxa"/>
              <w:right w:w="120" w:type="dxa"/>
            </w:tcMar>
          </w:tcPr>
          <w:p w14:paraId="21E36B93" w14:textId="77777777" w:rsidR="00894DA9" w:rsidRDefault="00000000">
            <w:pPr>
              <w:spacing w:after="0" w:line="240" w:lineRule="auto"/>
            </w:pPr>
            <w:r>
              <w:rPr>
                <w:rFonts w:ascii="Calibri" w:hAnsi="Calibri"/>
                <w:b/>
                <w:color w:val="1F4D78"/>
                <w:sz w:val="16"/>
              </w:rPr>
              <w:t>B. Situación internacional</w:t>
            </w:r>
          </w:p>
        </w:tc>
      </w:tr>
      <w:tr w:rsidR="00894DA9" w:rsidRPr="00722F33" w14:paraId="50A27898" w14:textId="77777777">
        <w:trPr>
          <w:cantSplit/>
        </w:trPr>
        <w:tc>
          <w:tcPr>
            <w:tcW w:w="430" w:type="dxa"/>
            <w:tcMar>
              <w:top w:w="80" w:type="dxa"/>
              <w:left w:w="120" w:type="dxa"/>
              <w:bottom w:w="80" w:type="dxa"/>
              <w:right w:w="120" w:type="dxa"/>
            </w:tcMar>
            <w:vAlign w:val="center"/>
          </w:tcPr>
          <w:p w14:paraId="765A8E5F" w14:textId="77777777" w:rsidR="00894DA9" w:rsidRDefault="00000000">
            <w:pPr>
              <w:spacing w:after="0" w:line="240" w:lineRule="auto"/>
              <w:jc w:val="center"/>
            </w:pPr>
            <w:r>
              <w:rPr>
                <w:rFonts w:ascii="Calibri" w:hAnsi="Calibri"/>
                <w:b/>
                <w:color w:val="243447"/>
                <w:sz w:val="14"/>
              </w:rPr>
              <w:t>6</w:t>
            </w:r>
          </w:p>
        </w:tc>
        <w:tc>
          <w:tcPr>
            <w:tcW w:w="3750" w:type="dxa"/>
            <w:tcMar>
              <w:top w:w="80" w:type="dxa"/>
              <w:left w:w="120" w:type="dxa"/>
              <w:bottom w:w="80" w:type="dxa"/>
              <w:right w:w="120" w:type="dxa"/>
            </w:tcMar>
            <w:vAlign w:val="center"/>
          </w:tcPr>
          <w:p w14:paraId="0B14C5FB" w14:textId="77777777" w:rsidR="00894DA9" w:rsidRPr="00722F33" w:rsidRDefault="00000000">
            <w:pPr>
              <w:spacing w:after="0" w:line="240" w:lineRule="auto"/>
              <w:rPr>
                <w:lang w:val="es-PE"/>
              </w:rPr>
            </w:pPr>
            <w:r w:rsidRPr="00722F33">
              <w:rPr>
                <w:rFonts w:ascii="Calibri" w:hAnsi="Calibri"/>
                <w:color w:val="243447"/>
                <w:sz w:val="14"/>
                <w:lang w:val="es-PE"/>
              </w:rPr>
              <w:t>Expone la situación mundial de la ansiedad mediante datos, tendencias o hallazgos empíricos identificables.</w:t>
            </w:r>
          </w:p>
        </w:tc>
        <w:tc>
          <w:tcPr>
            <w:tcW w:w="640" w:type="dxa"/>
            <w:shd w:val="clear" w:color="auto" w:fill="EAF4EE"/>
            <w:tcMar>
              <w:top w:w="80" w:type="dxa"/>
              <w:left w:w="120" w:type="dxa"/>
              <w:bottom w:w="80" w:type="dxa"/>
              <w:right w:w="120" w:type="dxa"/>
            </w:tcMar>
            <w:vAlign w:val="center"/>
          </w:tcPr>
          <w:p w14:paraId="36FBDE37" w14:textId="77777777" w:rsidR="00894DA9" w:rsidRDefault="00000000">
            <w:pPr>
              <w:spacing w:after="0" w:line="240" w:lineRule="auto"/>
              <w:jc w:val="center"/>
            </w:pPr>
            <w:r>
              <w:rPr>
                <w:rFonts w:ascii="Calibri" w:hAnsi="Calibri"/>
                <w:b/>
                <w:color w:val="1F5E3B"/>
                <w:sz w:val="18"/>
              </w:rPr>
              <w:t>X</w:t>
            </w:r>
          </w:p>
        </w:tc>
        <w:tc>
          <w:tcPr>
            <w:tcW w:w="6550" w:type="dxa"/>
            <w:tcMar>
              <w:top w:w="80" w:type="dxa"/>
              <w:left w:w="120" w:type="dxa"/>
              <w:bottom w:w="80" w:type="dxa"/>
              <w:right w:w="120" w:type="dxa"/>
            </w:tcMar>
            <w:vAlign w:val="center"/>
          </w:tcPr>
          <w:p w14:paraId="7788A803" w14:textId="77777777" w:rsidR="00894DA9" w:rsidRPr="00722F33" w:rsidRDefault="00000000">
            <w:pPr>
              <w:spacing w:after="0" w:line="240" w:lineRule="auto"/>
              <w:rPr>
                <w:lang w:val="es-PE"/>
              </w:rPr>
            </w:pPr>
            <w:r w:rsidRPr="00722F33">
              <w:rPr>
                <w:rFonts w:ascii="Calibri" w:hAnsi="Calibri"/>
                <w:color w:val="243447"/>
                <w:sz w:val="14"/>
                <w:lang w:val="es-PE"/>
              </w:rPr>
              <w:t>Párr. 3: presenta prevalencia mundial adolescente y magnitud global con fuente, año y población.</w:t>
            </w:r>
          </w:p>
        </w:tc>
      </w:tr>
      <w:tr w:rsidR="00894DA9" w:rsidRPr="00722F33" w14:paraId="068C9C2E" w14:textId="77777777">
        <w:trPr>
          <w:cantSplit/>
        </w:trPr>
        <w:tc>
          <w:tcPr>
            <w:tcW w:w="430" w:type="dxa"/>
            <w:tcMar>
              <w:top w:w="80" w:type="dxa"/>
              <w:left w:w="120" w:type="dxa"/>
              <w:bottom w:w="80" w:type="dxa"/>
              <w:right w:w="120" w:type="dxa"/>
            </w:tcMar>
            <w:vAlign w:val="center"/>
          </w:tcPr>
          <w:p w14:paraId="03F942A7" w14:textId="77777777" w:rsidR="00894DA9" w:rsidRDefault="00000000">
            <w:pPr>
              <w:spacing w:after="0" w:line="240" w:lineRule="auto"/>
              <w:jc w:val="center"/>
            </w:pPr>
            <w:r>
              <w:rPr>
                <w:rFonts w:ascii="Calibri" w:hAnsi="Calibri"/>
                <w:b/>
                <w:color w:val="243447"/>
                <w:sz w:val="14"/>
              </w:rPr>
              <w:t>7</w:t>
            </w:r>
          </w:p>
        </w:tc>
        <w:tc>
          <w:tcPr>
            <w:tcW w:w="3750" w:type="dxa"/>
            <w:tcMar>
              <w:top w:w="80" w:type="dxa"/>
              <w:left w:w="120" w:type="dxa"/>
              <w:bottom w:w="80" w:type="dxa"/>
              <w:right w:w="120" w:type="dxa"/>
            </w:tcMar>
            <w:vAlign w:val="center"/>
          </w:tcPr>
          <w:p w14:paraId="0C7EB592" w14:textId="77777777" w:rsidR="00894DA9" w:rsidRPr="00722F33" w:rsidRDefault="00000000">
            <w:pPr>
              <w:spacing w:after="0" w:line="240" w:lineRule="auto"/>
              <w:rPr>
                <w:lang w:val="es-PE"/>
              </w:rPr>
            </w:pPr>
            <w:r w:rsidRPr="00722F33">
              <w:rPr>
                <w:rFonts w:ascii="Calibri" w:hAnsi="Calibri"/>
                <w:color w:val="243447"/>
                <w:sz w:val="14"/>
                <w:lang w:val="es-PE"/>
              </w:rPr>
              <w:t>Incluye evidencia internacional referida específicamente a adolescentes o estudiantes de educación secundaria.</w:t>
            </w:r>
          </w:p>
        </w:tc>
        <w:tc>
          <w:tcPr>
            <w:tcW w:w="640" w:type="dxa"/>
            <w:shd w:val="clear" w:color="auto" w:fill="EAF4EE"/>
            <w:tcMar>
              <w:top w:w="80" w:type="dxa"/>
              <w:left w:w="120" w:type="dxa"/>
              <w:bottom w:w="80" w:type="dxa"/>
              <w:right w:w="120" w:type="dxa"/>
            </w:tcMar>
            <w:vAlign w:val="center"/>
          </w:tcPr>
          <w:p w14:paraId="74085EA7" w14:textId="77777777" w:rsidR="00894DA9" w:rsidRDefault="00000000">
            <w:pPr>
              <w:spacing w:after="0" w:line="240" w:lineRule="auto"/>
              <w:jc w:val="center"/>
            </w:pPr>
            <w:r>
              <w:rPr>
                <w:rFonts w:ascii="Calibri" w:hAnsi="Calibri"/>
                <w:b/>
                <w:color w:val="1F5E3B"/>
                <w:sz w:val="18"/>
              </w:rPr>
              <w:t>X</w:t>
            </w:r>
          </w:p>
        </w:tc>
        <w:tc>
          <w:tcPr>
            <w:tcW w:w="6550" w:type="dxa"/>
            <w:tcMar>
              <w:top w:w="80" w:type="dxa"/>
              <w:left w:w="120" w:type="dxa"/>
              <w:bottom w:w="80" w:type="dxa"/>
              <w:right w:w="120" w:type="dxa"/>
            </w:tcMar>
            <w:vAlign w:val="center"/>
          </w:tcPr>
          <w:p w14:paraId="00242ADA" w14:textId="77777777" w:rsidR="00894DA9" w:rsidRPr="00722F33" w:rsidRDefault="00000000">
            <w:pPr>
              <w:spacing w:after="0" w:line="240" w:lineRule="auto"/>
              <w:rPr>
                <w:lang w:val="es-PE"/>
              </w:rPr>
            </w:pPr>
            <w:proofErr w:type="spellStart"/>
            <w:r w:rsidRPr="00722F33">
              <w:rPr>
                <w:rFonts w:ascii="Calibri" w:hAnsi="Calibri"/>
                <w:color w:val="243447"/>
                <w:sz w:val="14"/>
                <w:lang w:val="es-PE"/>
              </w:rPr>
              <w:t>Párrs</w:t>
            </w:r>
            <w:proofErr w:type="spellEnd"/>
            <w:r w:rsidRPr="00722F33">
              <w:rPr>
                <w:rFonts w:ascii="Calibri" w:hAnsi="Calibri"/>
                <w:color w:val="243447"/>
                <w:sz w:val="14"/>
                <w:lang w:val="es-PE"/>
              </w:rPr>
              <w:t>. 3–4: usa evidencia específica de adolescentes y conecta con asistencia, trabajo escolar y rendimiento.</w:t>
            </w:r>
          </w:p>
        </w:tc>
      </w:tr>
      <w:tr w:rsidR="00894DA9" w:rsidRPr="00722F33" w14:paraId="0D57FC14" w14:textId="77777777">
        <w:trPr>
          <w:cantSplit/>
        </w:trPr>
        <w:tc>
          <w:tcPr>
            <w:tcW w:w="430" w:type="dxa"/>
            <w:tcMar>
              <w:top w:w="80" w:type="dxa"/>
              <w:left w:w="120" w:type="dxa"/>
              <w:bottom w:w="80" w:type="dxa"/>
              <w:right w:w="120" w:type="dxa"/>
            </w:tcMar>
            <w:vAlign w:val="center"/>
          </w:tcPr>
          <w:p w14:paraId="5B503FEA" w14:textId="77777777" w:rsidR="00894DA9" w:rsidRDefault="00000000">
            <w:pPr>
              <w:spacing w:after="0" w:line="240" w:lineRule="auto"/>
              <w:jc w:val="center"/>
            </w:pPr>
            <w:r>
              <w:rPr>
                <w:rFonts w:ascii="Calibri" w:hAnsi="Calibri"/>
                <w:b/>
                <w:color w:val="243447"/>
                <w:sz w:val="14"/>
              </w:rPr>
              <w:t>8</w:t>
            </w:r>
          </w:p>
        </w:tc>
        <w:tc>
          <w:tcPr>
            <w:tcW w:w="3750" w:type="dxa"/>
            <w:tcMar>
              <w:top w:w="80" w:type="dxa"/>
              <w:left w:w="120" w:type="dxa"/>
              <w:bottom w:w="80" w:type="dxa"/>
              <w:right w:w="120" w:type="dxa"/>
            </w:tcMar>
            <w:vAlign w:val="center"/>
          </w:tcPr>
          <w:p w14:paraId="30B0ECDB" w14:textId="77777777" w:rsidR="00894DA9" w:rsidRPr="00722F33" w:rsidRDefault="00000000">
            <w:pPr>
              <w:spacing w:after="0" w:line="240" w:lineRule="auto"/>
              <w:rPr>
                <w:lang w:val="es-PE"/>
              </w:rPr>
            </w:pPr>
            <w:r w:rsidRPr="00722F33">
              <w:rPr>
                <w:rFonts w:ascii="Calibri" w:hAnsi="Calibri"/>
                <w:color w:val="243447"/>
                <w:sz w:val="14"/>
                <w:lang w:val="es-PE"/>
              </w:rPr>
              <w:t>Emplea fuentes internacionales autorizadas y pertinentes, indicando con claridad año, ámbito y dato reportado.</w:t>
            </w:r>
          </w:p>
        </w:tc>
        <w:tc>
          <w:tcPr>
            <w:tcW w:w="640" w:type="dxa"/>
            <w:shd w:val="clear" w:color="auto" w:fill="EAF4EE"/>
            <w:tcMar>
              <w:top w:w="80" w:type="dxa"/>
              <w:left w:w="120" w:type="dxa"/>
              <w:bottom w:w="80" w:type="dxa"/>
              <w:right w:w="120" w:type="dxa"/>
            </w:tcMar>
            <w:vAlign w:val="center"/>
          </w:tcPr>
          <w:p w14:paraId="0E7B5006" w14:textId="77777777" w:rsidR="00894DA9" w:rsidRDefault="00000000">
            <w:pPr>
              <w:spacing w:after="0" w:line="240" w:lineRule="auto"/>
              <w:jc w:val="center"/>
            </w:pPr>
            <w:r>
              <w:rPr>
                <w:rFonts w:ascii="Calibri" w:hAnsi="Calibri"/>
                <w:b/>
                <w:color w:val="1F5E3B"/>
                <w:sz w:val="18"/>
              </w:rPr>
              <w:t>X</w:t>
            </w:r>
          </w:p>
        </w:tc>
        <w:tc>
          <w:tcPr>
            <w:tcW w:w="6550" w:type="dxa"/>
            <w:tcMar>
              <w:top w:w="80" w:type="dxa"/>
              <w:left w:w="120" w:type="dxa"/>
              <w:bottom w:w="80" w:type="dxa"/>
              <w:right w:w="120" w:type="dxa"/>
            </w:tcMar>
            <w:vAlign w:val="center"/>
          </w:tcPr>
          <w:p w14:paraId="2BB9AE14" w14:textId="77777777" w:rsidR="00894DA9" w:rsidRPr="00722F33" w:rsidRDefault="00000000">
            <w:pPr>
              <w:spacing w:after="0" w:line="240" w:lineRule="auto"/>
              <w:rPr>
                <w:lang w:val="es-PE"/>
              </w:rPr>
            </w:pPr>
            <w:r w:rsidRPr="00722F33">
              <w:rPr>
                <w:rFonts w:ascii="Calibri" w:hAnsi="Calibri"/>
                <w:color w:val="243447"/>
                <w:sz w:val="14"/>
                <w:lang w:val="es-PE"/>
              </w:rPr>
              <w:t>Párr. 3: OMS 2025a/2025b; se precisan ámbito, edad, año del dato y alcance.</w:t>
            </w:r>
          </w:p>
        </w:tc>
      </w:tr>
      <w:tr w:rsidR="00894DA9" w:rsidRPr="00722F33" w14:paraId="2CDD62C4" w14:textId="77777777">
        <w:trPr>
          <w:cantSplit/>
        </w:trPr>
        <w:tc>
          <w:tcPr>
            <w:tcW w:w="430" w:type="dxa"/>
            <w:tcMar>
              <w:top w:w="80" w:type="dxa"/>
              <w:left w:w="120" w:type="dxa"/>
              <w:bottom w:w="80" w:type="dxa"/>
              <w:right w:w="120" w:type="dxa"/>
            </w:tcMar>
            <w:vAlign w:val="center"/>
          </w:tcPr>
          <w:p w14:paraId="036E3155" w14:textId="77777777" w:rsidR="00894DA9" w:rsidRDefault="00000000">
            <w:pPr>
              <w:spacing w:after="0" w:line="240" w:lineRule="auto"/>
              <w:jc w:val="center"/>
            </w:pPr>
            <w:r>
              <w:rPr>
                <w:rFonts w:ascii="Calibri" w:hAnsi="Calibri"/>
                <w:b/>
                <w:color w:val="243447"/>
                <w:sz w:val="14"/>
              </w:rPr>
              <w:t>9</w:t>
            </w:r>
          </w:p>
        </w:tc>
        <w:tc>
          <w:tcPr>
            <w:tcW w:w="3750" w:type="dxa"/>
            <w:tcMar>
              <w:top w:w="80" w:type="dxa"/>
              <w:left w:w="120" w:type="dxa"/>
              <w:bottom w:w="80" w:type="dxa"/>
              <w:right w:w="120" w:type="dxa"/>
            </w:tcMar>
            <w:vAlign w:val="center"/>
          </w:tcPr>
          <w:p w14:paraId="356747D8" w14:textId="77777777" w:rsidR="00894DA9" w:rsidRPr="00722F33" w:rsidRDefault="00000000">
            <w:pPr>
              <w:spacing w:after="0" w:line="240" w:lineRule="auto"/>
              <w:rPr>
                <w:lang w:val="es-PE"/>
              </w:rPr>
            </w:pPr>
            <w:r w:rsidRPr="00722F33">
              <w:rPr>
                <w:rFonts w:ascii="Calibri" w:hAnsi="Calibri"/>
                <w:color w:val="243447"/>
                <w:sz w:val="14"/>
                <w:lang w:val="es-PE"/>
              </w:rPr>
              <w:t>Interpreta la evidencia internacional y explica su relevancia para el problema investigado; no se limita a enumerar cifras.</w:t>
            </w:r>
          </w:p>
        </w:tc>
        <w:tc>
          <w:tcPr>
            <w:tcW w:w="640" w:type="dxa"/>
            <w:shd w:val="clear" w:color="auto" w:fill="EAF4EE"/>
            <w:tcMar>
              <w:top w:w="80" w:type="dxa"/>
              <w:left w:w="120" w:type="dxa"/>
              <w:bottom w:w="80" w:type="dxa"/>
              <w:right w:w="120" w:type="dxa"/>
            </w:tcMar>
            <w:vAlign w:val="center"/>
          </w:tcPr>
          <w:p w14:paraId="563C0BA0" w14:textId="77777777" w:rsidR="00894DA9" w:rsidRDefault="00000000">
            <w:pPr>
              <w:spacing w:after="0" w:line="240" w:lineRule="auto"/>
              <w:jc w:val="center"/>
            </w:pPr>
            <w:r>
              <w:rPr>
                <w:rFonts w:ascii="Calibri" w:hAnsi="Calibri"/>
                <w:b/>
                <w:color w:val="1F5E3B"/>
                <w:sz w:val="18"/>
              </w:rPr>
              <w:t>X</w:t>
            </w:r>
          </w:p>
        </w:tc>
        <w:tc>
          <w:tcPr>
            <w:tcW w:w="6550" w:type="dxa"/>
            <w:tcMar>
              <w:top w:w="80" w:type="dxa"/>
              <w:left w:w="120" w:type="dxa"/>
              <w:bottom w:w="80" w:type="dxa"/>
              <w:right w:w="120" w:type="dxa"/>
            </w:tcMar>
            <w:vAlign w:val="center"/>
          </w:tcPr>
          <w:p w14:paraId="5896D104" w14:textId="77777777" w:rsidR="00894DA9" w:rsidRPr="00722F33" w:rsidRDefault="00000000">
            <w:pPr>
              <w:spacing w:after="0" w:line="240" w:lineRule="auto"/>
              <w:rPr>
                <w:lang w:val="es-PE"/>
              </w:rPr>
            </w:pPr>
            <w:r w:rsidRPr="00722F33">
              <w:rPr>
                <w:rFonts w:ascii="Calibri" w:hAnsi="Calibri"/>
                <w:color w:val="243447"/>
                <w:sz w:val="14"/>
                <w:lang w:val="es-PE"/>
              </w:rPr>
              <w:t>Párr. 4: interpreta la evidencia mundial y conduce explícitamente al problema de medición.</w:t>
            </w:r>
          </w:p>
        </w:tc>
      </w:tr>
      <w:tr w:rsidR="00894DA9" w14:paraId="05C52D28" w14:textId="77777777">
        <w:trPr>
          <w:cantSplit/>
        </w:trPr>
        <w:tc>
          <w:tcPr>
            <w:tcW w:w="11370" w:type="dxa"/>
            <w:gridSpan w:val="4"/>
            <w:shd w:val="clear" w:color="auto" w:fill="E8EEF5"/>
            <w:tcMar>
              <w:top w:w="80" w:type="dxa"/>
              <w:left w:w="120" w:type="dxa"/>
              <w:bottom w:w="80" w:type="dxa"/>
              <w:right w:w="120" w:type="dxa"/>
            </w:tcMar>
          </w:tcPr>
          <w:p w14:paraId="4422CAA6" w14:textId="77777777" w:rsidR="00894DA9" w:rsidRDefault="00000000">
            <w:pPr>
              <w:spacing w:after="0" w:line="240" w:lineRule="auto"/>
            </w:pPr>
            <w:r>
              <w:rPr>
                <w:rFonts w:ascii="Calibri" w:hAnsi="Calibri"/>
                <w:b/>
                <w:color w:val="1F4D78"/>
                <w:sz w:val="16"/>
              </w:rPr>
              <w:t>C. Situación latinoamericana</w:t>
            </w:r>
          </w:p>
        </w:tc>
      </w:tr>
      <w:tr w:rsidR="00894DA9" w:rsidRPr="00722F33" w14:paraId="2E558306" w14:textId="77777777">
        <w:trPr>
          <w:cantSplit/>
        </w:trPr>
        <w:tc>
          <w:tcPr>
            <w:tcW w:w="430" w:type="dxa"/>
            <w:tcMar>
              <w:top w:w="80" w:type="dxa"/>
              <w:left w:w="120" w:type="dxa"/>
              <w:bottom w:w="80" w:type="dxa"/>
              <w:right w:w="120" w:type="dxa"/>
            </w:tcMar>
            <w:vAlign w:val="center"/>
          </w:tcPr>
          <w:p w14:paraId="78620BC1" w14:textId="77777777" w:rsidR="00894DA9" w:rsidRDefault="00000000">
            <w:pPr>
              <w:spacing w:after="0" w:line="240" w:lineRule="auto"/>
              <w:jc w:val="center"/>
            </w:pPr>
            <w:r>
              <w:rPr>
                <w:rFonts w:ascii="Calibri" w:hAnsi="Calibri"/>
                <w:b/>
                <w:color w:val="243447"/>
                <w:sz w:val="14"/>
              </w:rPr>
              <w:t>10</w:t>
            </w:r>
          </w:p>
        </w:tc>
        <w:tc>
          <w:tcPr>
            <w:tcW w:w="3750" w:type="dxa"/>
            <w:tcMar>
              <w:top w:w="80" w:type="dxa"/>
              <w:left w:w="120" w:type="dxa"/>
              <w:bottom w:w="80" w:type="dxa"/>
              <w:right w:w="120" w:type="dxa"/>
            </w:tcMar>
            <w:vAlign w:val="center"/>
          </w:tcPr>
          <w:p w14:paraId="6469DC1A" w14:textId="77777777" w:rsidR="00894DA9" w:rsidRPr="00722F33" w:rsidRDefault="00000000">
            <w:pPr>
              <w:spacing w:after="0" w:line="240" w:lineRule="auto"/>
              <w:rPr>
                <w:lang w:val="es-PE"/>
              </w:rPr>
            </w:pPr>
            <w:r w:rsidRPr="00722F33">
              <w:rPr>
                <w:rFonts w:ascii="Calibri" w:hAnsi="Calibri"/>
                <w:color w:val="243447"/>
                <w:sz w:val="14"/>
                <w:lang w:val="es-PE"/>
              </w:rPr>
              <w:t>Presenta datos o hallazgos propios de América Latina y/o el Caribe sobre ansiedad en adolescentes.</w:t>
            </w:r>
          </w:p>
        </w:tc>
        <w:tc>
          <w:tcPr>
            <w:tcW w:w="640" w:type="dxa"/>
            <w:shd w:val="clear" w:color="auto" w:fill="EAF4EE"/>
            <w:tcMar>
              <w:top w:w="80" w:type="dxa"/>
              <w:left w:w="120" w:type="dxa"/>
              <w:bottom w:w="80" w:type="dxa"/>
              <w:right w:w="120" w:type="dxa"/>
            </w:tcMar>
            <w:vAlign w:val="center"/>
          </w:tcPr>
          <w:p w14:paraId="4C2DCE5A" w14:textId="77777777" w:rsidR="00894DA9" w:rsidRDefault="00000000">
            <w:pPr>
              <w:spacing w:after="0" w:line="240" w:lineRule="auto"/>
              <w:jc w:val="center"/>
            </w:pPr>
            <w:r>
              <w:rPr>
                <w:rFonts w:ascii="Calibri" w:hAnsi="Calibri"/>
                <w:b/>
                <w:color w:val="1F5E3B"/>
                <w:sz w:val="18"/>
              </w:rPr>
              <w:t>X</w:t>
            </w:r>
          </w:p>
        </w:tc>
        <w:tc>
          <w:tcPr>
            <w:tcW w:w="6550" w:type="dxa"/>
            <w:tcMar>
              <w:top w:w="80" w:type="dxa"/>
              <w:left w:w="120" w:type="dxa"/>
              <w:bottom w:w="80" w:type="dxa"/>
              <w:right w:w="120" w:type="dxa"/>
            </w:tcMar>
            <w:vAlign w:val="center"/>
          </w:tcPr>
          <w:p w14:paraId="145224AB" w14:textId="77777777" w:rsidR="00894DA9" w:rsidRPr="00722F33" w:rsidRDefault="00000000">
            <w:pPr>
              <w:spacing w:after="0" w:line="240" w:lineRule="auto"/>
              <w:rPr>
                <w:lang w:val="es-PE"/>
              </w:rPr>
            </w:pPr>
            <w:proofErr w:type="spellStart"/>
            <w:r w:rsidRPr="00722F33">
              <w:rPr>
                <w:rFonts w:ascii="Calibri" w:hAnsi="Calibri"/>
                <w:color w:val="243447"/>
                <w:sz w:val="14"/>
                <w:lang w:val="es-PE"/>
              </w:rPr>
              <w:t>Párrs</w:t>
            </w:r>
            <w:proofErr w:type="spellEnd"/>
            <w:r w:rsidRPr="00722F33">
              <w:rPr>
                <w:rFonts w:ascii="Calibri" w:hAnsi="Calibri"/>
                <w:color w:val="243447"/>
                <w:sz w:val="14"/>
                <w:lang w:val="es-PE"/>
              </w:rPr>
              <w:t>. 5–6: presenta cifras regionales y distingue trastornos, ansiedad/depresión y sondeo de ansiedad.</w:t>
            </w:r>
          </w:p>
        </w:tc>
      </w:tr>
      <w:tr w:rsidR="00894DA9" w:rsidRPr="00722F33" w14:paraId="3FB2E168" w14:textId="77777777">
        <w:trPr>
          <w:cantSplit/>
        </w:trPr>
        <w:tc>
          <w:tcPr>
            <w:tcW w:w="430" w:type="dxa"/>
            <w:tcMar>
              <w:top w:w="80" w:type="dxa"/>
              <w:left w:w="120" w:type="dxa"/>
              <w:bottom w:w="80" w:type="dxa"/>
              <w:right w:w="120" w:type="dxa"/>
            </w:tcMar>
            <w:vAlign w:val="center"/>
          </w:tcPr>
          <w:p w14:paraId="21903AEC" w14:textId="77777777" w:rsidR="00894DA9" w:rsidRDefault="00000000">
            <w:pPr>
              <w:spacing w:after="0" w:line="240" w:lineRule="auto"/>
              <w:jc w:val="center"/>
            </w:pPr>
            <w:r>
              <w:rPr>
                <w:rFonts w:ascii="Calibri" w:hAnsi="Calibri"/>
                <w:b/>
                <w:color w:val="243447"/>
                <w:sz w:val="14"/>
              </w:rPr>
              <w:t>11</w:t>
            </w:r>
          </w:p>
        </w:tc>
        <w:tc>
          <w:tcPr>
            <w:tcW w:w="3750" w:type="dxa"/>
            <w:tcMar>
              <w:top w:w="80" w:type="dxa"/>
              <w:left w:w="120" w:type="dxa"/>
              <w:bottom w:w="80" w:type="dxa"/>
              <w:right w:w="120" w:type="dxa"/>
            </w:tcMar>
            <w:vAlign w:val="center"/>
          </w:tcPr>
          <w:p w14:paraId="35313CFD" w14:textId="77777777" w:rsidR="00894DA9" w:rsidRPr="00722F33" w:rsidRDefault="00000000">
            <w:pPr>
              <w:spacing w:after="0" w:line="240" w:lineRule="auto"/>
              <w:rPr>
                <w:lang w:val="es-PE"/>
              </w:rPr>
            </w:pPr>
            <w:r w:rsidRPr="00722F33">
              <w:rPr>
                <w:rFonts w:ascii="Calibri" w:hAnsi="Calibri"/>
                <w:color w:val="243447"/>
                <w:sz w:val="14"/>
                <w:lang w:val="es-PE"/>
              </w:rPr>
              <w:t>Describe factores o condiciones regionales vinculados con la ansiedad escolar y evita generalizaciones sin evidencia.</w:t>
            </w:r>
          </w:p>
        </w:tc>
        <w:tc>
          <w:tcPr>
            <w:tcW w:w="640" w:type="dxa"/>
            <w:shd w:val="clear" w:color="auto" w:fill="EAF4EE"/>
            <w:tcMar>
              <w:top w:w="80" w:type="dxa"/>
              <w:left w:w="120" w:type="dxa"/>
              <w:bottom w:w="80" w:type="dxa"/>
              <w:right w:w="120" w:type="dxa"/>
            </w:tcMar>
            <w:vAlign w:val="center"/>
          </w:tcPr>
          <w:p w14:paraId="3CFD73CD" w14:textId="77777777" w:rsidR="00894DA9" w:rsidRDefault="00000000">
            <w:pPr>
              <w:spacing w:after="0" w:line="240" w:lineRule="auto"/>
              <w:jc w:val="center"/>
            </w:pPr>
            <w:r>
              <w:rPr>
                <w:rFonts w:ascii="Calibri" w:hAnsi="Calibri"/>
                <w:b/>
                <w:color w:val="1F5E3B"/>
                <w:sz w:val="18"/>
              </w:rPr>
              <w:t>X</w:t>
            </w:r>
          </w:p>
        </w:tc>
        <w:tc>
          <w:tcPr>
            <w:tcW w:w="6550" w:type="dxa"/>
            <w:tcMar>
              <w:top w:w="80" w:type="dxa"/>
              <w:left w:w="120" w:type="dxa"/>
              <w:bottom w:w="80" w:type="dxa"/>
              <w:right w:w="120" w:type="dxa"/>
            </w:tcMar>
            <w:vAlign w:val="center"/>
          </w:tcPr>
          <w:p w14:paraId="62505AA9" w14:textId="77777777" w:rsidR="00894DA9" w:rsidRPr="00722F33" w:rsidRDefault="00000000">
            <w:pPr>
              <w:spacing w:after="0" w:line="240" w:lineRule="auto"/>
              <w:rPr>
                <w:lang w:val="es-PE"/>
              </w:rPr>
            </w:pPr>
            <w:r w:rsidRPr="00722F33">
              <w:rPr>
                <w:rFonts w:ascii="Calibri" w:hAnsi="Calibri"/>
                <w:color w:val="243447"/>
                <w:sz w:val="14"/>
                <w:lang w:val="es-PE"/>
              </w:rPr>
              <w:t>Párr. 6: describe aislamiento, interrupción escolar, pérdidas e incertidumbre, con límites del sondeo.</w:t>
            </w:r>
          </w:p>
        </w:tc>
      </w:tr>
      <w:tr w:rsidR="00894DA9" w:rsidRPr="00722F33" w14:paraId="5C4243D7" w14:textId="77777777">
        <w:trPr>
          <w:cantSplit/>
        </w:trPr>
        <w:tc>
          <w:tcPr>
            <w:tcW w:w="430" w:type="dxa"/>
            <w:tcMar>
              <w:top w:w="80" w:type="dxa"/>
              <w:left w:w="120" w:type="dxa"/>
              <w:bottom w:w="80" w:type="dxa"/>
              <w:right w:w="120" w:type="dxa"/>
            </w:tcMar>
            <w:vAlign w:val="center"/>
          </w:tcPr>
          <w:p w14:paraId="4C7E2EB8" w14:textId="77777777" w:rsidR="00894DA9" w:rsidRDefault="00000000">
            <w:pPr>
              <w:spacing w:after="0" w:line="240" w:lineRule="auto"/>
              <w:jc w:val="center"/>
            </w:pPr>
            <w:r>
              <w:rPr>
                <w:rFonts w:ascii="Calibri" w:hAnsi="Calibri"/>
                <w:b/>
                <w:color w:val="243447"/>
                <w:sz w:val="14"/>
              </w:rPr>
              <w:lastRenderedPageBreak/>
              <w:t>12</w:t>
            </w:r>
          </w:p>
        </w:tc>
        <w:tc>
          <w:tcPr>
            <w:tcW w:w="3750" w:type="dxa"/>
            <w:tcMar>
              <w:top w:w="80" w:type="dxa"/>
              <w:left w:w="120" w:type="dxa"/>
              <w:bottom w:w="80" w:type="dxa"/>
              <w:right w:w="120" w:type="dxa"/>
            </w:tcMar>
            <w:vAlign w:val="center"/>
          </w:tcPr>
          <w:p w14:paraId="1FD31DD1" w14:textId="77777777" w:rsidR="00894DA9" w:rsidRPr="00722F33" w:rsidRDefault="00000000">
            <w:pPr>
              <w:spacing w:after="0" w:line="240" w:lineRule="auto"/>
              <w:rPr>
                <w:lang w:val="es-PE"/>
              </w:rPr>
            </w:pPr>
            <w:r w:rsidRPr="00722F33">
              <w:rPr>
                <w:rFonts w:ascii="Calibri" w:hAnsi="Calibri"/>
                <w:color w:val="243447"/>
                <w:sz w:val="14"/>
                <w:lang w:val="es-PE"/>
              </w:rPr>
              <w:t>Sintetiza la evidencia regional y construye una transición lógica hacia la situación peruana.</w:t>
            </w:r>
          </w:p>
        </w:tc>
        <w:tc>
          <w:tcPr>
            <w:tcW w:w="640" w:type="dxa"/>
            <w:shd w:val="clear" w:color="auto" w:fill="EAF4EE"/>
            <w:tcMar>
              <w:top w:w="80" w:type="dxa"/>
              <w:left w:w="120" w:type="dxa"/>
              <w:bottom w:w="80" w:type="dxa"/>
              <w:right w:w="120" w:type="dxa"/>
            </w:tcMar>
            <w:vAlign w:val="center"/>
          </w:tcPr>
          <w:p w14:paraId="012B8DA8" w14:textId="77777777" w:rsidR="00894DA9" w:rsidRDefault="00000000">
            <w:pPr>
              <w:spacing w:after="0" w:line="240" w:lineRule="auto"/>
              <w:jc w:val="center"/>
            </w:pPr>
            <w:r>
              <w:rPr>
                <w:rFonts w:ascii="Calibri" w:hAnsi="Calibri"/>
                <w:b/>
                <w:color w:val="1F5E3B"/>
                <w:sz w:val="18"/>
              </w:rPr>
              <w:t>X</w:t>
            </w:r>
          </w:p>
        </w:tc>
        <w:tc>
          <w:tcPr>
            <w:tcW w:w="6550" w:type="dxa"/>
            <w:tcMar>
              <w:top w:w="80" w:type="dxa"/>
              <w:left w:w="120" w:type="dxa"/>
              <w:bottom w:w="80" w:type="dxa"/>
              <w:right w:w="120" w:type="dxa"/>
            </w:tcMar>
            <w:vAlign w:val="center"/>
          </w:tcPr>
          <w:p w14:paraId="7EE61861" w14:textId="77777777" w:rsidR="00894DA9" w:rsidRPr="00722F33" w:rsidRDefault="00000000">
            <w:pPr>
              <w:spacing w:after="0" w:line="240" w:lineRule="auto"/>
              <w:rPr>
                <w:lang w:val="es-PE"/>
              </w:rPr>
            </w:pPr>
            <w:r w:rsidRPr="00722F33">
              <w:rPr>
                <w:rFonts w:ascii="Calibri" w:hAnsi="Calibri"/>
                <w:color w:val="243447"/>
                <w:sz w:val="14"/>
                <w:lang w:val="es-PE"/>
              </w:rPr>
              <w:t>Final del párr. 6: sintetiza la región y justifica el paso al contexto peruano.</w:t>
            </w:r>
          </w:p>
        </w:tc>
      </w:tr>
      <w:tr w:rsidR="00894DA9" w14:paraId="0304240E" w14:textId="77777777">
        <w:trPr>
          <w:cantSplit/>
        </w:trPr>
        <w:tc>
          <w:tcPr>
            <w:tcW w:w="11370" w:type="dxa"/>
            <w:gridSpan w:val="4"/>
            <w:shd w:val="clear" w:color="auto" w:fill="E8EEF5"/>
            <w:tcMar>
              <w:top w:w="80" w:type="dxa"/>
              <w:left w:w="120" w:type="dxa"/>
              <w:bottom w:w="80" w:type="dxa"/>
              <w:right w:w="120" w:type="dxa"/>
            </w:tcMar>
          </w:tcPr>
          <w:p w14:paraId="75316532" w14:textId="77777777" w:rsidR="00894DA9" w:rsidRDefault="00000000">
            <w:pPr>
              <w:spacing w:after="0" w:line="240" w:lineRule="auto"/>
            </w:pPr>
            <w:r>
              <w:rPr>
                <w:rFonts w:ascii="Calibri" w:hAnsi="Calibri"/>
                <w:b/>
                <w:color w:val="1F4D78"/>
                <w:sz w:val="16"/>
              </w:rPr>
              <w:t>D. Situación nacional (Perú)</w:t>
            </w:r>
          </w:p>
        </w:tc>
      </w:tr>
      <w:tr w:rsidR="00894DA9" w:rsidRPr="00722F33" w14:paraId="55085C97" w14:textId="77777777">
        <w:trPr>
          <w:cantSplit/>
        </w:trPr>
        <w:tc>
          <w:tcPr>
            <w:tcW w:w="430" w:type="dxa"/>
            <w:tcMar>
              <w:top w:w="80" w:type="dxa"/>
              <w:left w:w="120" w:type="dxa"/>
              <w:bottom w:w="80" w:type="dxa"/>
              <w:right w:w="120" w:type="dxa"/>
            </w:tcMar>
            <w:vAlign w:val="center"/>
          </w:tcPr>
          <w:p w14:paraId="50E7EE59" w14:textId="77777777" w:rsidR="00894DA9" w:rsidRDefault="00000000">
            <w:pPr>
              <w:spacing w:after="0" w:line="240" w:lineRule="auto"/>
              <w:jc w:val="center"/>
            </w:pPr>
            <w:r>
              <w:rPr>
                <w:rFonts w:ascii="Calibri" w:hAnsi="Calibri"/>
                <w:b/>
                <w:color w:val="243447"/>
                <w:sz w:val="14"/>
              </w:rPr>
              <w:t>13</w:t>
            </w:r>
          </w:p>
        </w:tc>
        <w:tc>
          <w:tcPr>
            <w:tcW w:w="3750" w:type="dxa"/>
            <w:tcMar>
              <w:top w:w="80" w:type="dxa"/>
              <w:left w:w="120" w:type="dxa"/>
              <w:bottom w:w="80" w:type="dxa"/>
              <w:right w:w="120" w:type="dxa"/>
            </w:tcMar>
            <w:vAlign w:val="center"/>
          </w:tcPr>
          <w:p w14:paraId="6CAFAE30" w14:textId="77777777" w:rsidR="00894DA9" w:rsidRPr="00722F33" w:rsidRDefault="00000000">
            <w:pPr>
              <w:spacing w:after="0" w:line="240" w:lineRule="auto"/>
              <w:rPr>
                <w:lang w:val="es-PE"/>
              </w:rPr>
            </w:pPr>
            <w:r w:rsidRPr="00722F33">
              <w:rPr>
                <w:rFonts w:ascii="Calibri" w:hAnsi="Calibri"/>
                <w:color w:val="243447"/>
                <w:sz w:val="14"/>
                <w:lang w:val="es-PE"/>
              </w:rPr>
              <w:t>Incluye evidencia nacional verificable sobre ansiedad, salud mental o dificultades emocionales en adolescentes.</w:t>
            </w:r>
          </w:p>
        </w:tc>
        <w:tc>
          <w:tcPr>
            <w:tcW w:w="640" w:type="dxa"/>
            <w:shd w:val="clear" w:color="auto" w:fill="EAF4EE"/>
            <w:tcMar>
              <w:top w:w="80" w:type="dxa"/>
              <w:left w:w="120" w:type="dxa"/>
              <w:bottom w:w="80" w:type="dxa"/>
              <w:right w:w="120" w:type="dxa"/>
            </w:tcMar>
            <w:vAlign w:val="center"/>
          </w:tcPr>
          <w:p w14:paraId="2ABA60D3" w14:textId="77777777" w:rsidR="00894DA9" w:rsidRDefault="00000000">
            <w:pPr>
              <w:spacing w:after="0" w:line="240" w:lineRule="auto"/>
              <w:jc w:val="center"/>
            </w:pPr>
            <w:r>
              <w:rPr>
                <w:rFonts w:ascii="Calibri" w:hAnsi="Calibri"/>
                <w:b/>
                <w:color w:val="1F5E3B"/>
                <w:sz w:val="18"/>
              </w:rPr>
              <w:t>X</w:t>
            </w:r>
          </w:p>
        </w:tc>
        <w:tc>
          <w:tcPr>
            <w:tcW w:w="6550" w:type="dxa"/>
            <w:tcMar>
              <w:top w:w="80" w:type="dxa"/>
              <w:left w:w="120" w:type="dxa"/>
              <w:bottom w:w="80" w:type="dxa"/>
              <w:right w:w="120" w:type="dxa"/>
            </w:tcMar>
            <w:vAlign w:val="center"/>
          </w:tcPr>
          <w:p w14:paraId="4B213C05" w14:textId="77777777" w:rsidR="00894DA9" w:rsidRPr="00722F33" w:rsidRDefault="00000000">
            <w:pPr>
              <w:spacing w:after="0" w:line="240" w:lineRule="auto"/>
              <w:rPr>
                <w:lang w:val="es-PE"/>
              </w:rPr>
            </w:pPr>
            <w:proofErr w:type="spellStart"/>
            <w:r w:rsidRPr="00722F33">
              <w:rPr>
                <w:rFonts w:ascii="Calibri" w:hAnsi="Calibri"/>
                <w:color w:val="243447"/>
                <w:sz w:val="14"/>
                <w:lang w:val="es-PE"/>
              </w:rPr>
              <w:t>Párrs</w:t>
            </w:r>
            <w:proofErr w:type="spellEnd"/>
            <w:r w:rsidRPr="00722F33">
              <w:rPr>
                <w:rFonts w:ascii="Calibri" w:hAnsi="Calibri"/>
                <w:color w:val="243447"/>
                <w:sz w:val="14"/>
                <w:lang w:val="es-PE"/>
              </w:rPr>
              <w:t>. 7–9: incluye evidencia verificable del MINSA y MINEDU sobre adolescentes y escolares.</w:t>
            </w:r>
          </w:p>
        </w:tc>
      </w:tr>
      <w:tr w:rsidR="00894DA9" w:rsidRPr="00722F33" w14:paraId="48A3D1DB" w14:textId="77777777">
        <w:trPr>
          <w:cantSplit/>
        </w:trPr>
        <w:tc>
          <w:tcPr>
            <w:tcW w:w="430" w:type="dxa"/>
            <w:tcMar>
              <w:top w:w="80" w:type="dxa"/>
              <w:left w:w="120" w:type="dxa"/>
              <w:bottom w:w="80" w:type="dxa"/>
              <w:right w:w="120" w:type="dxa"/>
            </w:tcMar>
            <w:vAlign w:val="center"/>
          </w:tcPr>
          <w:p w14:paraId="3CD4DF5A" w14:textId="77777777" w:rsidR="00894DA9" w:rsidRDefault="00000000">
            <w:pPr>
              <w:spacing w:after="0" w:line="240" w:lineRule="auto"/>
              <w:jc w:val="center"/>
            </w:pPr>
            <w:r>
              <w:rPr>
                <w:rFonts w:ascii="Calibri" w:hAnsi="Calibri"/>
                <w:b/>
                <w:color w:val="243447"/>
                <w:sz w:val="14"/>
              </w:rPr>
              <w:t>14</w:t>
            </w:r>
          </w:p>
        </w:tc>
        <w:tc>
          <w:tcPr>
            <w:tcW w:w="3750" w:type="dxa"/>
            <w:tcMar>
              <w:top w:w="80" w:type="dxa"/>
              <w:left w:w="120" w:type="dxa"/>
              <w:bottom w:w="80" w:type="dxa"/>
              <w:right w:w="120" w:type="dxa"/>
            </w:tcMar>
            <w:vAlign w:val="center"/>
          </w:tcPr>
          <w:p w14:paraId="4D895902" w14:textId="77777777" w:rsidR="00894DA9" w:rsidRPr="00722F33" w:rsidRDefault="00000000">
            <w:pPr>
              <w:spacing w:after="0" w:line="240" w:lineRule="auto"/>
              <w:rPr>
                <w:lang w:val="es-PE"/>
              </w:rPr>
            </w:pPr>
            <w:r w:rsidRPr="00722F33">
              <w:rPr>
                <w:rFonts w:ascii="Calibri" w:hAnsi="Calibri"/>
                <w:color w:val="243447"/>
                <w:sz w:val="14"/>
                <w:lang w:val="es-PE"/>
              </w:rPr>
              <w:t>Prioriza información de población escolar o de edad comparable a estudiantes de quinto de secundaria.</w:t>
            </w:r>
          </w:p>
        </w:tc>
        <w:tc>
          <w:tcPr>
            <w:tcW w:w="640" w:type="dxa"/>
            <w:shd w:val="clear" w:color="auto" w:fill="EAF4EE"/>
            <w:tcMar>
              <w:top w:w="80" w:type="dxa"/>
              <w:left w:w="120" w:type="dxa"/>
              <w:bottom w:w="80" w:type="dxa"/>
              <w:right w:w="120" w:type="dxa"/>
            </w:tcMar>
            <w:vAlign w:val="center"/>
          </w:tcPr>
          <w:p w14:paraId="29288F59" w14:textId="77777777" w:rsidR="00894DA9" w:rsidRDefault="00000000">
            <w:pPr>
              <w:spacing w:after="0" w:line="240" w:lineRule="auto"/>
              <w:jc w:val="center"/>
            </w:pPr>
            <w:r>
              <w:rPr>
                <w:rFonts w:ascii="Calibri" w:hAnsi="Calibri"/>
                <w:b/>
                <w:color w:val="1F5E3B"/>
                <w:sz w:val="18"/>
              </w:rPr>
              <w:t>X</w:t>
            </w:r>
          </w:p>
        </w:tc>
        <w:tc>
          <w:tcPr>
            <w:tcW w:w="6550" w:type="dxa"/>
            <w:tcMar>
              <w:top w:w="80" w:type="dxa"/>
              <w:left w:w="120" w:type="dxa"/>
              <w:bottom w:w="80" w:type="dxa"/>
              <w:right w:w="120" w:type="dxa"/>
            </w:tcMar>
            <w:vAlign w:val="center"/>
          </w:tcPr>
          <w:p w14:paraId="14101935" w14:textId="77777777" w:rsidR="00894DA9" w:rsidRPr="00722F33" w:rsidRDefault="00000000">
            <w:pPr>
              <w:spacing w:after="0" w:line="240" w:lineRule="auto"/>
              <w:rPr>
                <w:lang w:val="es-PE"/>
              </w:rPr>
            </w:pPr>
            <w:proofErr w:type="spellStart"/>
            <w:r w:rsidRPr="00722F33">
              <w:rPr>
                <w:rFonts w:ascii="Calibri" w:hAnsi="Calibri"/>
                <w:color w:val="243447"/>
                <w:sz w:val="14"/>
                <w:lang w:val="es-PE"/>
              </w:rPr>
              <w:t>Párrs</w:t>
            </w:r>
            <w:proofErr w:type="spellEnd"/>
            <w:r w:rsidRPr="00722F33">
              <w:rPr>
                <w:rFonts w:ascii="Calibri" w:hAnsi="Calibri"/>
                <w:color w:val="243447"/>
                <w:sz w:val="14"/>
                <w:lang w:val="es-PE"/>
              </w:rPr>
              <w:t>. 8–9: prioriza secundaria y estudiantes de 15 años, comparables con quinto de secundaria.</w:t>
            </w:r>
          </w:p>
        </w:tc>
      </w:tr>
      <w:tr w:rsidR="00894DA9" w:rsidRPr="00722F33" w14:paraId="220E6300" w14:textId="77777777">
        <w:trPr>
          <w:cantSplit/>
        </w:trPr>
        <w:tc>
          <w:tcPr>
            <w:tcW w:w="430" w:type="dxa"/>
            <w:tcMar>
              <w:top w:w="80" w:type="dxa"/>
              <w:left w:w="120" w:type="dxa"/>
              <w:bottom w:w="80" w:type="dxa"/>
              <w:right w:w="120" w:type="dxa"/>
            </w:tcMar>
            <w:vAlign w:val="center"/>
          </w:tcPr>
          <w:p w14:paraId="4FB6A2F6" w14:textId="77777777" w:rsidR="00894DA9" w:rsidRDefault="00000000">
            <w:pPr>
              <w:spacing w:after="0" w:line="240" w:lineRule="auto"/>
              <w:jc w:val="center"/>
            </w:pPr>
            <w:r>
              <w:rPr>
                <w:rFonts w:ascii="Calibri" w:hAnsi="Calibri"/>
                <w:b/>
                <w:color w:val="243447"/>
                <w:sz w:val="14"/>
              </w:rPr>
              <w:t>15</w:t>
            </w:r>
          </w:p>
        </w:tc>
        <w:tc>
          <w:tcPr>
            <w:tcW w:w="3750" w:type="dxa"/>
            <w:tcMar>
              <w:top w:w="80" w:type="dxa"/>
              <w:left w:w="120" w:type="dxa"/>
              <w:bottom w:w="80" w:type="dxa"/>
              <w:right w:w="120" w:type="dxa"/>
            </w:tcMar>
            <w:vAlign w:val="center"/>
          </w:tcPr>
          <w:p w14:paraId="2C96A07E" w14:textId="77777777" w:rsidR="00894DA9" w:rsidRPr="00722F33" w:rsidRDefault="00000000">
            <w:pPr>
              <w:spacing w:after="0" w:line="240" w:lineRule="auto"/>
              <w:rPr>
                <w:lang w:val="es-PE"/>
              </w:rPr>
            </w:pPr>
            <w:r w:rsidRPr="00722F33">
              <w:rPr>
                <w:rFonts w:ascii="Calibri" w:hAnsi="Calibri"/>
                <w:color w:val="243447"/>
                <w:sz w:val="14"/>
                <w:lang w:val="es-PE"/>
              </w:rPr>
              <w:t>Interpreta el panorama nacional y lo vincula con la necesidad de contar con mediciones adecuadas de la ansiedad.</w:t>
            </w:r>
          </w:p>
        </w:tc>
        <w:tc>
          <w:tcPr>
            <w:tcW w:w="640" w:type="dxa"/>
            <w:shd w:val="clear" w:color="auto" w:fill="EAF4EE"/>
            <w:tcMar>
              <w:top w:w="80" w:type="dxa"/>
              <w:left w:w="120" w:type="dxa"/>
              <w:bottom w:w="80" w:type="dxa"/>
              <w:right w:w="120" w:type="dxa"/>
            </w:tcMar>
            <w:vAlign w:val="center"/>
          </w:tcPr>
          <w:p w14:paraId="2997D58C" w14:textId="77777777" w:rsidR="00894DA9" w:rsidRDefault="00000000">
            <w:pPr>
              <w:spacing w:after="0" w:line="240" w:lineRule="auto"/>
              <w:jc w:val="center"/>
            </w:pPr>
            <w:r>
              <w:rPr>
                <w:rFonts w:ascii="Calibri" w:hAnsi="Calibri"/>
                <w:b/>
                <w:color w:val="1F5E3B"/>
                <w:sz w:val="18"/>
              </w:rPr>
              <w:t>X</w:t>
            </w:r>
          </w:p>
        </w:tc>
        <w:tc>
          <w:tcPr>
            <w:tcW w:w="6550" w:type="dxa"/>
            <w:tcMar>
              <w:top w:w="80" w:type="dxa"/>
              <w:left w:w="120" w:type="dxa"/>
              <w:bottom w:w="80" w:type="dxa"/>
              <w:right w:w="120" w:type="dxa"/>
            </w:tcMar>
            <w:vAlign w:val="center"/>
          </w:tcPr>
          <w:p w14:paraId="40E8122F" w14:textId="77777777" w:rsidR="00894DA9" w:rsidRPr="00722F33" w:rsidRDefault="00000000">
            <w:pPr>
              <w:spacing w:after="0" w:line="240" w:lineRule="auto"/>
              <w:rPr>
                <w:lang w:val="es-PE"/>
              </w:rPr>
            </w:pPr>
            <w:proofErr w:type="spellStart"/>
            <w:r w:rsidRPr="00722F33">
              <w:rPr>
                <w:rFonts w:ascii="Calibri" w:hAnsi="Calibri"/>
                <w:color w:val="243447"/>
                <w:sz w:val="14"/>
                <w:lang w:val="es-PE"/>
              </w:rPr>
              <w:t>Párrs</w:t>
            </w:r>
            <w:proofErr w:type="spellEnd"/>
            <w:r w:rsidRPr="00722F33">
              <w:rPr>
                <w:rFonts w:ascii="Calibri" w:hAnsi="Calibri"/>
                <w:color w:val="243447"/>
                <w:sz w:val="14"/>
                <w:lang w:val="es-PE"/>
              </w:rPr>
              <w:t>. 8–9 y 12: vincula el panorama peruano con la necesidad de mediciones técnicamente sustentadas.</w:t>
            </w:r>
          </w:p>
        </w:tc>
      </w:tr>
      <w:tr w:rsidR="00894DA9" w:rsidRPr="00722F33" w14:paraId="0FE69FFD" w14:textId="77777777">
        <w:trPr>
          <w:cantSplit/>
        </w:trPr>
        <w:tc>
          <w:tcPr>
            <w:tcW w:w="11370" w:type="dxa"/>
            <w:gridSpan w:val="4"/>
            <w:shd w:val="clear" w:color="auto" w:fill="E8EEF5"/>
            <w:tcMar>
              <w:top w:w="80" w:type="dxa"/>
              <w:left w:w="120" w:type="dxa"/>
              <w:bottom w:w="80" w:type="dxa"/>
              <w:right w:w="120" w:type="dxa"/>
            </w:tcMar>
          </w:tcPr>
          <w:p w14:paraId="1CF8CD3F" w14:textId="77777777" w:rsidR="00894DA9" w:rsidRPr="00722F33" w:rsidRDefault="00000000">
            <w:pPr>
              <w:spacing w:after="0" w:line="240" w:lineRule="auto"/>
              <w:rPr>
                <w:lang w:val="es-PE"/>
              </w:rPr>
            </w:pPr>
            <w:r w:rsidRPr="00722F33">
              <w:rPr>
                <w:rFonts w:ascii="Calibri" w:hAnsi="Calibri"/>
                <w:b/>
                <w:color w:val="1F4D78"/>
                <w:sz w:val="16"/>
                <w:lang w:val="es-PE"/>
              </w:rPr>
              <w:t>E. Situación local: Villa El Salvador</w:t>
            </w:r>
          </w:p>
        </w:tc>
      </w:tr>
      <w:tr w:rsidR="00894DA9" w:rsidRPr="00722F33" w14:paraId="699D15D3" w14:textId="77777777">
        <w:trPr>
          <w:cantSplit/>
        </w:trPr>
        <w:tc>
          <w:tcPr>
            <w:tcW w:w="430" w:type="dxa"/>
            <w:tcMar>
              <w:top w:w="80" w:type="dxa"/>
              <w:left w:w="120" w:type="dxa"/>
              <w:bottom w:w="80" w:type="dxa"/>
              <w:right w:w="120" w:type="dxa"/>
            </w:tcMar>
            <w:vAlign w:val="center"/>
          </w:tcPr>
          <w:p w14:paraId="1D9465EF" w14:textId="77777777" w:rsidR="00894DA9" w:rsidRDefault="00000000">
            <w:pPr>
              <w:spacing w:after="0" w:line="240" w:lineRule="auto"/>
              <w:jc w:val="center"/>
            </w:pPr>
            <w:r>
              <w:rPr>
                <w:rFonts w:ascii="Calibri" w:hAnsi="Calibri"/>
                <w:b/>
                <w:color w:val="243447"/>
                <w:sz w:val="14"/>
              </w:rPr>
              <w:t>16</w:t>
            </w:r>
          </w:p>
        </w:tc>
        <w:tc>
          <w:tcPr>
            <w:tcW w:w="3750" w:type="dxa"/>
            <w:tcMar>
              <w:top w:w="80" w:type="dxa"/>
              <w:left w:w="120" w:type="dxa"/>
              <w:bottom w:w="80" w:type="dxa"/>
              <w:right w:w="120" w:type="dxa"/>
            </w:tcMar>
            <w:vAlign w:val="center"/>
          </w:tcPr>
          <w:p w14:paraId="61173E11" w14:textId="77777777" w:rsidR="00894DA9" w:rsidRPr="00722F33" w:rsidRDefault="00000000">
            <w:pPr>
              <w:spacing w:after="0" w:line="240" w:lineRule="auto"/>
              <w:rPr>
                <w:lang w:val="es-PE"/>
              </w:rPr>
            </w:pPr>
            <w:r w:rsidRPr="00722F33">
              <w:rPr>
                <w:rFonts w:ascii="Calibri" w:hAnsi="Calibri"/>
                <w:color w:val="243447"/>
                <w:sz w:val="14"/>
                <w:lang w:val="es-PE"/>
              </w:rPr>
              <w:t>Identifica expresamente a Villa El Salvador como contexto local del estudio.</w:t>
            </w:r>
          </w:p>
        </w:tc>
        <w:tc>
          <w:tcPr>
            <w:tcW w:w="640" w:type="dxa"/>
            <w:shd w:val="clear" w:color="auto" w:fill="EAF4EE"/>
            <w:tcMar>
              <w:top w:w="80" w:type="dxa"/>
              <w:left w:w="120" w:type="dxa"/>
              <w:bottom w:w="80" w:type="dxa"/>
              <w:right w:w="120" w:type="dxa"/>
            </w:tcMar>
            <w:vAlign w:val="center"/>
          </w:tcPr>
          <w:p w14:paraId="53B4ED83" w14:textId="77777777" w:rsidR="00894DA9" w:rsidRDefault="00000000">
            <w:pPr>
              <w:spacing w:after="0" w:line="240" w:lineRule="auto"/>
              <w:jc w:val="center"/>
            </w:pPr>
            <w:r>
              <w:rPr>
                <w:rFonts w:ascii="Calibri" w:hAnsi="Calibri"/>
                <w:b/>
                <w:color w:val="1F5E3B"/>
                <w:sz w:val="18"/>
              </w:rPr>
              <w:t>X</w:t>
            </w:r>
          </w:p>
        </w:tc>
        <w:tc>
          <w:tcPr>
            <w:tcW w:w="6550" w:type="dxa"/>
            <w:tcMar>
              <w:top w:w="80" w:type="dxa"/>
              <w:left w:w="120" w:type="dxa"/>
              <w:bottom w:w="80" w:type="dxa"/>
              <w:right w:w="120" w:type="dxa"/>
            </w:tcMar>
            <w:vAlign w:val="center"/>
          </w:tcPr>
          <w:p w14:paraId="5F08A489" w14:textId="77777777" w:rsidR="00894DA9" w:rsidRPr="00722F33" w:rsidRDefault="00000000">
            <w:pPr>
              <w:spacing w:after="0" w:line="240" w:lineRule="auto"/>
              <w:rPr>
                <w:lang w:val="es-PE"/>
              </w:rPr>
            </w:pPr>
            <w:proofErr w:type="spellStart"/>
            <w:r w:rsidRPr="00722F33">
              <w:rPr>
                <w:rFonts w:ascii="Calibri" w:hAnsi="Calibri"/>
                <w:color w:val="243447"/>
                <w:sz w:val="14"/>
                <w:lang w:val="es-PE"/>
              </w:rPr>
              <w:t>Párrs</w:t>
            </w:r>
            <w:proofErr w:type="spellEnd"/>
            <w:r w:rsidRPr="00722F33">
              <w:rPr>
                <w:rFonts w:ascii="Calibri" w:hAnsi="Calibri"/>
                <w:color w:val="243447"/>
                <w:sz w:val="14"/>
                <w:lang w:val="es-PE"/>
              </w:rPr>
              <w:t>. 1, 10–12 y 17: Villa El Salvador aparece como contexto desde el inicio y en el cierre.</w:t>
            </w:r>
          </w:p>
        </w:tc>
      </w:tr>
      <w:tr w:rsidR="00894DA9" w:rsidRPr="00722F33" w14:paraId="0FD64833" w14:textId="77777777">
        <w:trPr>
          <w:cantSplit/>
        </w:trPr>
        <w:tc>
          <w:tcPr>
            <w:tcW w:w="430" w:type="dxa"/>
            <w:tcMar>
              <w:top w:w="80" w:type="dxa"/>
              <w:left w:w="120" w:type="dxa"/>
              <w:bottom w:w="80" w:type="dxa"/>
              <w:right w:w="120" w:type="dxa"/>
            </w:tcMar>
            <w:vAlign w:val="center"/>
          </w:tcPr>
          <w:p w14:paraId="4A5B3BBC" w14:textId="77777777" w:rsidR="00894DA9" w:rsidRDefault="00000000">
            <w:pPr>
              <w:spacing w:after="0" w:line="240" w:lineRule="auto"/>
              <w:jc w:val="center"/>
            </w:pPr>
            <w:r>
              <w:rPr>
                <w:rFonts w:ascii="Calibri" w:hAnsi="Calibri"/>
                <w:b/>
                <w:color w:val="243447"/>
                <w:sz w:val="14"/>
              </w:rPr>
              <w:t>17</w:t>
            </w:r>
          </w:p>
        </w:tc>
        <w:tc>
          <w:tcPr>
            <w:tcW w:w="3750" w:type="dxa"/>
            <w:tcMar>
              <w:top w:w="80" w:type="dxa"/>
              <w:left w:w="120" w:type="dxa"/>
              <w:bottom w:w="80" w:type="dxa"/>
              <w:right w:w="120" w:type="dxa"/>
            </w:tcMar>
            <w:vAlign w:val="center"/>
          </w:tcPr>
          <w:p w14:paraId="290F6D58" w14:textId="77777777" w:rsidR="00894DA9" w:rsidRPr="00722F33" w:rsidRDefault="00000000">
            <w:pPr>
              <w:spacing w:after="0" w:line="240" w:lineRule="auto"/>
              <w:rPr>
                <w:lang w:val="es-PE"/>
              </w:rPr>
            </w:pPr>
            <w:r w:rsidRPr="00722F33">
              <w:rPr>
                <w:rFonts w:ascii="Calibri" w:hAnsi="Calibri"/>
                <w:color w:val="243447"/>
                <w:sz w:val="14"/>
                <w:lang w:val="es-PE"/>
              </w:rPr>
              <w:t>Presenta evidencia distrital, institucional o escolar pertinente; si no existe información disponible, declara y sustenta ese vacío de conocimiento.</w:t>
            </w:r>
          </w:p>
        </w:tc>
        <w:tc>
          <w:tcPr>
            <w:tcW w:w="640" w:type="dxa"/>
            <w:shd w:val="clear" w:color="auto" w:fill="EAF4EE"/>
            <w:tcMar>
              <w:top w:w="80" w:type="dxa"/>
              <w:left w:w="120" w:type="dxa"/>
              <w:bottom w:w="80" w:type="dxa"/>
              <w:right w:w="120" w:type="dxa"/>
            </w:tcMar>
            <w:vAlign w:val="center"/>
          </w:tcPr>
          <w:p w14:paraId="4FE29ED6" w14:textId="77777777" w:rsidR="00894DA9" w:rsidRDefault="00000000">
            <w:pPr>
              <w:spacing w:after="0" w:line="240" w:lineRule="auto"/>
              <w:jc w:val="center"/>
            </w:pPr>
            <w:r>
              <w:rPr>
                <w:rFonts w:ascii="Calibri" w:hAnsi="Calibri"/>
                <w:b/>
                <w:color w:val="1F5E3B"/>
                <w:sz w:val="18"/>
              </w:rPr>
              <w:t>X</w:t>
            </w:r>
          </w:p>
        </w:tc>
        <w:tc>
          <w:tcPr>
            <w:tcW w:w="6550" w:type="dxa"/>
            <w:tcMar>
              <w:top w:w="80" w:type="dxa"/>
              <w:left w:w="120" w:type="dxa"/>
              <w:bottom w:w="80" w:type="dxa"/>
              <w:right w:w="120" w:type="dxa"/>
            </w:tcMar>
            <w:vAlign w:val="center"/>
          </w:tcPr>
          <w:p w14:paraId="43F457BA" w14:textId="77777777" w:rsidR="00894DA9" w:rsidRPr="00722F33" w:rsidRDefault="00000000">
            <w:pPr>
              <w:spacing w:after="0" w:line="240" w:lineRule="auto"/>
              <w:rPr>
                <w:lang w:val="es-PE"/>
              </w:rPr>
            </w:pPr>
            <w:proofErr w:type="spellStart"/>
            <w:r w:rsidRPr="00722F33">
              <w:rPr>
                <w:rFonts w:ascii="Calibri" w:hAnsi="Calibri"/>
                <w:color w:val="243447"/>
                <w:sz w:val="14"/>
                <w:lang w:val="es-PE"/>
              </w:rPr>
              <w:t>Párrs</w:t>
            </w:r>
            <w:proofErr w:type="spellEnd"/>
            <w:r w:rsidRPr="00722F33">
              <w:rPr>
                <w:rFonts w:ascii="Calibri" w:hAnsi="Calibri"/>
                <w:color w:val="243447"/>
                <w:sz w:val="14"/>
                <w:lang w:val="es-PE"/>
              </w:rPr>
              <w:t>. 10–12: evidencia distrital/institucional y declaración sustentada del vacío de prevalencia local.</w:t>
            </w:r>
          </w:p>
        </w:tc>
      </w:tr>
      <w:tr w:rsidR="00894DA9" w:rsidRPr="00722F33" w14:paraId="5C069C76" w14:textId="77777777">
        <w:trPr>
          <w:cantSplit/>
        </w:trPr>
        <w:tc>
          <w:tcPr>
            <w:tcW w:w="430" w:type="dxa"/>
            <w:tcMar>
              <w:top w:w="80" w:type="dxa"/>
              <w:left w:w="120" w:type="dxa"/>
              <w:bottom w:w="80" w:type="dxa"/>
              <w:right w:w="120" w:type="dxa"/>
            </w:tcMar>
            <w:vAlign w:val="center"/>
          </w:tcPr>
          <w:p w14:paraId="2A9C86E6" w14:textId="77777777" w:rsidR="00894DA9" w:rsidRDefault="00000000">
            <w:pPr>
              <w:spacing w:after="0" w:line="240" w:lineRule="auto"/>
              <w:jc w:val="center"/>
            </w:pPr>
            <w:r>
              <w:rPr>
                <w:rFonts w:ascii="Calibri" w:hAnsi="Calibri"/>
                <w:b/>
                <w:color w:val="243447"/>
                <w:sz w:val="14"/>
              </w:rPr>
              <w:t>18</w:t>
            </w:r>
          </w:p>
        </w:tc>
        <w:tc>
          <w:tcPr>
            <w:tcW w:w="3750" w:type="dxa"/>
            <w:tcMar>
              <w:top w:w="80" w:type="dxa"/>
              <w:left w:w="120" w:type="dxa"/>
              <w:bottom w:w="80" w:type="dxa"/>
              <w:right w:w="120" w:type="dxa"/>
            </w:tcMar>
            <w:vAlign w:val="center"/>
          </w:tcPr>
          <w:p w14:paraId="51EFEC23" w14:textId="77777777" w:rsidR="00894DA9" w:rsidRPr="00722F33" w:rsidRDefault="00000000">
            <w:pPr>
              <w:spacing w:after="0" w:line="240" w:lineRule="auto"/>
              <w:rPr>
                <w:lang w:val="es-PE"/>
              </w:rPr>
            </w:pPr>
            <w:r w:rsidRPr="00722F33">
              <w:rPr>
                <w:rFonts w:ascii="Calibri" w:hAnsi="Calibri"/>
                <w:color w:val="243447"/>
                <w:sz w:val="14"/>
                <w:lang w:val="es-PE"/>
              </w:rPr>
              <w:t>Describe condiciones concretas del contexto local y de los estudiantes de quinto de secundaria, sin basarse en suposiciones o estereotipos.</w:t>
            </w:r>
          </w:p>
        </w:tc>
        <w:tc>
          <w:tcPr>
            <w:tcW w:w="640" w:type="dxa"/>
            <w:shd w:val="clear" w:color="auto" w:fill="EAF4EE"/>
            <w:tcMar>
              <w:top w:w="80" w:type="dxa"/>
              <w:left w:w="120" w:type="dxa"/>
              <w:bottom w:w="80" w:type="dxa"/>
              <w:right w:w="120" w:type="dxa"/>
            </w:tcMar>
            <w:vAlign w:val="center"/>
          </w:tcPr>
          <w:p w14:paraId="7C42D899" w14:textId="77777777" w:rsidR="00894DA9" w:rsidRDefault="00000000">
            <w:pPr>
              <w:spacing w:after="0" w:line="240" w:lineRule="auto"/>
              <w:jc w:val="center"/>
            </w:pPr>
            <w:r>
              <w:rPr>
                <w:rFonts w:ascii="Calibri" w:hAnsi="Calibri"/>
                <w:b/>
                <w:color w:val="1F5E3B"/>
                <w:sz w:val="18"/>
              </w:rPr>
              <w:t>X</w:t>
            </w:r>
          </w:p>
        </w:tc>
        <w:tc>
          <w:tcPr>
            <w:tcW w:w="6550" w:type="dxa"/>
            <w:tcMar>
              <w:top w:w="80" w:type="dxa"/>
              <w:left w:w="120" w:type="dxa"/>
              <w:bottom w:w="80" w:type="dxa"/>
              <w:right w:w="120" w:type="dxa"/>
            </w:tcMar>
            <w:vAlign w:val="center"/>
          </w:tcPr>
          <w:p w14:paraId="2B7C5647" w14:textId="77777777" w:rsidR="00894DA9" w:rsidRPr="00722F33" w:rsidRDefault="00000000">
            <w:pPr>
              <w:spacing w:after="0" w:line="240" w:lineRule="auto"/>
              <w:rPr>
                <w:lang w:val="es-PE"/>
              </w:rPr>
            </w:pPr>
            <w:proofErr w:type="spellStart"/>
            <w:r w:rsidRPr="00722F33">
              <w:rPr>
                <w:rFonts w:ascii="Calibri" w:hAnsi="Calibri"/>
                <w:color w:val="243447"/>
                <w:sz w:val="14"/>
                <w:lang w:val="es-PE"/>
              </w:rPr>
              <w:t>Párrs</w:t>
            </w:r>
            <w:proofErr w:type="spellEnd"/>
            <w:r w:rsidRPr="00722F33">
              <w:rPr>
                <w:rFonts w:ascii="Calibri" w:hAnsi="Calibri"/>
                <w:color w:val="243447"/>
                <w:sz w:val="14"/>
                <w:lang w:val="es-PE"/>
              </w:rPr>
              <w:t>. 1 y 10–12: describe transición de quinto grado, red local, promoción escolar y demanda asistencial sin estereotipos.</w:t>
            </w:r>
          </w:p>
        </w:tc>
      </w:tr>
      <w:tr w:rsidR="00894DA9" w:rsidRPr="00722F33" w14:paraId="0551E8E8" w14:textId="77777777">
        <w:trPr>
          <w:cantSplit/>
        </w:trPr>
        <w:tc>
          <w:tcPr>
            <w:tcW w:w="430" w:type="dxa"/>
            <w:tcMar>
              <w:top w:w="80" w:type="dxa"/>
              <w:left w:w="120" w:type="dxa"/>
              <w:bottom w:w="80" w:type="dxa"/>
              <w:right w:w="120" w:type="dxa"/>
            </w:tcMar>
            <w:vAlign w:val="center"/>
          </w:tcPr>
          <w:p w14:paraId="04AD3D54" w14:textId="77777777" w:rsidR="00894DA9" w:rsidRDefault="00000000">
            <w:pPr>
              <w:spacing w:after="0" w:line="240" w:lineRule="auto"/>
              <w:jc w:val="center"/>
            </w:pPr>
            <w:r>
              <w:rPr>
                <w:rFonts w:ascii="Calibri" w:hAnsi="Calibri"/>
                <w:b/>
                <w:color w:val="243447"/>
                <w:sz w:val="14"/>
              </w:rPr>
              <w:t>19</w:t>
            </w:r>
          </w:p>
        </w:tc>
        <w:tc>
          <w:tcPr>
            <w:tcW w:w="3750" w:type="dxa"/>
            <w:tcMar>
              <w:top w:w="80" w:type="dxa"/>
              <w:left w:w="120" w:type="dxa"/>
              <w:bottom w:w="80" w:type="dxa"/>
              <w:right w:w="120" w:type="dxa"/>
            </w:tcMar>
            <w:vAlign w:val="center"/>
          </w:tcPr>
          <w:p w14:paraId="0516668F" w14:textId="77777777" w:rsidR="00894DA9" w:rsidRPr="00722F33" w:rsidRDefault="00000000">
            <w:pPr>
              <w:spacing w:after="0" w:line="240" w:lineRule="auto"/>
              <w:rPr>
                <w:lang w:val="es-PE"/>
              </w:rPr>
            </w:pPr>
            <w:r w:rsidRPr="00722F33">
              <w:rPr>
                <w:rFonts w:ascii="Calibri" w:hAnsi="Calibri"/>
                <w:color w:val="243447"/>
                <w:sz w:val="14"/>
                <w:lang w:val="es-PE"/>
              </w:rPr>
              <w:t>Justifica por qué resulta necesario estudiar y medir la ansiedad en esta población y territorio específicos.</w:t>
            </w:r>
          </w:p>
        </w:tc>
        <w:tc>
          <w:tcPr>
            <w:tcW w:w="640" w:type="dxa"/>
            <w:shd w:val="clear" w:color="auto" w:fill="EAF4EE"/>
            <w:tcMar>
              <w:top w:w="80" w:type="dxa"/>
              <w:left w:w="120" w:type="dxa"/>
              <w:bottom w:w="80" w:type="dxa"/>
              <w:right w:w="120" w:type="dxa"/>
            </w:tcMar>
            <w:vAlign w:val="center"/>
          </w:tcPr>
          <w:p w14:paraId="4769216A" w14:textId="77777777" w:rsidR="00894DA9" w:rsidRDefault="00000000">
            <w:pPr>
              <w:spacing w:after="0" w:line="240" w:lineRule="auto"/>
              <w:jc w:val="center"/>
            </w:pPr>
            <w:r>
              <w:rPr>
                <w:rFonts w:ascii="Calibri" w:hAnsi="Calibri"/>
                <w:b/>
                <w:color w:val="1F5E3B"/>
                <w:sz w:val="18"/>
              </w:rPr>
              <w:t>X</w:t>
            </w:r>
          </w:p>
        </w:tc>
        <w:tc>
          <w:tcPr>
            <w:tcW w:w="6550" w:type="dxa"/>
            <w:tcMar>
              <w:top w:w="80" w:type="dxa"/>
              <w:left w:w="120" w:type="dxa"/>
              <w:bottom w:w="80" w:type="dxa"/>
              <w:right w:w="120" w:type="dxa"/>
            </w:tcMar>
            <w:vAlign w:val="center"/>
          </w:tcPr>
          <w:p w14:paraId="2733B275" w14:textId="77777777" w:rsidR="00894DA9" w:rsidRPr="00722F33" w:rsidRDefault="00000000">
            <w:pPr>
              <w:spacing w:after="0" w:line="240" w:lineRule="auto"/>
              <w:rPr>
                <w:lang w:val="es-PE"/>
              </w:rPr>
            </w:pPr>
            <w:r w:rsidRPr="00722F33">
              <w:rPr>
                <w:rFonts w:ascii="Calibri" w:hAnsi="Calibri"/>
                <w:color w:val="243447"/>
                <w:sz w:val="14"/>
                <w:lang w:val="es-PE"/>
              </w:rPr>
              <w:t>Párr. 12: justifica distrito y población por brecha de datos y necesidad institucional de medición.</w:t>
            </w:r>
          </w:p>
        </w:tc>
      </w:tr>
      <w:tr w:rsidR="00894DA9" w:rsidRPr="00722F33" w14:paraId="43EB8FAF" w14:textId="77777777">
        <w:trPr>
          <w:cantSplit/>
        </w:trPr>
        <w:tc>
          <w:tcPr>
            <w:tcW w:w="11370" w:type="dxa"/>
            <w:gridSpan w:val="4"/>
            <w:shd w:val="clear" w:color="auto" w:fill="E8EEF5"/>
            <w:tcMar>
              <w:top w:w="80" w:type="dxa"/>
              <w:left w:w="120" w:type="dxa"/>
              <w:bottom w:w="80" w:type="dxa"/>
              <w:right w:w="120" w:type="dxa"/>
            </w:tcMar>
          </w:tcPr>
          <w:p w14:paraId="3260BAD0" w14:textId="77777777" w:rsidR="00894DA9" w:rsidRPr="00722F33" w:rsidRDefault="00000000">
            <w:pPr>
              <w:spacing w:after="0" w:line="240" w:lineRule="auto"/>
              <w:rPr>
                <w:lang w:val="es-PE"/>
              </w:rPr>
            </w:pPr>
            <w:r w:rsidRPr="00722F33">
              <w:rPr>
                <w:rFonts w:ascii="Calibri" w:hAnsi="Calibri"/>
                <w:b/>
                <w:color w:val="1F4D78"/>
                <w:sz w:val="16"/>
                <w:lang w:val="es-PE"/>
              </w:rPr>
              <w:t>F. Consecuencias académicas, emocionales y sociales</w:t>
            </w:r>
          </w:p>
        </w:tc>
      </w:tr>
      <w:tr w:rsidR="00894DA9" w:rsidRPr="00722F33" w14:paraId="2F83D800" w14:textId="77777777">
        <w:trPr>
          <w:cantSplit/>
        </w:trPr>
        <w:tc>
          <w:tcPr>
            <w:tcW w:w="430" w:type="dxa"/>
            <w:tcMar>
              <w:top w:w="80" w:type="dxa"/>
              <w:left w:w="120" w:type="dxa"/>
              <w:bottom w:w="80" w:type="dxa"/>
              <w:right w:w="120" w:type="dxa"/>
            </w:tcMar>
            <w:vAlign w:val="center"/>
          </w:tcPr>
          <w:p w14:paraId="3EF40969" w14:textId="77777777" w:rsidR="00894DA9" w:rsidRDefault="00000000">
            <w:pPr>
              <w:spacing w:after="0" w:line="240" w:lineRule="auto"/>
              <w:jc w:val="center"/>
            </w:pPr>
            <w:r>
              <w:rPr>
                <w:rFonts w:ascii="Calibri" w:hAnsi="Calibri"/>
                <w:b/>
                <w:color w:val="243447"/>
                <w:sz w:val="14"/>
              </w:rPr>
              <w:t>20</w:t>
            </w:r>
          </w:p>
        </w:tc>
        <w:tc>
          <w:tcPr>
            <w:tcW w:w="3750" w:type="dxa"/>
            <w:tcMar>
              <w:top w:w="80" w:type="dxa"/>
              <w:left w:w="120" w:type="dxa"/>
              <w:bottom w:w="80" w:type="dxa"/>
              <w:right w:w="120" w:type="dxa"/>
            </w:tcMar>
            <w:vAlign w:val="center"/>
          </w:tcPr>
          <w:p w14:paraId="3319DD02" w14:textId="77777777" w:rsidR="00894DA9" w:rsidRPr="00722F33" w:rsidRDefault="00000000">
            <w:pPr>
              <w:spacing w:after="0" w:line="240" w:lineRule="auto"/>
              <w:rPr>
                <w:lang w:val="es-PE"/>
              </w:rPr>
            </w:pPr>
            <w:r w:rsidRPr="00722F33">
              <w:rPr>
                <w:rFonts w:ascii="Calibri" w:hAnsi="Calibri"/>
                <w:color w:val="243447"/>
                <w:sz w:val="14"/>
                <w:lang w:val="es-PE"/>
              </w:rPr>
              <w:t>Explica consecuencias académicas posibles (por ejemplo, concentración, rendimiento, participación, asistencia o afrontamiento de evaluaciones).</w:t>
            </w:r>
          </w:p>
        </w:tc>
        <w:tc>
          <w:tcPr>
            <w:tcW w:w="640" w:type="dxa"/>
            <w:shd w:val="clear" w:color="auto" w:fill="EAF4EE"/>
            <w:tcMar>
              <w:top w:w="80" w:type="dxa"/>
              <w:left w:w="120" w:type="dxa"/>
              <w:bottom w:w="80" w:type="dxa"/>
              <w:right w:w="120" w:type="dxa"/>
            </w:tcMar>
            <w:vAlign w:val="center"/>
          </w:tcPr>
          <w:p w14:paraId="024063BB" w14:textId="77777777" w:rsidR="00894DA9" w:rsidRDefault="00000000">
            <w:pPr>
              <w:spacing w:after="0" w:line="240" w:lineRule="auto"/>
              <w:jc w:val="center"/>
            </w:pPr>
            <w:r>
              <w:rPr>
                <w:rFonts w:ascii="Calibri" w:hAnsi="Calibri"/>
                <w:b/>
                <w:color w:val="1F5E3B"/>
                <w:sz w:val="18"/>
              </w:rPr>
              <w:t>X</w:t>
            </w:r>
          </w:p>
        </w:tc>
        <w:tc>
          <w:tcPr>
            <w:tcW w:w="6550" w:type="dxa"/>
            <w:tcMar>
              <w:top w:w="80" w:type="dxa"/>
              <w:left w:w="120" w:type="dxa"/>
              <w:bottom w:w="80" w:type="dxa"/>
              <w:right w:w="120" w:type="dxa"/>
            </w:tcMar>
            <w:vAlign w:val="center"/>
          </w:tcPr>
          <w:p w14:paraId="7B3EB3C7" w14:textId="77777777" w:rsidR="00894DA9" w:rsidRPr="00722F33" w:rsidRDefault="00000000">
            <w:pPr>
              <w:spacing w:after="0" w:line="240" w:lineRule="auto"/>
              <w:rPr>
                <w:lang w:val="es-PE"/>
              </w:rPr>
            </w:pPr>
            <w:r w:rsidRPr="00722F33">
              <w:rPr>
                <w:rFonts w:ascii="Calibri" w:hAnsi="Calibri"/>
                <w:color w:val="243447"/>
                <w:sz w:val="14"/>
                <w:lang w:val="es-PE"/>
              </w:rPr>
              <w:t>Párr. 13: explica concentración, evaluaciones, participación, asistencia y desempeño; diferencia factores y consecuencias.</w:t>
            </w:r>
          </w:p>
        </w:tc>
      </w:tr>
      <w:tr w:rsidR="00894DA9" w:rsidRPr="00722F33" w14:paraId="0C5C9FE3" w14:textId="77777777">
        <w:trPr>
          <w:cantSplit/>
        </w:trPr>
        <w:tc>
          <w:tcPr>
            <w:tcW w:w="430" w:type="dxa"/>
            <w:tcMar>
              <w:top w:w="80" w:type="dxa"/>
              <w:left w:w="120" w:type="dxa"/>
              <w:bottom w:w="80" w:type="dxa"/>
              <w:right w:w="120" w:type="dxa"/>
            </w:tcMar>
            <w:vAlign w:val="center"/>
          </w:tcPr>
          <w:p w14:paraId="70024865" w14:textId="77777777" w:rsidR="00894DA9" w:rsidRDefault="00000000">
            <w:pPr>
              <w:spacing w:after="0" w:line="240" w:lineRule="auto"/>
              <w:jc w:val="center"/>
            </w:pPr>
            <w:r>
              <w:rPr>
                <w:rFonts w:ascii="Calibri" w:hAnsi="Calibri"/>
                <w:b/>
                <w:color w:val="243447"/>
                <w:sz w:val="14"/>
              </w:rPr>
              <w:t>21</w:t>
            </w:r>
          </w:p>
        </w:tc>
        <w:tc>
          <w:tcPr>
            <w:tcW w:w="3750" w:type="dxa"/>
            <w:tcMar>
              <w:top w:w="80" w:type="dxa"/>
              <w:left w:w="120" w:type="dxa"/>
              <w:bottom w:w="80" w:type="dxa"/>
              <w:right w:w="120" w:type="dxa"/>
            </w:tcMar>
            <w:vAlign w:val="center"/>
          </w:tcPr>
          <w:p w14:paraId="22A04713" w14:textId="77777777" w:rsidR="00894DA9" w:rsidRPr="00722F33" w:rsidRDefault="00000000">
            <w:pPr>
              <w:spacing w:after="0" w:line="240" w:lineRule="auto"/>
              <w:rPr>
                <w:lang w:val="es-PE"/>
              </w:rPr>
            </w:pPr>
            <w:r w:rsidRPr="00722F33">
              <w:rPr>
                <w:rFonts w:ascii="Calibri" w:hAnsi="Calibri"/>
                <w:color w:val="243447"/>
                <w:sz w:val="14"/>
                <w:lang w:val="es-PE"/>
              </w:rPr>
              <w:t>Explica consecuencias emocionales posibles (por ejemplo, malestar, regulación emocional, sueño, autoconcepto o comorbilidad), con lenguaje no estigmatizante.</w:t>
            </w:r>
          </w:p>
        </w:tc>
        <w:tc>
          <w:tcPr>
            <w:tcW w:w="640" w:type="dxa"/>
            <w:shd w:val="clear" w:color="auto" w:fill="EAF4EE"/>
            <w:tcMar>
              <w:top w:w="80" w:type="dxa"/>
              <w:left w:w="120" w:type="dxa"/>
              <w:bottom w:w="80" w:type="dxa"/>
              <w:right w:w="120" w:type="dxa"/>
            </w:tcMar>
            <w:vAlign w:val="center"/>
          </w:tcPr>
          <w:p w14:paraId="79D36B75" w14:textId="77777777" w:rsidR="00894DA9" w:rsidRDefault="00000000">
            <w:pPr>
              <w:spacing w:after="0" w:line="240" w:lineRule="auto"/>
              <w:jc w:val="center"/>
            </w:pPr>
            <w:r>
              <w:rPr>
                <w:rFonts w:ascii="Calibri" w:hAnsi="Calibri"/>
                <w:b/>
                <w:color w:val="1F5E3B"/>
                <w:sz w:val="18"/>
              </w:rPr>
              <w:t>X</w:t>
            </w:r>
          </w:p>
        </w:tc>
        <w:tc>
          <w:tcPr>
            <w:tcW w:w="6550" w:type="dxa"/>
            <w:tcMar>
              <w:top w:w="80" w:type="dxa"/>
              <w:left w:w="120" w:type="dxa"/>
              <w:bottom w:w="80" w:type="dxa"/>
              <w:right w:w="120" w:type="dxa"/>
            </w:tcMar>
            <w:vAlign w:val="center"/>
          </w:tcPr>
          <w:p w14:paraId="3ECE5340" w14:textId="77777777" w:rsidR="00894DA9" w:rsidRPr="00722F33" w:rsidRDefault="00000000">
            <w:pPr>
              <w:spacing w:after="0" w:line="240" w:lineRule="auto"/>
              <w:rPr>
                <w:lang w:val="es-PE"/>
              </w:rPr>
            </w:pPr>
            <w:proofErr w:type="spellStart"/>
            <w:r w:rsidRPr="00722F33">
              <w:rPr>
                <w:rFonts w:ascii="Calibri" w:hAnsi="Calibri"/>
                <w:color w:val="243447"/>
                <w:sz w:val="14"/>
                <w:lang w:val="es-PE"/>
              </w:rPr>
              <w:t>Párrs</w:t>
            </w:r>
            <w:proofErr w:type="spellEnd"/>
            <w:r w:rsidRPr="00722F33">
              <w:rPr>
                <w:rFonts w:ascii="Calibri" w:hAnsi="Calibri"/>
                <w:color w:val="243447"/>
                <w:sz w:val="14"/>
                <w:lang w:val="es-PE"/>
              </w:rPr>
              <w:t>. 2 y 14: explica preocupación, tensión, irritabilidad, sueño y regulación emocional con lenguaje no estigmatizante.</w:t>
            </w:r>
          </w:p>
        </w:tc>
      </w:tr>
      <w:tr w:rsidR="00894DA9" w:rsidRPr="00722F33" w14:paraId="6EF2D491" w14:textId="77777777">
        <w:trPr>
          <w:cantSplit/>
        </w:trPr>
        <w:tc>
          <w:tcPr>
            <w:tcW w:w="430" w:type="dxa"/>
            <w:tcMar>
              <w:top w:w="80" w:type="dxa"/>
              <w:left w:w="120" w:type="dxa"/>
              <w:bottom w:w="80" w:type="dxa"/>
              <w:right w:w="120" w:type="dxa"/>
            </w:tcMar>
            <w:vAlign w:val="center"/>
          </w:tcPr>
          <w:p w14:paraId="586E6E94" w14:textId="77777777" w:rsidR="00894DA9" w:rsidRDefault="00000000">
            <w:pPr>
              <w:spacing w:after="0" w:line="240" w:lineRule="auto"/>
              <w:jc w:val="center"/>
            </w:pPr>
            <w:r>
              <w:rPr>
                <w:rFonts w:ascii="Calibri" w:hAnsi="Calibri"/>
                <w:b/>
                <w:color w:val="243447"/>
                <w:sz w:val="14"/>
              </w:rPr>
              <w:t>22</w:t>
            </w:r>
          </w:p>
        </w:tc>
        <w:tc>
          <w:tcPr>
            <w:tcW w:w="3750" w:type="dxa"/>
            <w:tcMar>
              <w:top w:w="80" w:type="dxa"/>
              <w:left w:w="120" w:type="dxa"/>
              <w:bottom w:w="80" w:type="dxa"/>
              <w:right w:w="120" w:type="dxa"/>
            </w:tcMar>
            <w:vAlign w:val="center"/>
          </w:tcPr>
          <w:p w14:paraId="1F94F690" w14:textId="77777777" w:rsidR="00894DA9" w:rsidRPr="00722F33" w:rsidRDefault="00000000">
            <w:pPr>
              <w:spacing w:after="0" w:line="240" w:lineRule="auto"/>
              <w:rPr>
                <w:lang w:val="es-PE"/>
              </w:rPr>
            </w:pPr>
            <w:r w:rsidRPr="00722F33">
              <w:rPr>
                <w:rFonts w:ascii="Calibri" w:hAnsi="Calibri"/>
                <w:color w:val="243447"/>
                <w:sz w:val="14"/>
                <w:lang w:val="es-PE"/>
              </w:rPr>
              <w:t>Explica consecuencias sociales posibles (por ejemplo, relaciones con pares, familia, docentes, integración o participación escolar).</w:t>
            </w:r>
          </w:p>
        </w:tc>
        <w:tc>
          <w:tcPr>
            <w:tcW w:w="640" w:type="dxa"/>
            <w:shd w:val="clear" w:color="auto" w:fill="EAF4EE"/>
            <w:tcMar>
              <w:top w:w="80" w:type="dxa"/>
              <w:left w:w="120" w:type="dxa"/>
              <w:bottom w:w="80" w:type="dxa"/>
              <w:right w:w="120" w:type="dxa"/>
            </w:tcMar>
            <w:vAlign w:val="center"/>
          </w:tcPr>
          <w:p w14:paraId="30C3C123" w14:textId="77777777" w:rsidR="00894DA9" w:rsidRDefault="00000000">
            <w:pPr>
              <w:spacing w:after="0" w:line="240" w:lineRule="auto"/>
              <w:jc w:val="center"/>
            </w:pPr>
            <w:r>
              <w:rPr>
                <w:rFonts w:ascii="Calibri" w:hAnsi="Calibri"/>
                <w:b/>
                <w:color w:val="1F5E3B"/>
                <w:sz w:val="18"/>
              </w:rPr>
              <w:t>X</w:t>
            </w:r>
          </w:p>
        </w:tc>
        <w:tc>
          <w:tcPr>
            <w:tcW w:w="6550" w:type="dxa"/>
            <w:tcMar>
              <w:top w:w="80" w:type="dxa"/>
              <w:left w:w="120" w:type="dxa"/>
              <w:bottom w:w="80" w:type="dxa"/>
              <w:right w:w="120" w:type="dxa"/>
            </w:tcMar>
            <w:vAlign w:val="center"/>
          </w:tcPr>
          <w:p w14:paraId="60D538D9" w14:textId="77777777" w:rsidR="00894DA9" w:rsidRPr="00722F33" w:rsidRDefault="00000000">
            <w:pPr>
              <w:spacing w:after="0" w:line="240" w:lineRule="auto"/>
              <w:rPr>
                <w:lang w:val="es-PE"/>
              </w:rPr>
            </w:pPr>
            <w:r w:rsidRPr="00722F33">
              <w:rPr>
                <w:rFonts w:ascii="Calibri" w:hAnsi="Calibri"/>
                <w:color w:val="243447"/>
                <w:sz w:val="14"/>
                <w:lang w:val="es-PE"/>
              </w:rPr>
              <w:t>Párr. 14: explica retraimiento, interacción con pares, petición de ayuda y participación familiar/escolar.</w:t>
            </w:r>
          </w:p>
        </w:tc>
      </w:tr>
      <w:tr w:rsidR="00894DA9" w:rsidRPr="00722F33" w14:paraId="70126400" w14:textId="77777777">
        <w:trPr>
          <w:cantSplit/>
        </w:trPr>
        <w:tc>
          <w:tcPr>
            <w:tcW w:w="430" w:type="dxa"/>
            <w:tcMar>
              <w:top w:w="80" w:type="dxa"/>
              <w:left w:w="120" w:type="dxa"/>
              <w:bottom w:w="80" w:type="dxa"/>
              <w:right w:w="120" w:type="dxa"/>
            </w:tcMar>
            <w:vAlign w:val="center"/>
          </w:tcPr>
          <w:p w14:paraId="74D1A28D" w14:textId="77777777" w:rsidR="00894DA9" w:rsidRDefault="00000000">
            <w:pPr>
              <w:spacing w:after="0" w:line="240" w:lineRule="auto"/>
              <w:jc w:val="center"/>
            </w:pPr>
            <w:r>
              <w:rPr>
                <w:rFonts w:ascii="Calibri" w:hAnsi="Calibri"/>
                <w:b/>
                <w:color w:val="243447"/>
                <w:sz w:val="14"/>
              </w:rPr>
              <w:t>23</w:t>
            </w:r>
          </w:p>
        </w:tc>
        <w:tc>
          <w:tcPr>
            <w:tcW w:w="3750" w:type="dxa"/>
            <w:tcMar>
              <w:top w:w="80" w:type="dxa"/>
              <w:left w:w="120" w:type="dxa"/>
              <w:bottom w:w="80" w:type="dxa"/>
              <w:right w:w="120" w:type="dxa"/>
            </w:tcMar>
            <w:vAlign w:val="center"/>
          </w:tcPr>
          <w:p w14:paraId="2956005F" w14:textId="77777777" w:rsidR="00894DA9" w:rsidRPr="00722F33" w:rsidRDefault="00000000">
            <w:pPr>
              <w:spacing w:after="0" w:line="240" w:lineRule="auto"/>
              <w:rPr>
                <w:lang w:val="es-PE"/>
              </w:rPr>
            </w:pPr>
            <w:r w:rsidRPr="00722F33">
              <w:rPr>
                <w:rFonts w:ascii="Calibri" w:hAnsi="Calibri"/>
                <w:color w:val="243447"/>
                <w:sz w:val="14"/>
                <w:lang w:val="es-PE"/>
              </w:rPr>
              <w:t>Sustenta las consecuencias con evidencia y muestra por qué su identificación depende de una medición válida y confiable.</w:t>
            </w:r>
          </w:p>
        </w:tc>
        <w:tc>
          <w:tcPr>
            <w:tcW w:w="640" w:type="dxa"/>
            <w:shd w:val="clear" w:color="auto" w:fill="EAF4EE"/>
            <w:tcMar>
              <w:top w:w="80" w:type="dxa"/>
              <w:left w:w="120" w:type="dxa"/>
              <w:bottom w:w="80" w:type="dxa"/>
              <w:right w:w="120" w:type="dxa"/>
            </w:tcMar>
            <w:vAlign w:val="center"/>
          </w:tcPr>
          <w:p w14:paraId="63590DCF" w14:textId="77777777" w:rsidR="00894DA9" w:rsidRDefault="00000000">
            <w:pPr>
              <w:spacing w:after="0" w:line="240" w:lineRule="auto"/>
              <w:jc w:val="center"/>
            </w:pPr>
            <w:r>
              <w:rPr>
                <w:rFonts w:ascii="Calibri" w:hAnsi="Calibri"/>
                <w:b/>
                <w:color w:val="1F5E3B"/>
                <w:sz w:val="18"/>
              </w:rPr>
              <w:t>X</w:t>
            </w:r>
          </w:p>
        </w:tc>
        <w:tc>
          <w:tcPr>
            <w:tcW w:w="6550" w:type="dxa"/>
            <w:tcMar>
              <w:top w:w="80" w:type="dxa"/>
              <w:left w:w="120" w:type="dxa"/>
              <w:bottom w:w="80" w:type="dxa"/>
              <w:right w:w="120" w:type="dxa"/>
            </w:tcMar>
            <w:vAlign w:val="center"/>
          </w:tcPr>
          <w:p w14:paraId="6A739B1C" w14:textId="77777777" w:rsidR="00894DA9" w:rsidRPr="00722F33" w:rsidRDefault="00000000">
            <w:pPr>
              <w:spacing w:after="0" w:line="240" w:lineRule="auto"/>
              <w:rPr>
                <w:lang w:val="es-PE"/>
              </w:rPr>
            </w:pPr>
            <w:proofErr w:type="spellStart"/>
            <w:r w:rsidRPr="00722F33">
              <w:rPr>
                <w:rFonts w:ascii="Calibri" w:hAnsi="Calibri"/>
                <w:color w:val="243447"/>
                <w:sz w:val="14"/>
                <w:lang w:val="es-PE"/>
              </w:rPr>
              <w:t>Párrs</w:t>
            </w:r>
            <w:proofErr w:type="spellEnd"/>
            <w:r w:rsidRPr="00722F33">
              <w:rPr>
                <w:rFonts w:ascii="Calibri" w:hAnsi="Calibri"/>
                <w:color w:val="243447"/>
                <w:sz w:val="14"/>
                <w:lang w:val="es-PE"/>
              </w:rPr>
              <w:t>. 13–14: sustenta consecuencias y explica los riesgos de decisiones basadas en mediciones imprecisas.</w:t>
            </w:r>
          </w:p>
        </w:tc>
      </w:tr>
      <w:tr w:rsidR="00894DA9" w:rsidRPr="00722F33" w14:paraId="08ADDC43" w14:textId="77777777">
        <w:trPr>
          <w:cantSplit/>
        </w:trPr>
        <w:tc>
          <w:tcPr>
            <w:tcW w:w="11370" w:type="dxa"/>
            <w:gridSpan w:val="4"/>
            <w:shd w:val="clear" w:color="auto" w:fill="E8EEF5"/>
            <w:tcMar>
              <w:top w:w="80" w:type="dxa"/>
              <w:left w:w="120" w:type="dxa"/>
              <w:bottom w:w="80" w:type="dxa"/>
              <w:right w:w="120" w:type="dxa"/>
            </w:tcMar>
          </w:tcPr>
          <w:p w14:paraId="0C93443F" w14:textId="77777777" w:rsidR="00894DA9" w:rsidRPr="00722F33" w:rsidRDefault="00000000">
            <w:pPr>
              <w:spacing w:after="0" w:line="240" w:lineRule="auto"/>
              <w:rPr>
                <w:lang w:val="es-PE"/>
              </w:rPr>
            </w:pPr>
            <w:r w:rsidRPr="00722F33">
              <w:rPr>
                <w:rFonts w:ascii="Calibri" w:hAnsi="Calibri"/>
                <w:b/>
                <w:color w:val="1F4D78"/>
                <w:sz w:val="16"/>
                <w:lang w:val="es-PE"/>
              </w:rPr>
              <w:t>G. Coherencia argumentativa y respaldo de la información</w:t>
            </w:r>
          </w:p>
        </w:tc>
      </w:tr>
      <w:tr w:rsidR="00894DA9" w:rsidRPr="00722F33" w14:paraId="722D263C" w14:textId="77777777">
        <w:trPr>
          <w:cantSplit/>
        </w:trPr>
        <w:tc>
          <w:tcPr>
            <w:tcW w:w="430" w:type="dxa"/>
            <w:tcMar>
              <w:top w:w="80" w:type="dxa"/>
              <w:left w:w="120" w:type="dxa"/>
              <w:bottom w:w="80" w:type="dxa"/>
              <w:right w:w="120" w:type="dxa"/>
            </w:tcMar>
            <w:vAlign w:val="center"/>
          </w:tcPr>
          <w:p w14:paraId="10E7B2BC" w14:textId="77777777" w:rsidR="00894DA9" w:rsidRDefault="00000000">
            <w:pPr>
              <w:spacing w:after="0" w:line="240" w:lineRule="auto"/>
              <w:jc w:val="center"/>
            </w:pPr>
            <w:r>
              <w:rPr>
                <w:rFonts w:ascii="Calibri" w:hAnsi="Calibri"/>
                <w:b/>
                <w:color w:val="243447"/>
                <w:sz w:val="14"/>
              </w:rPr>
              <w:t>24</w:t>
            </w:r>
          </w:p>
        </w:tc>
        <w:tc>
          <w:tcPr>
            <w:tcW w:w="3750" w:type="dxa"/>
            <w:tcMar>
              <w:top w:w="80" w:type="dxa"/>
              <w:left w:w="120" w:type="dxa"/>
              <w:bottom w:w="80" w:type="dxa"/>
              <w:right w:w="120" w:type="dxa"/>
            </w:tcMar>
            <w:vAlign w:val="center"/>
          </w:tcPr>
          <w:p w14:paraId="23C09936" w14:textId="77777777" w:rsidR="00894DA9" w:rsidRPr="00722F33" w:rsidRDefault="00000000">
            <w:pPr>
              <w:spacing w:after="0" w:line="240" w:lineRule="auto"/>
              <w:rPr>
                <w:lang w:val="es-PE"/>
              </w:rPr>
            </w:pPr>
            <w:r w:rsidRPr="00722F33">
              <w:rPr>
                <w:rFonts w:ascii="Calibri" w:hAnsi="Calibri"/>
                <w:color w:val="243447"/>
                <w:sz w:val="14"/>
                <w:lang w:val="es-PE"/>
              </w:rPr>
              <w:t>Organiza la problemática de manera progresiva: internacional, latinoamericana, nacional y local.</w:t>
            </w:r>
          </w:p>
        </w:tc>
        <w:tc>
          <w:tcPr>
            <w:tcW w:w="640" w:type="dxa"/>
            <w:shd w:val="clear" w:color="auto" w:fill="EAF4EE"/>
            <w:tcMar>
              <w:top w:w="80" w:type="dxa"/>
              <w:left w:w="120" w:type="dxa"/>
              <w:bottom w:w="80" w:type="dxa"/>
              <w:right w:w="120" w:type="dxa"/>
            </w:tcMar>
            <w:vAlign w:val="center"/>
          </w:tcPr>
          <w:p w14:paraId="2EC267F6" w14:textId="77777777" w:rsidR="00894DA9" w:rsidRDefault="00000000">
            <w:pPr>
              <w:spacing w:after="0" w:line="240" w:lineRule="auto"/>
              <w:jc w:val="center"/>
            </w:pPr>
            <w:r>
              <w:rPr>
                <w:rFonts w:ascii="Calibri" w:hAnsi="Calibri"/>
                <w:b/>
                <w:color w:val="1F5E3B"/>
                <w:sz w:val="18"/>
              </w:rPr>
              <w:t>X</w:t>
            </w:r>
          </w:p>
        </w:tc>
        <w:tc>
          <w:tcPr>
            <w:tcW w:w="6550" w:type="dxa"/>
            <w:tcMar>
              <w:top w:w="80" w:type="dxa"/>
              <w:left w:w="120" w:type="dxa"/>
              <w:bottom w:w="80" w:type="dxa"/>
              <w:right w:w="120" w:type="dxa"/>
            </w:tcMar>
            <w:vAlign w:val="center"/>
          </w:tcPr>
          <w:p w14:paraId="731B1CCF" w14:textId="77777777" w:rsidR="00894DA9" w:rsidRPr="00722F33" w:rsidRDefault="00000000">
            <w:pPr>
              <w:spacing w:after="0" w:line="240" w:lineRule="auto"/>
              <w:rPr>
                <w:lang w:val="es-PE"/>
              </w:rPr>
            </w:pPr>
            <w:proofErr w:type="spellStart"/>
            <w:r w:rsidRPr="00722F33">
              <w:rPr>
                <w:rFonts w:ascii="Calibri" w:hAnsi="Calibri"/>
                <w:color w:val="243447"/>
                <w:sz w:val="14"/>
                <w:lang w:val="es-PE"/>
              </w:rPr>
              <w:t>Párrs</w:t>
            </w:r>
            <w:proofErr w:type="spellEnd"/>
            <w:r w:rsidRPr="00722F33">
              <w:rPr>
                <w:rFonts w:ascii="Calibri" w:hAnsi="Calibri"/>
                <w:color w:val="243447"/>
                <w:sz w:val="14"/>
                <w:lang w:val="es-PE"/>
              </w:rPr>
              <w:t>. 3–12: secuencia expresa internacional → Latinoamérica → Perú → Villa El Salvador.</w:t>
            </w:r>
          </w:p>
        </w:tc>
      </w:tr>
      <w:tr w:rsidR="00894DA9" w:rsidRPr="00722F33" w14:paraId="6985633D" w14:textId="77777777">
        <w:trPr>
          <w:cantSplit/>
        </w:trPr>
        <w:tc>
          <w:tcPr>
            <w:tcW w:w="430" w:type="dxa"/>
            <w:tcMar>
              <w:top w:w="80" w:type="dxa"/>
              <w:left w:w="120" w:type="dxa"/>
              <w:bottom w:w="80" w:type="dxa"/>
              <w:right w:w="120" w:type="dxa"/>
            </w:tcMar>
            <w:vAlign w:val="center"/>
          </w:tcPr>
          <w:p w14:paraId="4920C182" w14:textId="77777777" w:rsidR="00894DA9" w:rsidRDefault="00000000">
            <w:pPr>
              <w:spacing w:after="0" w:line="240" w:lineRule="auto"/>
              <w:jc w:val="center"/>
            </w:pPr>
            <w:r>
              <w:rPr>
                <w:rFonts w:ascii="Calibri" w:hAnsi="Calibri"/>
                <w:b/>
                <w:color w:val="243447"/>
                <w:sz w:val="14"/>
              </w:rPr>
              <w:lastRenderedPageBreak/>
              <w:t>25</w:t>
            </w:r>
          </w:p>
        </w:tc>
        <w:tc>
          <w:tcPr>
            <w:tcW w:w="3750" w:type="dxa"/>
            <w:tcMar>
              <w:top w:w="80" w:type="dxa"/>
              <w:left w:w="120" w:type="dxa"/>
              <w:bottom w:w="80" w:type="dxa"/>
              <w:right w:w="120" w:type="dxa"/>
            </w:tcMar>
            <w:vAlign w:val="center"/>
          </w:tcPr>
          <w:p w14:paraId="08AC7FDB" w14:textId="77777777" w:rsidR="00894DA9" w:rsidRPr="00722F33" w:rsidRDefault="00000000">
            <w:pPr>
              <w:spacing w:after="0" w:line="240" w:lineRule="auto"/>
              <w:rPr>
                <w:lang w:val="es-PE"/>
              </w:rPr>
            </w:pPr>
            <w:r w:rsidRPr="00722F33">
              <w:rPr>
                <w:rFonts w:ascii="Calibri" w:hAnsi="Calibri"/>
                <w:color w:val="243447"/>
                <w:sz w:val="14"/>
                <w:lang w:val="es-PE"/>
              </w:rPr>
              <w:t>Conecta los párrafos mediante síntesis y transiciones; las estadísticas y citas no aparecen como datos aislados.</w:t>
            </w:r>
          </w:p>
        </w:tc>
        <w:tc>
          <w:tcPr>
            <w:tcW w:w="640" w:type="dxa"/>
            <w:shd w:val="clear" w:color="auto" w:fill="EAF4EE"/>
            <w:tcMar>
              <w:top w:w="80" w:type="dxa"/>
              <w:left w:w="120" w:type="dxa"/>
              <w:bottom w:w="80" w:type="dxa"/>
              <w:right w:w="120" w:type="dxa"/>
            </w:tcMar>
            <w:vAlign w:val="center"/>
          </w:tcPr>
          <w:p w14:paraId="5CB1B00D" w14:textId="77777777" w:rsidR="00894DA9" w:rsidRDefault="00000000">
            <w:pPr>
              <w:spacing w:after="0" w:line="240" w:lineRule="auto"/>
              <w:jc w:val="center"/>
            </w:pPr>
            <w:r>
              <w:rPr>
                <w:rFonts w:ascii="Calibri" w:hAnsi="Calibri"/>
                <w:b/>
                <w:color w:val="1F5E3B"/>
                <w:sz w:val="18"/>
              </w:rPr>
              <w:t>X</w:t>
            </w:r>
          </w:p>
        </w:tc>
        <w:tc>
          <w:tcPr>
            <w:tcW w:w="6550" w:type="dxa"/>
            <w:tcMar>
              <w:top w:w="80" w:type="dxa"/>
              <w:left w:w="120" w:type="dxa"/>
              <w:bottom w:w="80" w:type="dxa"/>
              <w:right w:w="120" w:type="dxa"/>
            </w:tcMar>
            <w:vAlign w:val="center"/>
          </w:tcPr>
          <w:p w14:paraId="27BBC51B" w14:textId="77777777" w:rsidR="00894DA9" w:rsidRPr="00722F33" w:rsidRDefault="00000000">
            <w:pPr>
              <w:spacing w:after="0" w:line="240" w:lineRule="auto"/>
              <w:rPr>
                <w:lang w:val="es-PE"/>
              </w:rPr>
            </w:pPr>
            <w:r w:rsidRPr="00722F33">
              <w:rPr>
                <w:rFonts w:ascii="Calibri" w:hAnsi="Calibri"/>
                <w:color w:val="243447"/>
                <w:sz w:val="14"/>
                <w:lang w:val="es-PE"/>
              </w:rPr>
              <w:t>Todos los bloques concluyen con síntesis o transición; las cifras se interpretan y sus límites se explicitan.</w:t>
            </w:r>
          </w:p>
        </w:tc>
      </w:tr>
      <w:tr w:rsidR="00894DA9" w:rsidRPr="00722F33" w14:paraId="1C6DE3CA" w14:textId="77777777">
        <w:trPr>
          <w:cantSplit/>
        </w:trPr>
        <w:tc>
          <w:tcPr>
            <w:tcW w:w="430" w:type="dxa"/>
            <w:tcMar>
              <w:top w:w="80" w:type="dxa"/>
              <w:left w:w="120" w:type="dxa"/>
              <w:bottom w:w="80" w:type="dxa"/>
              <w:right w:w="120" w:type="dxa"/>
            </w:tcMar>
            <w:vAlign w:val="center"/>
          </w:tcPr>
          <w:p w14:paraId="3D3D1179" w14:textId="77777777" w:rsidR="00894DA9" w:rsidRDefault="00000000">
            <w:pPr>
              <w:spacing w:after="0" w:line="240" w:lineRule="auto"/>
              <w:jc w:val="center"/>
            </w:pPr>
            <w:r>
              <w:rPr>
                <w:rFonts w:ascii="Calibri" w:hAnsi="Calibri"/>
                <w:b/>
                <w:color w:val="243447"/>
                <w:sz w:val="14"/>
              </w:rPr>
              <w:t>26</w:t>
            </w:r>
          </w:p>
        </w:tc>
        <w:tc>
          <w:tcPr>
            <w:tcW w:w="3750" w:type="dxa"/>
            <w:tcMar>
              <w:top w:w="80" w:type="dxa"/>
              <w:left w:w="120" w:type="dxa"/>
              <w:bottom w:w="80" w:type="dxa"/>
              <w:right w:w="120" w:type="dxa"/>
            </w:tcMar>
            <w:vAlign w:val="center"/>
          </w:tcPr>
          <w:p w14:paraId="6AD42187" w14:textId="77777777" w:rsidR="00894DA9" w:rsidRPr="00722F33" w:rsidRDefault="00000000">
            <w:pPr>
              <w:spacing w:after="0" w:line="240" w:lineRule="auto"/>
              <w:rPr>
                <w:lang w:val="es-PE"/>
              </w:rPr>
            </w:pPr>
            <w:r w:rsidRPr="00722F33">
              <w:rPr>
                <w:rFonts w:ascii="Calibri" w:hAnsi="Calibri"/>
                <w:color w:val="243447"/>
                <w:sz w:val="14"/>
                <w:lang w:val="es-PE"/>
              </w:rPr>
              <w:t>Utiliza fuentes pertinentes y suficientemente actuales, y mantiene correspondencia entre citas, cifras, población, contexto y referencias.</w:t>
            </w:r>
          </w:p>
        </w:tc>
        <w:tc>
          <w:tcPr>
            <w:tcW w:w="640" w:type="dxa"/>
            <w:shd w:val="clear" w:color="auto" w:fill="EAF4EE"/>
            <w:tcMar>
              <w:top w:w="80" w:type="dxa"/>
              <w:left w:w="120" w:type="dxa"/>
              <w:bottom w:w="80" w:type="dxa"/>
              <w:right w:w="120" w:type="dxa"/>
            </w:tcMar>
            <w:vAlign w:val="center"/>
          </w:tcPr>
          <w:p w14:paraId="67171853" w14:textId="77777777" w:rsidR="00894DA9" w:rsidRDefault="00000000">
            <w:pPr>
              <w:spacing w:after="0" w:line="240" w:lineRule="auto"/>
              <w:jc w:val="center"/>
            </w:pPr>
            <w:r>
              <w:rPr>
                <w:rFonts w:ascii="Calibri" w:hAnsi="Calibri"/>
                <w:b/>
                <w:color w:val="1F5E3B"/>
                <w:sz w:val="18"/>
              </w:rPr>
              <w:t>X</w:t>
            </w:r>
          </w:p>
        </w:tc>
        <w:tc>
          <w:tcPr>
            <w:tcW w:w="6550" w:type="dxa"/>
            <w:tcMar>
              <w:top w:w="80" w:type="dxa"/>
              <w:left w:w="120" w:type="dxa"/>
              <w:bottom w:w="80" w:type="dxa"/>
              <w:right w:w="120" w:type="dxa"/>
            </w:tcMar>
            <w:vAlign w:val="center"/>
          </w:tcPr>
          <w:p w14:paraId="7C0D11B9" w14:textId="77777777" w:rsidR="00894DA9" w:rsidRPr="00722F33" w:rsidRDefault="00000000">
            <w:pPr>
              <w:spacing w:after="0" w:line="240" w:lineRule="auto"/>
              <w:rPr>
                <w:lang w:val="es-PE"/>
              </w:rPr>
            </w:pPr>
            <w:r w:rsidRPr="00722F33">
              <w:rPr>
                <w:rFonts w:ascii="Calibri" w:hAnsi="Calibri"/>
                <w:color w:val="243447"/>
                <w:sz w:val="14"/>
                <w:lang w:val="es-PE"/>
              </w:rPr>
              <w:t>Referencias auditadas: se mantiene correspondencia entre autor, fecha, cifra, población y contexto; se eliminaron citas inconsistentes.</w:t>
            </w:r>
          </w:p>
        </w:tc>
      </w:tr>
      <w:tr w:rsidR="00894DA9" w:rsidRPr="00722F33" w14:paraId="42B23A7D" w14:textId="77777777">
        <w:trPr>
          <w:cantSplit/>
        </w:trPr>
        <w:tc>
          <w:tcPr>
            <w:tcW w:w="430" w:type="dxa"/>
            <w:tcMar>
              <w:top w:w="80" w:type="dxa"/>
              <w:left w:w="120" w:type="dxa"/>
              <w:bottom w:w="80" w:type="dxa"/>
              <w:right w:w="120" w:type="dxa"/>
            </w:tcMar>
            <w:vAlign w:val="center"/>
          </w:tcPr>
          <w:p w14:paraId="3EC88058" w14:textId="77777777" w:rsidR="00894DA9" w:rsidRDefault="00000000">
            <w:pPr>
              <w:spacing w:after="0" w:line="240" w:lineRule="auto"/>
              <w:jc w:val="center"/>
            </w:pPr>
            <w:r>
              <w:rPr>
                <w:rFonts w:ascii="Calibri" w:hAnsi="Calibri"/>
                <w:b/>
                <w:color w:val="243447"/>
                <w:sz w:val="14"/>
              </w:rPr>
              <w:t>27</w:t>
            </w:r>
          </w:p>
        </w:tc>
        <w:tc>
          <w:tcPr>
            <w:tcW w:w="3750" w:type="dxa"/>
            <w:tcMar>
              <w:top w:w="80" w:type="dxa"/>
              <w:left w:w="120" w:type="dxa"/>
              <w:bottom w:w="80" w:type="dxa"/>
              <w:right w:w="120" w:type="dxa"/>
            </w:tcMar>
            <w:vAlign w:val="center"/>
          </w:tcPr>
          <w:p w14:paraId="2CF08025" w14:textId="77777777" w:rsidR="00894DA9" w:rsidRPr="00722F33" w:rsidRDefault="00000000">
            <w:pPr>
              <w:spacing w:after="0" w:line="240" w:lineRule="auto"/>
              <w:rPr>
                <w:lang w:val="es-PE"/>
              </w:rPr>
            </w:pPr>
            <w:r w:rsidRPr="00722F33">
              <w:rPr>
                <w:rFonts w:ascii="Calibri" w:hAnsi="Calibri"/>
                <w:color w:val="243447"/>
                <w:sz w:val="14"/>
                <w:lang w:val="es-PE"/>
              </w:rPr>
              <w:t>Emplea redacción académica clara, precisa y no estigmatizante; evita redundancias y afirmaciones causales que la evidencia no permite sostener.</w:t>
            </w:r>
          </w:p>
        </w:tc>
        <w:tc>
          <w:tcPr>
            <w:tcW w:w="640" w:type="dxa"/>
            <w:shd w:val="clear" w:color="auto" w:fill="EAF4EE"/>
            <w:tcMar>
              <w:top w:w="80" w:type="dxa"/>
              <w:left w:w="120" w:type="dxa"/>
              <w:bottom w:w="80" w:type="dxa"/>
              <w:right w:w="120" w:type="dxa"/>
            </w:tcMar>
            <w:vAlign w:val="center"/>
          </w:tcPr>
          <w:p w14:paraId="2170CC8E" w14:textId="77777777" w:rsidR="00894DA9" w:rsidRDefault="00000000">
            <w:pPr>
              <w:spacing w:after="0" w:line="240" w:lineRule="auto"/>
              <w:jc w:val="center"/>
            </w:pPr>
            <w:r>
              <w:rPr>
                <w:rFonts w:ascii="Calibri" w:hAnsi="Calibri"/>
                <w:b/>
                <w:color w:val="1F5E3B"/>
                <w:sz w:val="18"/>
              </w:rPr>
              <w:t>X</w:t>
            </w:r>
          </w:p>
        </w:tc>
        <w:tc>
          <w:tcPr>
            <w:tcW w:w="6550" w:type="dxa"/>
            <w:tcMar>
              <w:top w:w="80" w:type="dxa"/>
              <w:left w:w="120" w:type="dxa"/>
              <w:bottom w:w="80" w:type="dxa"/>
              <w:right w:w="120" w:type="dxa"/>
            </w:tcMar>
            <w:vAlign w:val="center"/>
          </w:tcPr>
          <w:p w14:paraId="7F643781" w14:textId="77777777" w:rsidR="00894DA9" w:rsidRPr="00722F33" w:rsidRDefault="00000000">
            <w:pPr>
              <w:spacing w:after="0" w:line="240" w:lineRule="auto"/>
              <w:rPr>
                <w:lang w:val="es-PE"/>
              </w:rPr>
            </w:pPr>
            <w:r w:rsidRPr="00722F33">
              <w:rPr>
                <w:rFonts w:ascii="Calibri" w:hAnsi="Calibri"/>
                <w:color w:val="243447"/>
                <w:sz w:val="14"/>
                <w:lang w:val="es-PE"/>
              </w:rPr>
              <w:t>Redacción integral revisada: tono académico, cautela causal, precisión terminológica y ausencia de expresiones estigmatizantes.</w:t>
            </w:r>
          </w:p>
        </w:tc>
      </w:tr>
      <w:tr w:rsidR="00894DA9" w:rsidRPr="00722F33" w14:paraId="5B6CB694" w14:textId="77777777">
        <w:trPr>
          <w:cantSplit/>
        </w:trPr>
        <w:tc>
          <w:tcPr>
            <w:tcW w:w="11370" w:type="dxa"/>
            <w:gridSpan w:val="4"/>
            <w:shd w:val="clear" w:color="auto" w:fill="FFF3CD"/>
            <w:tcMar>
              <w:top w:w="80" w:type="dxa"/>
              <w:left w:w="120" w:type="dxa"/>
              <w:bottom w:w="80" w:type="dxa"/>
              <w:right w:w="120" w:type="dxa"/>
            </w:tcMar>
          </w:tcPr>
          <w:p w14:paraId="4A7A932B" w14:textId="77777777" w:rsidR="00894DA9" w:rsidRPr="00722F33" w:rsidRDefault="00000000">
            <w:pPr>
              <w:spacing w:after="0" w:line="240" w:lineRule="auto"/>
              <w:rPr>
                <w:lang w:val="es-PE"/>
              </w:rPr>
            </w:pPr>
            <w:r w:rsidRPr="00722F33">
              <w:rPr>
                <w:rFonts w:ascii="Calibri" w:hAnsi="Calibri"/>
                <w:b/>
                <w:color w:val="7A5A00"/>
                <w:sz w:val="16"/>
                <w:lang w:val="es-PE"/>
              </w:rPr>
              <w:t>H. Cierre en el problema de medición (criterios críticos)</w:t>
            </w:r>
          </w:p>
        </w:tc>
      </w:tr>
      <w:tr w:rsidR="00894DA9" w:rsidRPr="00722F33" w14:paraId="24384B1B" w14:textId="77777777">
        <w:trPr>
          <w:cantSplit/>
        </w:trPr>
        <w:tc>
          <w:tcPr>
            <w:tcW w:w="430" w:type="dxa"/>
            <w:tcMar>
              <w:top w:w="80" w:type="dxa"/>
              <w:left w:w="120" w:type="dxa"/>
              <w:bottom w:w="80" w:type="dxa"/>
              <w:right w:w="120" w:type="dxa"/>
            </w:tcMar>
            <w:vAlign w:val="center"/>
          </w:tcPr>
          <w:p w14:paraId="74A5436C" w14:textId="77777777" w:rsidR="00894DA9" w:rsidRDefault="00000000">
            <w:pPr>
              <w:spacing w:after="0" w:line="240" w:lineRule="auto"/>
              <w:jc w:val="center"/>
            </w:pPr>
            <w:r>
              <w:rPr>
                <w:rFonts w:ascii="Calibri" w:hAnsi="Calibri"/>
                <w:b/>
                <w:color w:val="243447"/>
                <w:sz w:val="14"/>
              </w:rPr>
              <w:t>28</w:t>
            </w:r>
          </w:p>
        </w:tc>
        <w:tc>
          <w:tcPr>
            <w:tcW w:w="3750" w:type="dxa"/>
            <w:tcMar>
              <w:top w:w="80" w:type="dxa"/>
              <w:left w:w="120" w:type="dxa"/>
              <w:bottom w:w="80" w:type="dxa"/>
              <w:right w:w="120" w:type="dxa"/>
            </w:tcMar>
            <w:vAlign w:val="center"/>
          </w:tcPr>
          <w:p w14:paraId="03188983" w14:textId="77777777" w:rsidR="00894DA9" w:rsidRPr="00722F33" w:rsidRDefault="00000000">
            <w:pPr>
              <w:spacing w:after="0" w:line="240" w:lineRule="auto"/>
              <w:rPr>
                <w:lang w:val="es-PE"/>
              </w:rPr>
            </w:pPr>
            <w:r w:rsidRPr="00722F33">
              <w:rPr>
                <w:rFonts w:ascii="Calibri" w:hAnsi="Calibri"/>
                <w:color w:val="243447"/>
                <w:sz w:val="14"/>
                <w:lang w:val="es-PE"/>
              </w:rPr>
              <w:t>Explicita el vacío de medición: no basta conocer la presencia de ansiedad; se requieren puntuaciones interpretables y técnicamente sustentadas en la población objetivo.</w:t>
            </w:r>
          </w:p>
        </w:tc>
        <w:tc>
          <w:tcPr>
            <w:tcW w:w="640" w:type="dxa"/>
            <w:shd w:val="clear" w:color="auto" w:fill="EAF4EE"/>
            <w:tcMar>
              <w:top w:w="80" w:type="dxa"/>
              <w:left w:w="120" w:type="dxa"/>
              <w:bottom w:w="80" w:type="dxa"/>
              <w:right w:w="120" w:type="dxa"/>
            </w:tcMar>
            <w:vAlign w:val="center"/>
          </w:tcPr>
          <w:p w14:paraId="5F60230E" w14:textId="77777777" w:rsidR="00894DA9" w:rsidRDefault="00000000">
            <w:pPr>
              <w:spacing w:after="0" w:line="240" w:lineRule="auto"/>
              <w:jc w:val="center"/>
            </w:pPr>
            <w:r>
              <w:rPr>
                <w:rFonts w:ascii="Calibri" w:hAnsi="Calibri"/>
                <w:b/>
                <w:color w:val="1F5E3B"/>
                <w:sz w:val="18"/>
              </w:rPr>
              <w:t>X</w:t>
            </w:r>
          </w:p>
        </w:tc>
        <w:tc>
          <w:tcPr>
            <w:tcW w:w="6550" w:type="dxa"/>
            <w:tcMar>
              <w:top w:w="80" w:type="dxa"/>
              <w:left w:w="120" w:type="dxa"/>
              <w:bottom w:w="80" w:type="dxa"/>
              <w:right w:w="120" w:type="dxa"/>
            </w:tcMar>
            <w:vAlign w:val="center"/>
          </w:tcPr>
          <w:p w14:paraId="062DC056" w14:textId="77777777" w:rsidR="00894DA9" w:rsidRPr="00722F33" w:rsidRDefault="00000000">
            <w:pPr>
              <w:spacing w:after="0" w:line="240" w:lineRule="auto"/>
              <w:rPr>
                <w:lang w:val="es-PE"/>
              </w:rPr>
            </w:pPr>
            <w:proofErr w:type="spellStart"/>
            <w:r w:rsidRPr="00722F33">
              <w:rPr>
                <w:rFonts w:ascii="Calibri" w:hAnsi="Calibri"/>
                <w:color w:val="243447"/>
                <w:sz w:val="14"/>
                <w:lang w:val="es-PE"/>
              </w:rPr>
              <w:t>Párrs</w:t>
            </w:r>
            <w:proofErr w:type="spellEnd"/>
            <w:r w:rsidRPr="00722F33">
              <w:rPr>
                <w:rFonts w:ascii="Calibri" w:hAnsi="Calibri"/>
                <w:color w:val="243447"/>
                <w:sz w:val="14"/>
                <w:lang w:val="es-PE"/>
              </w:rPr>
              <w:t>. 12, 16–17: explicita que faltan puntuaciones válidas, confiables e interpretables para la población objetivo.</w:t>
            </w:r>
          </w:p>
        </w:tc>
      </w:tr>
      <w:tr w:rsidR="00894DA9" w:rsidRPr="00722F33" w14:paraId="1858DADA" w14:textId="77777777">
        <w:trPr>
          <w:cantSplit/>
        </w:trPr>
        <w:tc>
          <w:tcPr>
            <w:tcW w:w="430" w:type="dxa"/>
            <w:tcMar>
              <w:top w:w="80" w:type="dxa"/>
              <w:left w:w="120" w:type="dxa"/>
              <w:bottom w:w="80" w:type="dxa"/>
              <w:right w:w="120" w:type="dxa"/>
            </w:tcMar>
            <w:vAlign w:val="center"/>
          </w:tcPr>
          <w:p w14:paraId="1EA61690" w14:textId="77777777" w:rsidR="00894DA9" w:rsidRDefault="00000000">
            <w:pPr>
              <w:spacing w:after="0" w:line="240" w:lineRule="auto"/>
              <w:jc w:val="center"/>
            </w:pPr>
            <w:r>
              <w:rPr>
                <w:rFonts w:ascii="Calibri" w:hAnsi="Calibri"/>
                <w:b/>
                <w:color w:val="243447"/>
                <w:sz w:val="14"/>
              </w:rPr>
              <w:t>29</w:t>
            </w:r>
          </w:p>
        </w:tc>
        <w:tc>
          <w:tcPr>
            <w:tcW w:w="3750" w:type="dxa"/>
            <w:tcMar>
              <w:top w:w="80" w:type="dxa"/>
              <w:left w:w="120" w:type="dxa"/>
              <w:bottom w:w="80" w:type="dxa"/>
              <w:right w:w="120" w:type="dxa"/>
            </w:tcMar>
            <w:vAlign w:val="center"/>
          </w:tcPr>
          <w:p w14:paraId="64BC5E4A" w14:textId="77777777" w:rsidR="00894DA9" w:rsidRPr="00722F33" w:rsidRDefault="00000000">
            <w:pPr>
              <w:spacing w:after="0" w:line="240" w:lineRule="auto"/>
              <w:rPr>
                <w:lang w:val="es-PE"/>
              </w:rPr>
            </w:pPr>
            <w:r w:rsidRPr="00722F33">
              <w:rPr>
                <w:rFonts w:ascii="Calibri" w:hAnsi="Calibri"/>
                <w:color w:val="243447"/>
                <w:sz w:val="14"/>
                <w:lang w:val="es-PE"/>
              </w:rPr>
              <w:t>Identifica al Inventario de Ansiedad Estado-Rasgo (STAI) y justifica su evaluación o uso en el contexto del estudio.</w:t>
            </w:r>
          </w:p>
        </w:tc>
        <w:tc>
          <w:tcPr>
            <w:tcW w:w="640" w:type="dxa"/>
            <w:shd w:val="clear" w:color="auto" w:fill="EAF4EE"/>
            <w:tcMar>
              <w:top w:w="80" w:type="dxa"/>
              <w:left w:w="120" w:type="dxa"/>
              <w:bottom w:w="80" w:type="dxa"/>
              <w:right w:w="120" w:type="dxa"/>
            </w:tcMar>
            <w:vAlign w:val="center"/>
          </w:tcPr>
          <w:p w14:paraId="297A1DC4" w14:textId="77777777" w:rsidR="00894DA9" w:rsidRDefault="00000000">
            <w:pPr>
              <w:spacing w:after="0" w:line="240" w:lineRule="auto"/>
              <w:jc w:val="center"/>
            </w:pPr>
            <w:r>
              <w:rPr>
                <w:rFonts w:ascii="Calibri" w:hAnsi="Calibri"/>
                <w:b/>
                <w:color w:val="1F5E3B"/>
                <w:sz w:val="18"/>
              </w:rPr>
              <w:t>X</w:t>
            </w:r>
          </w:p>
        </w:tc>
        <w:tc>
          <w:tcPr>
            <w:tcW w:w="6550" w:type="dxa"/>
            <w:tcMar>
              <w:top w:w="80" w:type="dxa"/>
              <w:left w:w="120" w:type="dxa"/>
              <w:bottom w:w="80" w:type="dxa"/>
              <w:right w:w="120" w:type="dxa"/>
            </w:tcMar>
            <w:vAlign w:val="center"/>
          </w:tcPr>
          <w:p w14:paraId="4CD4BCB9" w14:textId="77777777" w:rsidR="00894DA9" w:rsidRPr="00722F33" w:rsidRDefault="00000000">
            <w:pPr>
              <w:spacing w:after="0" w:line="240" w:lineRule="auto"/>
              <w:rPr>
                <w:lang w:val="es-PE"/>
              </w:rPr>
            </w:pPr>
            <w:r w:rsidRPr="00722F33">
              <w:rPr>
                <w:rFonts w:ascii="Calibri" w:hAnsi="Calibri"/>
                <w:color w:val="243447"/>
                <w:sz w:val="14"/>
                <w:lang w:val="es-PE"/>
              </w:rPr>
              <w:t>Párr. 15: identifica nombre completo y sigla, precisa la adaptación española de TEA, explica estado/rasgo y justifica su pertinencia.</w:t>
            </w:r>
          </w:p>
        </w:tc>
      </w:tr>
      <w:tr w:rsidR="00894DA9" w:rsidRPr="00722F33" w14:paraId="7B38A06D" w14:textId="77777777">
        <w:trPr>
          <w:cantSplit/>
        </w:trPr>
        <w:tc>
          <w:tcPr>
            <w:tcW w:w="430" w:type="dxa"/>
            <w:tcMar>
              <w:top w:w="80" w:type="dxa"/>
              <w:left w:w="120" w:type="dxa"/>
              <w:bottom w:w="80" w:type="dxa"/>
              <w:right w:w="120" w:type="dxa"/>
            </w:tcMar>
            <w:vAlign w:val="center"/>
          </w:tcPr>
          <w:p w14:paraId="23D0A847" w14:textId="77777777" w:rsidR="00894DA9" w:rsidRDefault="00000000">
            <w:pPr>
              <w:spacing w:after="0" w:line="240" w:lineRule="auto"/>
              <w:jc w:val="center"/>
            </w:pPr>
            <w:r>
              <w:rPr>
                <w:rFonts w:ascii="Calibri" w:hAnsi="Calibri"/>
                <w:b/>
                <w:color w:val="243447"/>
                <w:sz w:val="14"/>
              </w:rPr>
              <w:t>30</w:t>
            </w:r>
          </w:p>
        </w:tc>
        <w:tc>
          <w:tcPr>
            <w:tcW w:w="3750" w:type="dxa"/>
            <w:tcMar>
              <w:top w:w="80" w:type="dxa"/>
              <w:left w:w="120" w:type="dxa"/>
              <w:bottom w:w="80" w:type="dxa"/>
              <w:right w:w="120" w:type="dxa"/>
            </w:tcMar>
            <w:vAlign w:val="center"/>
          </w:tcPr>
          <w:p w14:paraId="16D45F6C" w14:textId="77777777" w:rsidR="00894DA9" w:rsidRPr="00722F33" w:rsidRDefault="00000000">
            <w:pPr>
              <w:spacing w:after="0" w:line="240" w:lineRule="auto"/>
              <w:rPr>
                <w:lang w:val="es-PE"/>
              </w:rPr>
            </w:pPr>
            <w:r w:rsidRPr="00722F33">
              <w:rPr>
                <w:rFonts w:ascii="Calibri" w:hAnsi="Calibri"/>
                <w:color w:val="243447"/>
                <w:sz w:val="14"/>
                <w:lang w:val="es-PE"/>
              </w:rPr>
              <w:t>Formula el problema en términos de evidencias psicométricas de las puntuaciones (por ejemplo, validez y confiabilidad, según los objetivos), y no solo en términos de aplicación del instrumento.</w:t>
            </w:r>
          </w:p>
        </w:tc>
        <w:tc>
          <w:tcPr>
            <w:tcW w:w="640" w:type="dxa"/>
            <w:shd w:val="clear" w:color="auto" w:fill="EAF4EE"/>
            <w:tcMar>
              <w:top w:w="80" w:type="dxa"/>
              <w:left w:w="120" w:type="dxa"/>
              <w:bottom w:w="80" w:type="dxa"/>
              <w:right w:w="120" w:type="dxa"/>
            </w:tcMar>
            <w:vAlign w:val="center"/>
          </w:tcPr>
          <w:p w14:paraId="6C5D6B7A" w14:textId="77777777" w:rsidR="00894DA9" w:rsidRDefault="00000000">
            <w:pPr>
              <w:spacing w:after="0" w:line="240" w:lineRule="auto"/>
              <w:jc w:val="center"/>
            </w:pPr>
            <w:r>
              <w:rPr>
                <w:rFonts w:ascii="Calibri" w:hAnsi="Calibri"/>
                <w:b/>
                <w:color w:val="1F5E3B"/>
                <w:sz w:val="18"/>
              </w:rPr>
              <w:t>X</w:t>
            </w:r>
          </w:p>
        </w:tc>
        <w:tc>
          <w:tcPr>
            <w:tcW w:w="6550" w:type="dxa"/>
            <w:tcMar>
              <w:top w:w="80" w:type="dxa"/>
              <w:left w:w="120" w:type="dxa"/>
              <w:bottom w:w="80" w:type="dxa"/>
              <w:right w:w="120" w:type="dxa"/>
            </w:tcMar>
            <w:vAlign w:val="center"/>
          </w:tcPr>
          <w:p w14:paraId="56F11ED4" w14:textId="77777777" w:rsidR="00894DA9" w:rsidRPr="00722F33" w:rsidRDefault="00000000">
            <w:pPr>
              <w:spacing w:after="0" w:line="240" w:lineRule="auto"/>
              <w:rPr>
                <w:lang w:val="es-PE"/>
              </w:rPr>
            </w:pPr>
            <w:r w:rsidRPr="00722F33">
              <w:rPr>
                <w:rFonts w:ascii="Calibri" w:hAnsi="Calibri"/>
                <w:color w:val="243447"/>
                <w:sz w:val="14"/>
                <w:lang w:val="es-PE"/>
              </w:rPr>
              <w:t>Párr. 16: formula evidencia basada en contenido, estructura interna y confiabilidad/precisión, en correspondencia con los objetivos.</w:t>
            </w:r>
          </w:p>
        </w:tc>
      </w:tr>
      <w:tr w:rsidR="00894DA9" w:rsidRPr="00722F33" w14:paraId="73B295B9" w14:textId="77777777">
        <w:trPr>
          <w:cantSplit/>
        </w:trPr>
        <w:tc>
          <w:tcPr>
            <w:tcW w:w="430" w:type="dxa"/>
            <w:tcMar>
              <w:top w:w="80" w:type="dxa"/>
              <w:left w:w="120" w:type="dxa"/>
              <w:bottom w:w="80" w:type="dxa"/>
              <w:right w:w="120" w:type="dxa"/>
            </w:tcMar>
            <w:vAlign w:val="center"/>
          </w:tcPr>
          <w:p w14:paraId="466F67A3" w14:textId="77777777" w:rsidR="00894DA9" w:rsidRDefault="00000000">
            <w:pPr>
              <w:spacing w:after="0" w:line="240" w:lineRule="auto"/>
              <w:jc w:val="center"/>
            </w:pPr>
            <w:r>
              <w:rPr>
                <w:rFonts w:ascii="Calibri" w:hAnsi="Calibri"/>
                <w:b/>
                <w:color w:val="243447"/>
                <w:sz w:val="14"/>
              </w:rPr>
              <w:t>31</w:t>
            </w:r>
          </w:p>
        </w:tc>
        <w:tc>
          <w:tcPr>
            <w:tcW w:w="3750" w:type="dxa"/>
            <w:tcMar>
              <w:top w:w="80" w:type="dxa"/>
              <w:left w:w="120" w:type="dxa"/>
              <w:bottom w:w="80" w:type="dxa"/>
              <w:right w:w="120" w:type="dxa"/>
            </w:tcMar>
            <w:vAlign w:val="center"/>
          </w:tcPr>
          <w:p w14:paraId="3AE7C3BD" w14:textId="77777777" w:rsidR="00894DA9" w:rsidRPr="00722F33" w:rsidRDefault="00000000">
            <w:pPr>
              <w:spacing w:after="0" w:line="240" w:lineRule="auto"/>
              <w:rPr>
                <w:lang w:val="es-PE"/>
              </w:rPr>
            </w:pPr>
            <w:r w:rsidRPr="00722F33">
              <w:rPr>
                <w:rFonts w:ascii="Calibri" w:hAnsi="Calibri"/>
                <w:color w:val="243447"/>
                <w:sz w:val="14"/>
                <w:lang w:val="es-PE"/>
              </w:rPr>
              <w:t>Delimita de manera consistente la población: estudiantes de quinto de secundaria de Villa El Salvador.</w:t>
            </w:r>
          </w:p>
        </w:tc>
        <w:tc>
          <w:tcPr>
            <w:tcW w:w="640" w:type="dxa"/>
            <w:shd w:val="clear" w:color="auto" w:fill="EAF4EE"/>
            <w:tcMar>
              <w:top w:w="80" w:type="dxa"/>
              <w:left w:w="120" w:type="dxa"/>
              <w:bottom w:w="80" w:type="dxa"/>
              <w:right w:w="120" w:type="dxa"/>
            </w:tcMar>
            <w:vAlign w:val="center"/>
          </w:tcPr>
          <w:p w14:paraId="684CF63C" w14:textId="77777777" w:rsidR="00894DA9" w:rsidRDefault="00000000">
            <w:pPr>
              <w:spacing w:after="0" w:line="240" w:lineRule="auto"/>
              <w:jc w:val="center"/>
            </w:pPr>
            <w:r>
              <w:rPr>
                <w:rFonts w:ascii="Calibri" w:hAnsi="Calibri"/>
                <w:b/>
                <w:color w:val="1F5E3B"/>
                <w:sz w:val="18"/>
              </w:rPr>
              <w:t>X</w:t>
            </w:r>
          </w:p>
        </w:tc>
        <w:tc>
          <w:tcPr>
            <w:tcW w:w="6550" w:type="dxa"/>
            <w:tcMar>
              <w:top w:w="80" w:type="dxa"/>
              <w:left w:w="120" w:type="dxa"/>
              <w:bottom w:w="80" w:type="dxa"/>
              <w:right w:w="120" w:type="dxa"/>
            </w:tcMar>
            <w:vAlign w:val="center"/>
          </w:tcPr>
          <w:p w14:paraId="6B8F4E0F" w14:textId="77777777" w:rsidR="00894DA9" w:rsidRPr="00722F33" w:rsidRDefault="00000000">
            <w:pPr>
              <w:spacing w:after="0" w:line="240" w:lineRule="auto"/>
              <w:rPr>
                <w:lang w:val="es-PE"/>
              </w:rPr>
            </w:pPr>
            <w:proofErr w:type="spellStart"/>
            <w:r w:rsidRPr="00722F33">
              <w:rPr>
                <w:rFonts w:ascii="Calibri" w:hAnsi="Calibri"/>
                <w:color w:val="243447"/>
                <w:sz w:val="14"/>
                <w:lang w:val="es-PE"/>
              </w:rPr>
              <w:t>Párrs</w:t>
            </w:r>
            <w:proofErr w:type="spellEnd"/>
            <w:r w:rsidRPr="00722F33">
              <w:rPr>
                <w:rFonts w:ascii="Calibri" w:hAnsi="Calibri"/>
                <w:color w:val="243447"/>
                <w:sz w:val="14"/>
                <w:lang w:val="es-PE"/>
              </w:rPr>
              <w:t>. 1, 12 y 15–17: población idéntica y consistente en todo el argumento y la pregunta.</w:t>
            </w:r>
          </w:p>
        </w:tc>
      </w:tr>
      <w:tr w:rsidR="00894DA9" w:rsidRPr="00722F33" w14:paraId="09CBB7B9" w14:textId="77777777">
        <w:trPr>
          <w:cantSplit/>
        </w:trPr>
        <w:tc>
          <w:tcPr>
            <w:tcW w:w="430" w:type="dxa"/>
            <w:tcMar>
              <w:top w:w="80" w:type="dxa"/>
              <w:left w:w="120" w:type="dxa"/>
              <w:bottom w:w="80" w:type="dxa"/>
              <w:right w:w="120" w:type="dxa"/>
            </w:tcMar>
            <w:vAlign w:val="center"/>
          </w:tcPr>
          <w:p w14:paraId="2526D936" w14:textId="77777777" w:rsidR="00894DA9" w:rsidRDefault="00000000">
            <w:pPr>
              <w:spacing w:after="0" w:line="240" w:lineRule="auto"/>
              <w:jc w:val="center"/>
            </w:pPr>
            <w:r>
              <w:rPr>
                <w:rFonts w:ascii="Calibri" w:hAnsi="Calibri"/>
                <w:b/>
                <w:color w:val="243447"/>
                <w:sz w:val="14"/>
              </w:rPr>
              <w:t>32</w:t>
            </w:r>
          </w:p>
        </w:tc>
        <w:tc>
          <w:tcPr>
            <w:tcW w:w="3750" w:type="dxa"/>
            <w:tcMar>
              <w:top w:w="80" w:type="dxa"/>
              <w:left w:w="120" w:type="dxa"/>
              <w:bottom w:w="80" w:type="dxa"/>
              <w:right w:w="120" w:type="dxa"/>
            </w:tcMar>
            <w:vAlign w:val="center"/>
          </w:tcPr>
          <w:p w14:paraId="5E67C1F5" w14:textId="77777777" w:rsidR="00894DA9" w:rsidRPr="00722F33" w:rsidRDefault="00000000">
            <w:pPr>
              <w:spacing w:after="0" w:line="240" w:lineRule="auto"/>
              <w:rPr>
                <w:lang w:val="es-PE"/>
              </w:rPr>
            </w:pPr>
            <w:r w:rsidRPr="00722F33">
              <w:rPr>
                <w:rFonts w:ascii="Calibri" w:hAnsi="Calibri"/>
                <w:color w:val="243447"/>
                <w:sz w:val="14"/>
                <w:lang w:val="es-PE"/>
              </w:rPr>
              <w:t>El último párrafo concluye expresamente con la necesidad o pregunta de conocer si las puntuaciones del STAI presentan evidencias psicométricas adecuadas en dicha población.</w:t>
            </w:r>
          </w:p>
        </w:tc>
        <w:tc>
          <w:tcPr>
            <w:tcW w:w="640" w:type="dxa"/>
            <w:shd w:val="clear" w:color="auto" w:fill="EAF4EE"/>
            <w:tcMar>
              <w:top w:w="80" w:type="dxa"/>
              <w:left w:w="120" w:type="dxa"/>
              <w:bottom w:w="80" w:type="dxa"/>
              <w:right w:w="120" w:type="dxa"/>
            </w:tcMar>
            <w:vAlign w:val="center"/>
          </w:tcPr>
          <w:p w14:paraId="4D88CFEF" w14:textId="77777777" w:rsidR="00894DA9" w:rsidRDefault="00000000">
            <w:pPr>
              <w:spacing w:after="0" w:line="240" w:lineRule="auto"/>
              <w:jc w:val="center"/>
            </w:pPr>
            <w:r>
              <w:rPr>
                <w:rFonts w:ascii="Calibri" w:hAnsi="Calibri"/>
                <w:b/>
                <w:color w:val="1F5E3B"/>
                <w:sz w:val="18"/>
              </w:rPr>
              <w:t>X</w:t>
            </w:r>
          </w:p>
        </w:tc>
        <w:tc>
          <w:tcPr>
            <w:tcW w:w="6550" w:type="dxa"/>
            <w:tcMar>
              <w:top w:w="80" w:type="dxa"/>
              <w:left w:w="120" w:type="dxa"/>
              <w:bottom w:w="80" w:type="dxa"/>
              <w:right w:w="120" w:type="dxa"/>
            </w:tcMar>
            <w:vAlign w:val="center"/>
          </w:tcPr>
          <w:p w14:paraId="149DEE4D" w14:textId="77777777" w:rsidR="00894DA9" w:rsidRPr="00722F33" w:rsidRDefault="00000000">
            <w:pPr>
              <w:spacing w:after="0" w:line="240" w:lineRule="auto"/>
              <w:rPr>
                <w:lang w:val="es-PE"/>
              </w:rPr>
            </w:pPr>
            <w:r w:rsidRPr="00722F33">
              <w:rPr>
                <w:rFonts w:ascii="Calibri" w:hAnsi="Calibri"/>
                <w:color w:val="243447"/>
                <w:sz w:val="14"/>
                <w:lang w:val="es-PE"/>
              </w:rPr>
              <w:t>Última oración del párr. 17: reproduce íntegramente el cierre recomendado sobre evidencias psicométricas de las puntuaciones.</w:t>
            </w:r>
          </w:p>
        </w:tc>
      </w:tr>
    </w:tbl>
    <w:p w14:paraId="6753ED13" w14:textId="77777777" w:rsidR="00894DA9" w:rsidRPr="00722F33" w:rsidRDefault="00000000">
      <w:pPr>
        <w:spacing w:before="160" w:after="80"/>
        <w:rPr>
          <w:lang w:val="es-PE"/>
        </w:rPr>
      </w:pPr>
      <w:r w:rsidRPr="00722F33">
        <w:rPr>
          <w:rFonts w:ascii="Calibri" w:hAnsi="Calibri"/>
          <w:b/>
          <w:color w:val="1F4D78"/>
          <w:sz w:val="18"/>
          <w:lang w:val="es-PE"/>
        </w:rPr>
        <w:t>Nota de uso académico</w:t>
      </w:r>
    </w:p>
    <w:p w14:paraId="19BAECF0" w14:textId="77777777" w:rsidR="00894DA9" w:rsidRPr="00722F33" w:rsidRDefault="00000000">
      <w:pPr>
        <w:spacing w:after="160"/>
        <w:rPr>
          <w:lang w:val="es-PE"/>
        </w:rPr>
      </w:pPr>
      <w:r w:rsidRPr="00722F33">
        <w:rPr>
          <w:rFonts w:ascii="Calibri" w:hAnsi="Calibri"/>
          <w:color w:val="243447"/>
          <w:sz w:val="16"/>
          <w:lang w:val="es-PE"/>
        </w:rPr>
        <w:t>La calificación Total = 2 expresa que la redacción propuesta contiene evidencia verificable para cada criterio. La versión final de la tesis deberá conservar la correspondencia con los objetivos, el método, la versión del STAI efectivamente aplicada y las normas institucionales de citación.</w:t>
      </w:r>
    </w:p>
    <w:p w14:paraId="33207068" w14:textId="77777777" w:rsidR="00894DA9" w:rsidRPr="00722F33" w:rsidRDefault="00000000">
      <w:pPr>
        <w:pBdr>
          <w:left w:val="single" w:sz="18" w:space="8" w:color="7A5A00"/>
        </w:pBdr>
        <w:shd w:val="clear" w:color="auto" w:fill="FFF3CD"/>
        <w:spacing w:before="200" w:after="0"/>
        <w:jc w:val="center"/>
        <w:rPr>
          <w:lang w:val="es-PE"/>
        </w:rPr>
      </w:pPr>
      <w:r w:rsidRPr="00722F33">
        <w:rPr>
          <w:rFonts w:ascii="Calibri" w:hAnsi="Calibri"/>
          <w:b/>
          <w:color w:val="7A5A00"/>
          <w:sz w:val="20"/>
          <w:lang w:val="es-PE"/>
        </w:rPr>
        <w:t>CIERRE RECOMENDADO</w:t>
      </w:r>
      <w:r w:rsidRPr="00722F33">
        <w:rPr>
          <w:rFonts w:ascii="Calibri" w:hAnsi="Calibri"/>
          <w:b/>
          <w:color w:val="7A5A00"/>
          <w:sz w:val="20"/>
          <w:lang w:val="es-PE"/>
        </w:rPr>
        <w:br/>
        <w:t>¿Las puntuaciones del Inventario de Ansiedad Estado–Rasgo (STAI) presentan evidencias psicométricas adecuadas en estudiantes de quinto de secundaria de Villa El Salvador?</w:t>
      </w:r>
    </w:p>
    <w:sectPr w:rsidR="00894DA9" w:rsidRPr="00722F33" w:rsidSect="00034616">
      <w:headerReference w:type="default" r:id="rId10"/>
      <w:footerReference w:type="default" r:id="rId11"/>
      <w:pgSz w:w="16834" w:h="11909" w:orient="landscape"/>
      <w:pgMar w:top="792" w:right="749" w:bottom="792" w:left="74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3D2D1" w14:textId="77777777" w:rsidR="00DB6BBD" w:rsidRDefault="00DB6BBD">
      <w:pPr>
        <w:spacing w:after="0" w:line="240" w:lineRule="auto"/>
      </w:pPr>
      <w:r>
        <w:separator/>
      </w:r>
    </w:p>
  </w:endnote>
  <w:endnote w:type="continuationSeparator" w:id="0">
    <w:p w14:paraId="643C8B5E" w14:textId="77777777" w:rsidR="00DB6BBD" w:rsidRDefault="00DB6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BCA67" w14:textId="77777777" w:rsidR="00894DA9" w:rsidRDefault="00000000">
    <w:pPr>
      <w:pStyle w:val="Piedepgina"/>
      <w:jc w:val="right"/>
    </w:pPr>
    <w:r>
      <w:rPr>
        <w:rFonts w:ascii="Calibri" w:hAnsi="Calibri"/>
        <w:color w:val="5E6B78"/>
        <w:sz w:val="16"/>
      </w:rPr>
      <w:t xml:space="preserve">Página </w:t>
    </w:r>
    <w:r>
      <w:fldChar w:fldCharType="begin"/>
    </w:r>
    <w:r>
      <w:instrText>PAGE</w:instrText>
    </w:r>
    <w:r>
      <w:fldChar w:fldCharType="separate"/>
    </w:r>
    <w:r w:rsidR="00722F33">
      <w:rPr>
        <w:noProof/>
      </w:rPr>
      <w:t>1</w:t>
    </w:r>
    <w:r>
      <w:fldChar w:fldCharType="end"/>
    </w:r>
    <w:r>
      <w:rPr>
        <w:rFonts w:ascii="Calibri" w:hAnsi="Calibri"/>
        <w:color w:val="5E6B78"/>
        <w:sz w:val="16"/>
      </w:rPr>
      <w:t xml:space="preserve"> de </w:t>
    </w:r>
    <w:r>
      <w:fldChar w:fldCharType="begin"/>
    </w:r>
    <w:r>
      <w:instrText>NUMPAGES</w:instrText>
    </w:r>
    <w:r>
      <w:fldChar w:fldCharType="separate"/>
    </w:r>
    <w:r w:rsidR="00722F33">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478CE" w14:textId="3288BA49" w:rsidR="00894DA9" w:rsidRDefault="00000000">
    <w:pPr>
      <w:pStyle w:val="Piedepgina"/>
      <w:jc w:val="right"/>
    </w:pPr>
    <w:r>
      <w:rPr>
        <w:rFonts w:ascii="Calibri" w:hAnsi="Calibri"/>
        <w:color w:val="5E6B78"/>
        <w:sz w:val="16"/>
      </w:rPr>
      <w:t xml:space="preserve">Página </w:t>
    </w:r>
    <w:r>
      <w:fldChar w:fldCharType="begin"/>
    </w:r>
    <w:r>
      <w:instrText>PAGE</w:instrText>
    </w:r>
    <w:r>
      <w:fldChar w:fldCharType="separate"/>
    </w:r>
    <w:r w:rsidR="00722F33">
      <w:rPr>
        <w:noProof/>
      </w:rPr>
      <w:t>8</w:t>
    </w:r>
    <w:r>
      <w:fldChar w:fldCharType="end"/>
    </w:r>
    <w:r>
      <w:rPr>
        <w:rFonts w:ascii="Calibri" w:hAnsi="Calibri"/>
        <w:color w:val="5E6B78"/>
        <w:sz w:val="16"/>
      </w:rPr>
      <w:t xml:space="preserve"> de </w:t>
    </w:r>
    <w:r>
      <w:fldChar w:fldCharType="begin"/>
    </w:r>
    <w:r>
      <w:instrText>NUMPAGES</w:instrText>
    </w:r>
    <w:r>
      <w:fldChar w:fldCharType="separate"/>
    </w:r>
    <w:r w:rsidR="00722F33">
      <w:rPr>
        <w:noProof/>
      </w:rP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EFED9" w14:textId="77777777" w:rsidR="00DB6BBD" w:rsidRDefault="00DB6BBD">
      <w:pPr>
        <w:spacing w:after="0" w:line="240" w:lineRule="auto"/>
      </w:pPr>
      <w:r>
        <w:separator/>
      </w:r>
    </w:p>
  </w:footnote>
  <w:footnote w:type="continuationSeparator" w:id="0">
    <w:p w14:paraId="1FD87DE4" w14:textId="77777777" w:rsidR="00DB6BBD" w:rsidRDefault="00DB6B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3A449" w14:textId="2E41A5AD" w:rsidR="00894DA9" w:rsidRDefault="00000000">
    <w:pPr>
      <w:pStyle w:val="Encabezado"/>
    </w:pPr>
    <w:r>
      <w:rPr>
        <w:rFonts w:ascii="Calibri" w:hAnsi="Calibri"/>
        <w:b/>
        <w:color w:val="5E6B78"/>
        <w:sz w:val="16"/>
      </w:rPr>
      <w:t xml:space="preserve">SECCIÓN </w:t>
    </w:r>
    <w:r w:rsidR="00F45F62">
      <w:rPr>
        <w:rFonts w:ascii="Calibri" w:hAnsi="Calibri"/>
        <w:b/>
        <w:color w:val="5E6B78"/>
        <w:sz w:val="16"/>
      </w:rPr>
      <w:t>1.1 |</w:t>
    </w:r>
    <w:r>
      <w:rPr>
        <w:rFonts w:ascii="Calibri" w:hAnsi="Calibri"/>
        <w:b/>
        <w:color w:val="5E6B78"/>
        <w:sz w:val="16"/>
      </w:rPr>
      <w:t xml:space="preserve"> REALIDAD PROBLEMÁTICA CORREGIDA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E64E0" w14:textId="77777777" w:rsidR="00894DA9" w:rsidRDefault="00000000">
    <w:pPr>
      <w:pStyle w:val="Encabezado"/>
    </w:pPr>
    <w:r>
      <w:rPr>
        <w:rFonts w:ascii="Calibri" w:hAnsi="Calibri"/>
        <w:b/>
        <w:color w:val="5E6B78"/>
        <w:sz w:val="16"/>
      </w:rPr>
      <w:t xml:space="preserve">SECCIÓN </w:t>
    </w:r>
    <w:proofErr w:type="gramStart"/>
    <w:r>
      <w:rPr>
        <w:rFonts w:ascii="Calibri" w:hAnsi="Calibri"/>
        <w:b/>
        <w:color w:val="5E6B78"/>
        <w:sz w:val="16"/>
      </w:rPr>
      <w:t>1.1  |</w:t>
    </w:r>
    <w:proofErr w:type="gramEnd"/>
    <w:r>
      <w:rPr>
        <w:rFonts w:ascii="Calibri" w:hAnsi="Calibri"/>
        <w:b/>
        <w:color w:val="5E6B78"/>
        <w:sz w:val="16"/>
      </w:rPr>
      <w:t xml:space="preserve">  REALIDAD PROBLEMÁTICA CORREGIDA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55362736">
    <w:abstractNumId w:val="8"/>
  </w:num>
  <w:num w:numId="2" w16cid:durableId="1297686478">
    <w:abstractNumId w:val="6"/>
  </w:num>
  <w:num w:numId="3" w16cid:durableId="1113136217">
    <w:abstractNumId w:val="5"/>
  </w:num>
  <w:num w:numId="4" w16cid:durableId="754324152">
    <w:abstractNumId w:val="4"/>
  </w:num>
  <w:num w:numId="5" w16cid:durableId="1258363388">
    <w:abstractNumId w:val="7"/>
  </w:num>
  <w:num w:numId="6" w16cid:durableId="1166172292">
    <w:abstractNumId w:val="3"/>
  </w:num>
  <w:num w:numId="7" w16cid:durableId="856621160">
    <w:abstractNumId w:val="2"/>
  </w:num>
  <w:num w:numId="8" w16cid:durableId="350492815">
    <w:abstractNumId w:val="1"/>
  </w:num>
  <w:num w:numId="9" w16cid:durableId="1180581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22A2"/>
    <w:rsid w:val="0029639D"/>
    <w:rsid w:val="00326F90"/>
    <w:rsid w:val="005970FC"/>
    <w:rsid w:val="00722F33"/>
    <w:rsid w:val="00894DA9"/>
    <w:rsid w:val="008D7BCC"/>
    <w:rsid w:val="00AA1D8D"/>
    <w:rsid w:val="00B47730"/>
    <w:rsid w:val="00CB0664"/>
    <w:rsid w:val="00DB6BBD"/>
    <w:rsid w:val="00F45F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21919A"/>
  <w14:defaultImageDpi w14:val="300"/>
  <w15:docId w15:val="{FDE16D70-1A85-43FB-A905-52D58698B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ptos" w:eastAsia="Aptos" w:hAnsi="Apto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D78"/>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D78"/>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10</Pages>
  <Words>4324</Words>
  <Characters>23788</Characters>
  <Application>Microsoft Office Word</Application>
  <DocSecurity>0</DocSecurity>
  <Lines>198</Lines>
  <Paragraphs>56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REALIDAD PROBLEMÁTICA COMPLETA Y CORREGIDA</vt:lpstr>
      <vt:lpstr/>
    </vt:vector>
  </TitlesOfParts>
  <Manager/>
  <Company/>
  <LinksUpToDate>false</LinksUpToDate>
  <CharactersWithSpaces>28056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REALIDAD PROBLEMÁTICA COMPLETA Y CORREGIDA</dc:title>
  <dc:subject>Sección 1.1 corregida y matriz de verificación A–H</dc:subject>
  <dc:creator>Documento de trabajo académico</dc:creator>
  <cp:keywords>STAI, ansiedad, psicometría, quinto de secundaria, Villa El Salvador</cp:keywords>
  <dc:description>generated by python-docx</dc:description>
  <cp:lastModifiedBy>Neil Romero</cp:lastModifiedBy>
  <cp:revision>2</cp:revision>
  <cp:lastPrinted>2026-08-24T22:58:00Z</cp:lastPrinted>
  <dcterms:created xsi:type="dcterms:W3CDTF">2013-12-23T23:15:00Z</dcterms:created>
  <dcterms:modified xsi:type="dcterms:W3CDTF">2026-08-25T06:21:00Z</dcterms:modified>
  <cp:category/>
</cp:coreProperties>
</file>