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29472" w14:textId="77777777" w:rsidR="007A70D4" w:rsidRDefault="00000000">
      <w:pPr>
        <w:jc w:val="both"/>
        <w:rPr>
          <w:rFonts w:ascii="Arial Narrow" w:eastAsia="Arial Narrow" w:hAnsi="Arial Narrow" w:cs="Arial Narrow"/>
          <w:sz w:val="24"/>
          <w:szCs w:val="24"/>
        </w:rPr>
      </w:pPr>
      <w:r>
        <w:rPr>
          <w:noProof/>
        </w:rPr>
        <mc:AlternateContent>
          <mc:Choice Requires="wpg">
            <w:drawing>
              <wp:anchor distT="0" distB="0" distL="114300" distR="114300" simplePos="0" relativeHeight="251658240" behindDoc="0" locked="0" layoutInCell="1" hidden="0" allowOverlap="1" wp14:anchorId="69D0CF48" wp14:editId="0AACDEDE">
                <wp:simplePos x="0" y="0"/>
                <wp:positionH relativeFrom="column">
                  <wp:posOffset>388938</wp:posOffset>
                </wp:positionH>
                <wp:positionV relativeFrom="paragraph">
                  <wp:posOffset>-487359</wp:posOffset>
                </wp:positionV>
                <wp:extent cx="6256020" cy="845185"/>
                <wp:effectExtent l="0" t="0" r="0" b="0"/>
                <wp:wrapNone/>
                <wp:docPr id="2" name="Rectangle 2"/>
                <wp:cNvGraphicFramePr/>
                <a:graphic xmlns:a="http://schemas.openxmlformats.org/drawingml/2006/main">
                  <a:graphicData uri="http://schemas.microsoft.com/office/word/2010/wordprocessingShape">
                    <wps:wsp>
                      <wps:cNvSpPr/>
                      <wps:spPr>
                        <a:xfrm>
                          <a:off x="2227515" y="3366933"/>
                          <a:ext cx="6236970" cy="826135"/>
                        </a:xfrm>
                        <a:prstGeom prst="rect">
                          <a:avLst/>
                        </a:prstGeom>
                        <a:solidFill>
                          <a:srgbClr val="FFFFFF"/>
                        </a:solidFill>
                        <a:ln>
                          <a:noFill/>
                        </a:ln>
                      </wps:spPr>
                      <wps:txbx>
                        <w:txbxContent>
                          <w:p w14:paraId="01B31472" w14:textId="77777777" w:rsidR="007A70D4" w:rsidRDefault="00000000">
                            <w:pPr>
                              <w:spacing w:after="0" w:line="240" w:lineRule="auto"/>
                              <w:textDirection w:val="btLr"/>
                            </w:pPr>
                            <w:r>
                              <w:rPr>
                                <w:rFonts w:ascii="Lustria" w:eastAsia="Lustria" w:hAnsi="Lustria" w:cs="Lustria"/>
                                <w:b/>
                                <w:color w:val="000000"/>
                                <w:sz w:val="32"/>
                              </w:rPr>
                              <w:t>P</w:t>
                            </w:r>
                            <w:r>
                              <w:rPr>
                                <w:rFonts w:ascii="Lustria" w:eastAsia="Lustria" w:hAnsi="Lustria" w:cs="Lustria"/>
                                <w:b/>
                                <w:color w:val="000000"/>
                                <w:sz w:val="28"/>
                              </w:rPr>
                              <w:t xml:space="preserve">OLYTECHNIC </w:t>
                            </w:r>
                            <w:r>
                              <w:rPr>
                                <w:rFonts w:ascii="Lustria" w:eastAsia="Lustria" w:hAnsi="Lustria" w:cs="Lustria"/>
                                <w:b/>
                                <w:color w:val="000000"/>
                                <w:sz w:val="32"/>
                              </w:rPr>
                              <w:t>U</w:t>
                            </w:r>
                            <w:r>
                              <w:rPr>
                                <w:rFonts w:ascii="Lustria" w:eastAsia="Lustria" w:hAnsi="Lustria" w:cs="Lustria"/>
                                <w:b/>
                                <w:color w:val="000000"/>
                                <w:sz w:val="28"/>
                              </w:rPr>
                              <w:t xml:space="preserve">NIVERSITY OF THE </w:t>
                            </w:r>
                            <w:r>
                              <w:rPr>
                                <w:rFonts w:ascii="Lustria" w:eastAsia="Lustria" w:hAnsi="Lustria" w:cs="Lustria"/>
                                <w:b/>
                                <w:color w:val="000000"/>
                                <w:sz w:val="32"/>
                              </w:rPr>
                              <w:t>P</w:t>
                            </w:r>
                            <w:r>
                              <w:rPr>
                                <w:rFonts w:ascii="Lustria" w:eastAsia="Lustria" w:hAnsi="Lustria" w:cs="Lustria"/>
                                <w:b/>
                                <w:color w:val="000000"/>
                                <w:sz w:val="28"/>
                              </w:rPr>
                              <w:t xml:space="preserve">HILIPPINES  </w:t>
                            </w:r>
                          </w:p>
                          <w:p w14:paraId="4E23F882" w14:textId="77777777" w:rsidR="007A70D4" w:rsidRDefault="00000000">
                            <w:pPr>
                              <w:spacing w:after="0" w:line="240" w:lineRule="auto"/>
                              <w:textDirection w:val="btLr"/>
                            </w:pPr>
                            <w:r>
                              <w:rPr>
                                <w:rFonts w:ascii="Lustria" w:eastAsia="Lustria" w:hAnsi="Lustria" w:cs="Lustria"/>
                                <w:b/>
                                <w:color w:val="000000"/>
                                <w:sz w:val="32"/>
                              </w:rPr>
                              <w:t>College of Computer and Information Sciences</w:t>
                            </w:r>
                          </w:p>
                          <w:p w14:paraId="55017BAE" w14:textId="77777777" w:rsidR="007A70D4" w:rsidRDefault="00000000">
                            <w:pPr>
                              <w:spacing w:after="0" w:line="240" w:lineRule="auto"/>
                              <w:textDirection w:val="btLr"/>
                            </w:pPr>
                            <w:r>
                              <w:rPr>
                                <w:rFonts w:ascii="Lustria" w:eastAsia="Lustria" w:hAnsi="Lustria" w:cs="Lustria"/>
                                <w:b/>
                                <w:color w:val="000000"/>
                                <w:sz w:val="30"/>
                              </w:rPr>
                              <w:t>Sta. Mesa, Manila</w:t>
                            </w:r>
                          </w:p>
                          <w:p w14:paraId="34F294A2" w14:textId="77777777" w:rsidR="007A70D4" w:rsidRDefault="007A70D4">
                            <w:pPr>
                              <w:spacing w:after="0" w:line="275" w:lineRule="auto"/>
                              <w:textDirection w:val="btLr"/>
                            </w:pPr>
                          </w:p>
                          <w:p w14:paraId="593CDD32" w14:textId="77777777" w:rsidR="007A70D4" w:rsidRDefault="007A70D4">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388938</wp:posOffset>
                </wp:positionH>
                <wp:positionV relativeFrom="paragraph">
                  <wp:posOffset>-487359</wp:posOffset>
                </wp:positionV>
                <wp:extent cx="6256020" cy="84518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56020" cy="845185"/>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24EE98BB" wp14:editId="70660C9B">
            <wp:simplePos x="0" y="0"/>
            <wp:positionH relativeFrom="column">
              <wp:posOffset>-447673</wp:posOffset>
            </wp:positionH>
            <wp:positionV relativeFrom="paragraph">
              <wp:posOffset>-485772</wp:posOffset>
            </wp:positionV>
            <wp:extent cx="826770" cy="82613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26770" cy="826135"/>
                    </a:xfrm>
                    <a:prstGeom prst="rect">
                      <a:avLst/>
                    </a:prstGeom>
                    <a:ln/>
                  </pic:spPr>
                </pic:pic>
              </a:graphicData>
            </a:graphic>
          </wp:anchor>
        </w:drawing>
      </w:r>
      <w:r>
        <w:rPr>
          <w:noProof/>
        </w:rPr>
        <mc:AlternateContent>
          <mc:Choice Requires="wpg">
            <w:drawing>
              <wp:anchor distT="0" distB="0" distL="114300" distR="114300" simplePos="0" relativeHeight="251660288" behindDoc="0" locked="0" layoutInCell="1" hidden="0" allowOverlap="1" wp14:anchorId="15FE8BE0" wp14:editId="6148C3B3">
                <wp:simplePos x="0" y="0"/>
                <wp:positionH relativeFrom="column">
                  <wp:posOffset>-382585</wp:posOffset>
                </wp:positionH>
                <wp:positionV relativeFrom="paragraph">
                  <wp:posOffset>366713</wp:posOffset>
                </wp:positionV>
                <wp:extent cx="6338759"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190908" y="3780000"/>
                          <a:ext cx="6310184" cy="0"/>
                        </a:xfrm>
                        <a:prstGeom prst="straightConnector1">
                          <a:avLst/>
                        </a:prstGeom>
                        <a:noFill/>
                        <a:ln w="2857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-382585</wp:posOffset>
                </wp:positionH>
                <wp:positionV relativeFrom="paragraph">
                  <wp:posOffset>366713</wp:posOffset>
                </wp:positionV>
                <wp:extent cx="6338759" cy="5715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38759" cy="57150"/>
                        </a:xfrm>
                        <a:prstGeom prst="rect"/>
                        <a:ln/>
                      </pic:spPr>
                    </pic:pic>
                  </a:graphicData>
                </a:graphic>
              </wp:anchor>
            </w:drawing>
          </mc:Fallback>
        </mc:AlternateContent>
      </w:r>
    </w:p>
    <w:p w14:paraId="63D594AE" w14:textId="77777777" w:rsidR="007A70D4" w:rsidRDefault="007A70D4">
      <w:pPr>
        <w:spacing w:after="0" w:line="240" w:lineRule="auto"/>
        <w:rPr>
          <w:rFonts w:ascii="Bookman Old Style" w:eastAsia="Bookman Old Style" w:hAnsi="Bookman Old Style" w:cs="Bookman Old Style"/>
          <w:b/>
          <w:bCs/>
          <w:sz w:val="24"/>
          <w:szCs w:val="24"/>
        </w:rPr>
      </w:pPr>
    </w:p>
    <w:p w14:paraId="13B5CB0E" w14:textId="77777777" w:rsidR="007A70D4" w:rsidRDefault="007A70D4">
      <w:pPr>
        <w:spacing w:after="0" w:line="240" w:lineRule="auto"/>
        <w:jc w:val="center"/>
        <w:rPr>
          <w:rFonts w:ascii="Bookman Old Style" w:eastAsia="Bookman Old Style" w:hAnsi="Bookman Old Style" w:cs="Bookman Old Style"/>
          <w:b/>
          <w:bCs/>
          <w:sz w:val="24"/>
          <w:szCs w:val="24"/>
        </w:rPr>
      </w:pPr>
    </w:p>
    <w:p w14:paraId="403B9228" w14:textId="77777777" w:rsidR="007A70D4" w:rsidRDefault="007A70D4">
      <w:pPr>
        <w:spacing w:after="0" w:line="240" w:lineRule="auto"/>
        <w:jc w:val="center"/>
        <w:rPr>
          <w:rFonts w:ascii="Bookman Old Style" w:eastAsia="Bookman Old Style" w:hAnsi="Bookman Old Style" w:cs="Bookman Old Style"/>
          <w:b/>
          <w:bCs/>
          <w:sz w:val="24"/>
          <w:szCs w:val="24"/>
        </w:rPr>
      </w:pPr>
    </w:p>
    <w:p w14:paraId="4862D99A" w14:textId="77777777" w:rsidR="007A70D4" w:rsidRDefault="007A70D4">
      <w:pPr>
        <w:spacing w:after="0" w:line="240" w:lineRule="auto"/>
        <w:jc w:val="center"/>
        <w:rPr>
          <w:rFonts w:ascii="Bookman Old Style" w:eastAsia="Bookman Old Style" w:hAnsi="Bookman Old Style" w:cs="Bookman Old Style"/>
          <w:b/>
          <w:bCs/>
          <w:sz w:val="24"/>
          <w:szCs w:val="24"/>
        </w:rPr>
      </w:pPr>
    </w:p>
    <w:p w14:paraId="1342D751" w14:textId="77777777" w:rsidR="007A70D4" w:rsidRDefault="00000000">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CONCEPT PAPER</w:t>
      </w:r>
    </w:p>
    <w:p w14:paraId="064B0743" w14:textId="77777777" w:rsidR="007A70D4" w:rsidRDefault="007A70D4">
      <w:pPr>
        <w:spacing w:after="0" w:line="240" w:lineRule="auto"/>
        <w:jc w:val="both"/>
        <w:rPr>
          <w:rFonts w:ascii="Bookman Old Style" w:eastAsia="Bookman Old Style" w:hAnsi="Bookman Old Style" w:cs="Bookman Old Style"/>
        </w:rPr>
      </w:pPr>
    </w:p>
    <w:p w14:paraId="076237BC" w14:textId="77777777" w:rsidR="007A70D4" w:rsidRDefault="007A70D4">
      <w:pPr>
        <w:spacing w:after="0" w:line="240" w:lineRule="auto"/>
        <w:jc w:val="both"/>
        <w:rPr>
          <w:rFonts w:ascii="Bookman Old Style" w:eastAsia="Bookman Old Style" w:hAnsi="Bookman Old Style" w:cs="Bookman Old Style"/>
        </w:rPr>
      </w:pPr>
    </w:p>
    <w:p w14:paraId="5E00E915" w14:textId="77777777" w:rsidR="007A70D4" w:rsidRDefault="00000000">
      <w:pPr>
        <w:spacing w:after="0"/>
        <w:jc w:val="both"/>
        <w:rPr>
          <w:rFonts w:ascii="Bookman Old Style" w:eastAsia="Bookman Old Style" w:hAnsi="Bookman Old Style" w:cs="Bookman Old Style"/>
          <w:b/>
          <w:bCs/>
        </w:rPr>
      </w:pPr>
      <w:r>
        <w:rPr>
          <w:rFonts w:ascii="Bookman Old Style" w:eastAsia="Bookman Old Style" w:hAnsi="Bookman Old Style" w:cs="Bookman Old Style"/>
          <w:b/>
          <w:bCs/>
        </w:rPr>
        <w:t>TITLE:</w:t>
      </w:r>
    </w:p>
    <w:p w14:paraId="63FAB6E6" w14:textId="77777777" w:rsidR="007A70D4" w:rsidRDefault="00000000">
      <w:pPr>
        <w:spacing w:after="0"/>
        <w:jc w:val="both"/>
        <w:rPr>
          <w:rFonts w:ascii="Bookman Old Style" w:eastAsia="Bookman Old Style" w:hAnsi="Bookman Old Style" w:cs="Bookman Old Style"/>
        </w:rPr>
      </w:pPr>
      <w:r>
        <w:rPr>
          <w:rFonts w:ascii="Bookman Old Style" w:eastAsia="Bookman Old Style" w:hAnsi="Bookman Old Style" w:cs="Bookman Old Style"/>
        </w:rPr>
        <w:t>Development of a Unified Banking Database System: Addressing Data Fragmentation and Enhancing Transactional Integrity</w:t>
      </w:r>
    </w:p>
    <w:p w14:paraId="24478174" w14:textId="77777777" w:rsidR="007A70D4" w:rsidRDefault="007A70D4">
      <w:pPr>
        <w:spacing w:after="0"/>
        <w:jc w:val="both"/>
        <w:rPr>
          <w:rFonts w:ascii="Bookman Old Style" w:eastAsia="Bookman Old Style" w:hAnsi="Bookman Old Style" w:cs="Bookman Old Style"/>
        </w:rPr>
      </w:pPr>
    </w:p>
    <w:p w14:paraId="663E0832" w14:textId="77777777" w:rsidR="007A70D4" w:rsidRDefault="00000000">
      <w:pPr>
        <w:spacing w:after="0"/>
        <w:jc w:val="both"/>
        <w:rPr>
          <w:rFonts w:ascii="Bookman Old Style" w:eastAsia="Bookman Old Style" w:hAnsi="Bookman Old Style" w:cs="Bookman Old Style"/>
          <w:b/>
          <w:bCs/>
        </w:rPr>
      </w:pPr>
      <w:r>
        <w:rPr>
          <w:rFonts w:ascii="Bookman Old Style" w:eastAsia="Bookman Old Style" w:hAnsi="Bookman Old Style" w:cs="Bookman Old Style"/>
          <w:b/>
          <w:bCs/>
        </w:rPr>
        <w:t>ABSTRACT:</w:t>
      </w:r>
    </w:p>
    <w:p w14:paraId="74CD43D2" w14:textId="77777777" w:rsidR="007A70D4" w:rsidRDefault="00000000">
      <w:pPr>
        <w:spacing w:after="0" w:line="24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In the modern financial sector, the integrity and security of data </w:t>
      </w:r>
      <w:proofErr w:type="gramStart"/>
      <w:r>
        <w:rPr>
          <w:rFonts w:ascii="Bookman Old Style" w:eastAsia="Bookman Old Style" w:hAnsi="Bookman Old Style" w:cs="Bookman Old Style"/>
        </w:rPr>
        <w:t>represents</w:t>
      </w:r>
      <w:proofErr w:type="gramEnd"/>
      <w:r>
        <w:rPr>
          <w:rFonts w:ascii="Bookman Old Style" w:eastAsia="Bookman Old Style" w:hAnsi="Bookman Old Style" w:cs="Bookman Old Style"/>
        </w:rPr>
        <w:t xml:space="preserve"> as a backbone of the reliability and credibility of banking operations. Fragmented databases and systems remain a significant challenge in improving data management and security, often leading to missing or duplicated data, and </w:t>
      </w:r>
      <w:proofErr w:type="gramStart"/>
      <w:r>
        <w:rPr>
          <w:rFonts w:ascii="Bookman Old Style" w:eastAsia="Bookman Old Style" w:hAnsi="Bookman Old Style" w:cs="Bookman Old Style"/>
        </w:rPr>
        <w:t>inconsistent  record</w:t>
      </w:r>
      <w:proofErr w:type="gramEnd"/>
      <w:r>
        <w:rPr>
          <w:rFonts w:ascii="Bookman Old Style" w:eastAsia="Bookman Old Style" w:hAnsi="Bookman Old Style" w:cs="Bookman Old Style"/>
        </w:rPr>
        <w:t xml:space="preserve">-keeping. Following the analysis of existing literature and studies concerning issues banks experience from siloed databases, this paper aims to develop a database architecture designed to unify customer information and financial accounts into a single and organized structure. Using mainstream bank management principles, this system aims to provide an accurate, secure, and comprehensive data management framework to replace traditional fragmented infrastructures. The development and implementation of this project is expected to be completed within a duration of two to </w:t>
      </w:r>
      <w:proofErr w:type="gramStart"/>
      <w:r>
        <w:rPr>
          <w:rFonts w:ascii="Bookman Old Style" w:eastAsia="Bookman Old Style" w:hAnsi="Bookman Old Style" w:cs="Bookman Old Style"/>
        </w:rPr>
        <w:t>three  months</w:t>
      </w:r>
      <w:proofErr w:type="gramEnd"/>
      <w:r>
        <w:rPr>
          <w:rFonts w:ascii="Bookman Old Style" w:eastAsia="Bookman Old Style" w:hAnsi="Bookman Old Style" w:cs="Bookman Old Style"/>
        </w:rPr>
        <w:t>.</w:t>
      </w:r>
    </w:p>
    <w:p w14:paraId="01AFD172" w14:textId="77777777" w:rsidR="007A70D4" w:rsidRDefault="007A70D4">
      <w:pPr>
        <w:spacing w:after="0" w:line="240" w:lineRule="auto"/>
        <w:jc w:val="both"/>
        <w:rPr>
          <w:rFonts w:ascii="Bookman Old Style" w:eastAsia="Bookman Old Style" w:hAnsi="Bookman Old Style" w:cs="Bookman Old Style"/>
        </w:rPr>
      </w:pPr>
    </w:p>
    <w:p w14:paraId="5102A328" w14:textId="77777777" w:rsidR="007A70D4" w:rsidRDefault="00000000">
      <w:pPr>
        <w:spacing w:after="0"/>
        <w:jc w:val="both"/>
        <w:rPr>
          <w:rFonts w:ascii="Bookman Old Style" w:eastAsia="Bookman Old Style" w:hAnsi="Bookman Old Style" w:cs="Bookman Old Style"/>
          <w:b/>
          <w:bCs/>
        </w:rPr>
      </w:pPr>
      <w:r>
        <w:rPr>
          <w:rFonts w:ascii="Bookman Old Style" w:eastAsia="Bookman Old Style" w:hAnsi="Bookman Old Style" w:cs="Bookman Old Style"/>
          <w:b/>
          <w:bCs/>
        </w:rPr>
        <w:t>RESEARCHERS:</w:t>
      </w:r>
    </w:p>
    <w:p w14:paraId="6D3A1DD5" w14:textId="77777777" w:rsidR="007A70D4" w:rsidRDefault="00000000">
      <w:pPr>
        <w:spacing w:after="0"/>
        <w:jc w:val="both"/>
        <w:rPr>
          <w:rFonts w:ascii="Bookman Old Style" w:eastAsia="Bookman Old Style" w:hAnsi="Bookman Old Style" w:cs="Bookman Old Style"/>
        </w:rPr>
      </w:pPr>
      <w:r>
        <w:rPr>
          <w:rFonts w:ascii="Bookman Old Style" w:eastAsia="Bookman Old Style" w:hAnsi="Bookman Old Style" w:cs="Bookman Old Style"/>
        </w:rPr>
        <w:t>Indicate the proponents of the research</w:t>
      </w:r>
    </w:p>
    <w:tbl>
      <w:tblPr>
        <w:tblStyle w:val="a"/>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3450"/>
        <w:gridCol w:w="1695"/>
        <w:gridCol w:w="2925"/>
      </w:tblGrid>
      <w:tr w:rsidR="007A70D4" w14:paraId="6F2D0ECE" w14:textId="77777777">
        <w:tc>
          <w:tcPr>
            <w:tcW w:w="9345" w:type="dxa"/>
            <w:gridSpan w:val="4"/>
          </w:tcPr>
          <w:p w14:paraId="69975F39"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The Proponents (Student) (Section)</w:t>
            </w:r>
          </w:p>
        </w:tc>
      </w:tr>
      <w:tr w:rsidR="007A70D4" w14:paraId="691074BC" w14:textId="77777777">
        <w:tc>
          <w:tcPr>
            <w:tcW w:w="1275" w:type="dxa"/>
          </w:tcPr>
          <w:p w14:paraId="2E9DF3C4"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Name</w:t>
            </w:r>
          </w:p>
        </w:tc>
        <w:tc>
          <w:tcPr>
            <w:tcW w:w="3450" w:type="dxa"/>
          </w:tcPr>
          <w:p w14:paraId="7C9D74A6"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Camacho, Rene Jr. R.</w:t>
            </w:r>
          </w:p>
        </w:tc>
        <w:tc>
          <w:tcPr>
            <w:tcW w:w="1695" w:type="dxa"/>
          </w:tcPr>
          <w:p w14:paraId="3F910B53"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Student No.</w:t>
            </w:r>
          </w:p>
        </w:tc>
        <w:tc>
          <w:tcPr>
            <w:tcW w:w="2925" w:type="dxa"/>
          </w:tcPr>
          <w:p w14:paraId="3A6C5548"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2024-03614-MN-0</w:t>
            </w:r>
          </w:p>
        </w:tc>
      </w:tr>
      <w:tr w:rsidR="007A70D4" w14:paraId="08F5A263" w14:textId="77777777">
        <w:tc>
          <w:tcPr>
            <w:tcW w:w="1275" w:type="dxa"/>
          </w:tcPr>
          <w:p w14:paraId="375B3860"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Email</w:t>
            </w:r>
          </w:p>
        </w:tc>
        <w:tc>
          <w:tcPr>
            <w:tcW w:w="3450" w:type="dxa"/>
          </w:tcPr>
          <w:p w14:paraId="418E79D1"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renchen516@gmail.com</w:t>
            </w:r>
          </w:p>
        </w:tc>
        <w:tc>
          <w:tcPr>
            <w:tcW w:w="1695" w:type="dxa"/>
          </w:tcPr>
          <w:p w14:paraId="11E41095"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Phone</w:t>
            </w:r>
          </w:p>
        </w:tc>
        <w:tc>
          <w:tcPr>
            <w:tcW w:w="2925" w:type="dxa"/>
          </w:tcPr>
          <w:p w14:paraId="755CECCE"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09622713020</w:t>
            </w:r>
          </w:p>
        </w:tc>
      </w:tr>
      <w:tr w:rsidR="007A70D4" w14:paraId="2F2A4977" w14:textId="77777777">
        <w:tc>
          <w:tcPr>
            <w:tcW w:w="1275" w:type="dxa"/>
          </w:tcPr>
          <w:p w14:paraId="526353B4"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Name</w:t>
            </w:r>
          </w:p>
        </w:tc>
        <w:tc>
          <w:tcPr>
            <w:tcW w:w="3450" w:type="dxa"/>
          </w:tcPr>
          <w:p w14:paraId="478F12E2"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Celindro, Aaron Creed P.</w:t>
            </w:r>
          </w:p>
        </w:tc>
        <w:tc>
          <w:tcPr>
            <w:tcW w:w="1695" w:type="dxa"/>
          </w:tcPr>
          <w:p w14:paraId="56D4308E"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Student No.</w:t>
            </w:r>
          </w:p>
        </w:tc>
        <w:tc>
          <w:tcPr>
            <w:tcW w:w="2925" w:type="dxa"/>
          </w:tcPr>
          <w:p w14:paraId="2557AA3A"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2024-01958-MN-0</w:t>
            </w:r>
          </w:p>
        </w:tc>
      </w:tr>
      <w:tr w:rsidR="007A70D4" w14:paraId="04FE3F05" w14:textId="77777777">
        <w:tc>
          <w:tcPr>
            <w:tcW w:w="1275" w:type="dxa"/>
          </w:tcPr>
          <w:p w14:paraId="04511E45"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Email</w:t>
            </w:r>
          </w:p>
        </w:tc>
        <w:tc>
          <w:tcPr>
            <w:tcW w:w="3450" w:type="dxa"/>
          </w:tcPr>
          <w:p w14:paraId="3702EDD8"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aaroncreedpcelindro@gmail.com</w:t>
            </w:r>
          </w:p>
        </w:tc>
        <w:tc>
          <w:tcPr>
            <w:tcW w:w="1695" w:type="dxa"/>
          </w:tcPr>
          <w:p w14:paraId="066B5AD4"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Phone</w:t>
            </w:r>
          </w:p>
        </w:tc>
        <w:tc>
          <w:tcPr>
            <w:tcW w:w="2925" w:type="dxa"/>
          </w:tcPr>
          <w:p w14:paraId="5F8824F2"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0992 773 9687</w:t>
            </w:r>
          </w:p>
        </w:tc>
      </w:tr>
      <w:tr w:rsidR="007A70D4" w14:paraId="0A1C0320" w14:textId="77777777">
        <w:tc>
          <w:tcPr>
            <w:tcW w:w="1275" w:type="dxa"/>
          </w:tcPr>
          <w:p w14:paraId="28C453E5"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Name</w:t>
            </w:r>
          </w:p>
        </w:tc>
        <w:tc>
          <w:tcPr>
            <w:tcW w:w="3450" w:type="dxa"/>
          </w:tcPr>
          <w:p w14:paraId="0ED3510F"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Naig, Ariane Mae A.</w:t>
            </w:r>
          </w:p>
        </w:tc>
        <w:tc>
          <w:tcPr>
            <w:tcW w:w="1695" w:type="dxa"/>
          </w:tcPr>
          <w:p w14:paraId="5BD97042"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Student No.</w:t>
            </w:r>
          </w:p>
        </w:tc>
        <w:tc>
          <w:tcPr>
            <w:tcW w:w="2925" w:type="dxa"/>
          </w:tcPr>
          <w:p w14:paraId="3FB47C94"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2024-02100-MN-0</w:t>
            </w:r>
          </w:p>
        </w:tc>
      </w:tr>
      <w:tr w:rsidR="007A70D4" w14:paraId="3C7ED9FA" w14:textId="77777777">
        <w:tc>
          <w:tcPr>
            <w:tcW w:w="1275" w:type="dxa"/>
          </w:tcPr>
          <w:p w14:paraId="6FB08F6E"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Email</w:t>
            </w:r>
          </w:p>
        </w:tc>
        <w:tc>
          <w:tcPr>
            <w:tcW w:w="3450" w:type="dxa"/>
          </w:tcPr>
          <w:p w14:paraId="637B60A0"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ariane.naig02@gmail.com</w:t>
            </w:r>
          </w:p>
        </w:tc>
        <w:tc>
          <w:tcPr>
            <w:tcW w:w="1695" w:type="dxa"/>
          </w:tcPr>
          <w:p w14:paraId="0F36C919"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Phone</w:t>
            </w:r>
          </w:p>
        </w:tc>
        <w:tc>
          <w:tcPr>
            <w:tcW w:w="2925" w:type="dxa"/>
          </w:tcPr>
          <w:p w14:paraId="43CD77EF"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+63 969 424 3015</w:t>
            </w:r>
          </w:p>
        </w:tc>
      </w:tr>
      <w:tr w:rsidR="007A70D4" w14:paraId="34BAA5FC" w14:textId="77777777">
        <w:tc>
          <w:tcPr>
            <w:tcW w:w="1275" w:type="dxa"/>
          </w:tcPr>
          <w:p w14:paraId="697D109A"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Name</w:t>
            </w:r>
          </w:p>
        </w:tc>
        <w:tc>
          <w:tcPr>
            <w:tcW w:w="3450" w:type="dxa"/>
          </w:tcPr>
          <w:p w14:paraId="7DF2DA67" w14:textId="77777777" w:rsidR="007A70D4" w:rsidRDefault="00000000">
            <w:pPr>
              <w:spacing w:line="259" w:lineRule="auto"/>
              <w:jc w:val="center"/>
              <w:rPr>
                <w:rFonts w:ascii="Bookman Old Style" w:eastAsia="Bookman Old Style" w:hAnsi="Bookman Old Style" w:cs="Bookman Old Style"/>
                <w:sz w:val="22"/>
                <w:szCs w:val="22"/>
              </w:rPr>
            </w:pPr>
            <w:proofErr w:type="spellStart"/>
            <w:r>
              <w:rPr>
                <w:rFonts w:ascii="Bookman Old Style" w:eastAsia="Bookman Old Style" w:hAnsi="Bookman Old Style" w:cs="Bookman Old Style"/>
                <w:sz w:val="22"/>
                <w:szCs w:val="22"/>
              </w:rPr>
              <w:t>Umbao</w:t>
            </w:r>
            <w:proofErr w:type="spellEnd"/>
            <w:r>
              <w:rPr>
                <w:rFonts w:ascii="Bookman Old Style" w:eastAsia="Bookman Old Style" w:hAnsi="Bookman Old Style" w:cs="Bookman Old Style"/>
                <w:sz w:val="22"/>
                <w:szCs w:val="22"/>
              </w:rPr>
              <w:t>, Pauleen Therese H.</w:t>
            </w:r>
          </w:p>
        </w:tc>
        <w:tc>
          <w:tcPr>
            <w:tcW w:w="1695" w:type="dxa"/>
          </w:tcPr>
          <w:p w14:paraId="68B1A849"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Student No.</w:t>
            </w:r>
          </w:p>
        </w:tc>
        <w:tc>
          <w:tcPr>
            <w:tcW w:w="2925" w:type="dxa"/>
          </w:tcPr>
          <w:p w14:paraId="0291F6ED"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2024-00438-MN-0</w:t>
            </w:r>
          </w:p>
        </w:tc>
      </w:tr>
      <w:tr w:rsidR="007A70D4" w14:paraId="032036C0" w14:textId="77777777">
        <w:tc>
          <w:tcPr>
            <w:tcW w:w="1275" w:type="dxa"/>
          </w:tcPr>
          <w:p w14:paraId="777E7DC0"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Email</w:t>
            </w:r>
          </w:p>
        </w:tc>
        <w:tc>
          <w:tcPr>
            <w:tcW w:w="3450" w:type="dxa"/>
          </w:tcPr>
          <w:p w14:paraId="4AAB315A"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pautheresehanumbao@gmail.com</w:t>
            </w:r>
          </w:p>
        </w:tc>
        <w:tc>
          <w:tcPr>
            <w:tcW w:w="1695" w:type="dxa"/>
          </w:tcPr>
          <w:p w14:paraId="24911440" w14:textId="77777777" w:rsidR="007A70D4" w:rsidRDefault="00000000">
            <w:pPr>
              <w:spacing w:line="259"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Phone</w:t>
            </w:r>
          </w:p>
        </w:tc>
        <w:tc>
          <w:tcPr>
            <w:tcW w:w="2925" w:type="dxa"/>
          </w:tcPr>
          <w:p w14:paraId="6CC2AAD2" w14:textId="77777777" w:rsidR="007A70D4" w:rsidRDefault="00000000">
            <w:pPr>
              <w:spacing w:line="259" w:lineRule="auto"/>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+63 907 407 4154</w:t>
            </w:r>
          </w:p>
        </w:tc>
      </w:tr>
    </w:tbl>
    <w:p w14:paraId="05E10BFE" w14:textId="77777777" w:rsidR="007A70D4" w:rsidRDefault="007A70D4">
      <w:pPr>
        <w:spacing w:after="0"/>
        <w:jc w:val="both"/>
        <w:rPr>
          <w:rFonts w:ascii="Bookman Old Style" w:eastAsia="Bookman Old Style" w:hAnsi="Bookman Old Style" w:cs="Bookman Old Style"/>
        </w:rPr>
      </w:pPr>
    </w:p>
    <w:p w14:paraId="2595B125" w14:textId="77777777" w:rsidR="007A70D4" w:rsidRDefault="00000000">
      <w:pPr>
        <w:spacing w:after="0"/>
        <w:jc w:val="both"/>
        <w:rPr>
          <w:rFonts w:ascii="Bookman Old Style" w:eastAsia="Bookman Old Style" w:hAnsi="Bookman Old Style" w:cs="Bookman Old Style"/>
          <w:b/>
          <w:bCs/>
        </w:rPr>
      </w:pPr>
      <w:r>
        <w:rPr>
          <w:rFonts w:ascii="Bookman Old Style" w:eastAsia="Bookman Old Style" w:hAnsi="Bookman Old Style" w:cs="Bookman Old Style"/>
          <w:b/>
          <w:bCs/>
        </w:rPr>
        <w:t>INTRODUCTION:</w:t>
      </w:r>
    </w:p>
    <w:p w14:paraId="7AB9A6CE" w14:textId="77777777" w:rsidR="007A70D4" w:rsidRDefault="00000000">
      <w:pPr>
        <w:spacing w:after="0"/>
        <w:jc w:val="both"/>
        <w:rPr>
          <w:rFonts w:ascii="Bookman Old Style" w:eastAsia="Bookman Old Style" w:hAnsi="Bookman Old Style" w:cs="Bookman Old Style"/>
        </w:rPr>
      </w:pPr>
      <w:r>
        <w:rPr>
          <w:rFonts w:ascii="Bookman Old Style" w:eastAsia="Bookman Old Style" w:hAnsi="Bookman Old Style" w:cs="Bookman Old Style"/>
        </w:rPr>
        <w:t>This section covers the following:</w:t>
      </w:r>
    </w:p>
    <w:p w14:paraId="3F411DA4" w14:textId="77777777" w:rsidR="007A70D4" w:rsidRDefault="007A70D4">
      <w:pPr>
        <w:spacing w:after="0"/>
        <w:jc w:val="both"/>
        <w:rPr>
          <w:rFonts w:ascii="Bookman Old Style" w:eastAsia="Bookman Old Style" w:hAnsi="Bookman Old Style" w:cs="Bookman Old Style"/>
        </w:rPr>
      </w:pPr>
    </w:p>
    <w:p w14:paraId="401AF4EB" w14:textId="77777777" w:rsidR="007A70D4" w:rsidRDefault="00000000">
      <w:pPr>
        <w:spacing w:after="0" w:line="240" w:lineRule="auto"/>
        <w:jc w:val="both"/>
        <w:rPr>
          <w:rFonts w:ascii="Bookman Old Style" w:eastAsia="Bookman Old Style" w:hAnsi="Bookman Old Style" w:cs="Bookman Old Style"/>
        </w:rPr>
      </w:pPr>
      <w:r>
        <w:rPr>
          <w:rFonts w:ascii="Bookman Old Style" w:eastAsia="Bookman Old Style" w:hAnsi="Bookman Old Style" w:cs="Bookman Old Style"/>
          <w:b/>
          <w:bCs/>
        </w:rPr>
        <w:t>Background</w:t>
      </w:r>
      <w:r>
        <w:rPr>
          <w:rFonts w:ascii="Bookman Old Style" w:eastAsia="Bookman Old Style" w:hAnsi="Bookman Old Style" w:cs="Bookman Old Style"/>
        </w:rPr>
        <w:t xml:space="preserve">: </w:t>
      </w:r>
    </w:p>
    <w:p w14:paraId="6532BB21" w14:textId="77777777" w:rsidR="007A70D4" w:rsidRDefault="00000000">
      <w:pPr>
        <w:spacing w:before="240" w:after="240" w:line="240" w:lineRule="auto"/>
        <w:jc w:val="both"/>
        <w:rPr>
          <w:rFonts w:ascii="Bookman Old Style" w:eastAsia="Bookman Old Style" w:hAnsi="Bookman Old Style" w:cs="Bookman Old Style"/>
        </w:rPr>
      </w:pPr>
      <w:r>
        <w:rPr>
          <w:rFonts w:ascii="Bookman Old Style" w:eastAsia="Bookman Old Style" w:hAnsi="Bookman Old Style" w:cs="Bookman Old Style"/>
        </w:rPr>
        <w:t>Modern banking has become a highly data‑intensive industry, with millions of customer interactions, account updates, and financial transactions processed daily across online and mobile platforms. These operations demand robust, scalable, and secure database systems capable of supporting real‑time processing while ensuring data integrity and regulatory compliance (Insight Software, 2024; Snowflake, 2025). Contemporary banks rely on transactional databases that enforce ACID properties, atomicity, consistency, isolation, and durability to guarantee accurate and reliable financial operations, even under high‑volume workloads and concurrent access (Insight Software, 2024; Actian, 2025).</w:t>
      </w:r>
    </w:p>
    <w:p w14:paraId="6641C012" w14:textId="77777777" w:rsidR="007A70D4" w:rsidRDefault="00000000">
      <w:pPr>
        <w:spacing w:before="240" w:after="240" w:line="24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A critical challenge in modern banking is the fragmented management of customer data across multiple legacy systems and digital‑channel platforms. Without a centralized and coherent database architecture, institutions struggle to create a unified customer view, </w:t>
      </w:r>
      <w:r>
        <w:rPr>
          <w:rFonts w:ascii="Bookman Old Style" w:eastAsia="Bookman Old Style" w:hAnsi="Bookman Old Style" w:cs="Bookman Old Style"/>
        </w:rPr>
        <w:lastRenderedPageBreak/>
        <w:t>leading to inconsistent records, duplicated profiles, and limited analytical capabilities (The Financial Brand, 2021; Atrium, n.d.). These data‑quality and integration issues impair risk assessment, personalized service, and cross‑selling opportunities, underscoring the need for database systems that can aggregate, standardize, and govern customer information across the organization (KPMG, 2014; Atrium, n.d.). Beyond customer data, managing account information and transaction records further requires strict concurrency control, reliable logging, and audit‑ready transaction histories to maintain correctness and support regulatory reporting (Insight Software, 2024; Actian, 2025).</w:t>
      </w:r>
    </w:p>
    <w:p w14:paraId="03725FA4" w14:textId="77777777" w:rsidR="007A70D4" w:rsidRDefault="00000000">
      <w:pPr>
        <w:spacing w:before="240" w:after="240" w:line="240" w:lineRule="auto"/>
        <w:jc w:val="both"/>
        <w:rPr>
          <w:rFonts w:ascii="Bookman Old Style" w:eastAsia="Bookman Old Style" w:hAnsi="Bookman Old Style" w:cs="Bookman Old Style"/>
        </w:rPr>
      </w:pPr>
      <w:r>
        <w:rPr>
          <w:rFonts w:ascii="Bookman Old Style" w:eastAsia="Bookman Old Style" w:hAnsi="Bookman Old Style" w:cs="Bookman Old Style"/>
        </w:rPr>
        <w:t>Alongside these technical demands, banks face growing data‑security and compliance pressures. Regulatory frameworks require strong encryption, granular access controls, and continuous monitoring of database activity to protect sensitive financial and personal data (</w:t>
      </w:r>
      <w:proofErr w:type="spellStart"/>
      <w:r>
        <w:rPr>
          <w:rFonts w:ascii="Bookman Old Style" w:eastAsia="Bookman Old Style" w:hAnsi="Bookman Old Style" w:cs="Bookman Old Style"/>
        </w:rPr>
        <w:t>PingCAP</w:t>
      </w:r>
      <w:proofErr w:type="spellEnd"/>
      <w:r>
        <w:rPr>
          <w:rFonts w:ascii="Bookman Old Style" w:eastAsia="Bookman Old Style" w:hAnsi="Bookman Old Style" w:cs="Bookman Old Style"/>
        </w:rPr>
        <w:t xml:space="preserve">, 2024; </w:t>
      </w:r>
      <w:proofErr w:type="spellStart"/>
      <w:r>
        <w:rPr>
          <w:rFonts w:ascii="Bookman Old Style" w:eastAsia="Bookman Old Style" w:hAnsi="Bookman Old Style" w:cs="Bookman Old Style"/>
        </w:rPr>
        <w:t>DBmaestro</w:t>
      </w:r>
      <w:proofErr w:type="spellEnd"/>
      <w:r>
        <w:rPr>
          <w:rFonts w:ascii="Bookman Old Style" w:eastAsia="Bookman Old Style" w:hAnsi="Bookman Old Style" w:cs="Bookman Old Style"/>
        </w:rPr>
        <w:t>, 2025). Modern database platforms increasingly incorporate compliance‑oriented features such as encryption at rest and in transit, role‑based access, and automated audit‑logging, enabling banks to meet these requirements while minimizing operational risk (</w:t>
      </w:r>
      <w:proofErr w:type="spellStart"/>
      <w:r>
        <w:rPr>
          <w:rFonts w:ascii="Bookman Old Style" w:eastAsia="Bookman Old Style" w:hAnsi="Bookman Old Style" w:cs="Bookman Old Style"/>
        </w:rPr>
        <w:t>PingCAP</w:t>
      </w:r>
      <w:proofErr w:type="spellEnd"/>
      <w:r>
        <w:rPr>
          <w:rFonts w:ascii="Bookman Old Style" w:eastAsia="Bookman Old Style" w:hAnsi="Bookman Old Style" w:cs="Bookman Old Style"/>
        </w:rPr>
        <w:t xml:space="preserve">, 2024; </w:t>
      </w:r>
      <w:proofErr w:type="spellStart"/>
      <w:r>
        <w:rPr>
          <w:rFonts w:ascii="Bookman Old Style" w:eastAsia="Bookman Old Style" w:hAnsi="Bookman Old Style" w:cs="Bookman Old Style"/>
        </w:rPr>
        <w:t>Netsuite</w:t>
      </w:r>
      <w:proofErr w:type="spellEnd"/>
      <w:r>
        <w:rPr>
          <w:rFonts w:ascii="Bookman Old Style" w:eastAsia="Bookman Old Style" w:hAnsi="Bookman Old Style" w:cs="Bookman Old Style"/>
        </w:rPr>
        <w:t xml:space="preserve">, 2025; </w:t>
      </w:r>
      <w:proofErr w:type="spellStart"/>
      <w:r>
        <w:rPr>
          <w:rFonts w:ascii="Bookman Old Style" w:eastAsia="Bookman Old Style" w:hAnsi="Bookman Old Style" w:cs="Bookman Old Style"/>
        </w:rPr>
        <w:t>Ispirer</w:t>
      </w:r>
      <w:proofErr w:type="spellEnd"/>
      <w:r>
        <w:rPr>
          <w:rFonts w:ascii="Bookman Old Style" w:eastAsia="Bookman Old Style" w:hAnsi="Bookman Old Style" w:cs="Bookman Old Style"/>
        </w:rPr>
        <w:t>, 2025). These converging challenges, customer‑data fragmentation, high‑velocity transaction processing, and stringent security and governance demands, motivate the development of a specialized Banking Database System designed to address them in an integrated manner.</w:t>
      </w:r>
    </w:p>
    <w:p w14:paraId="55CBB5AC" w14:textId="77777777" w:rsidR="007A70D4" w:rsidRDefault="007A70D4">
      <w:pPr>
        <w:spacing w:after="0" w:line="240" w:lineRule="auto"/>
        <w:jc w:val="both"/>
        <w:rPr>
          <w:rFonts w:ascii="Bookman Old Style" w:eastAsia="Bookman Old Style" w:hAnsi="Bookman Old Style" w:cs="Bookman Old Style"/>
        </w:rPr>
      </w:pPr>
    </w:p>
    <w:p w14:paraId="03056FF0" w14:textId="77777777" w:rsidR="007A70D4" w:rsidRDefault="00000000">
      <w:pPr>
        <w:spacing w:after="0" w:line="240" w:lineRule="auto"/>
        <w:jc w:val="both"/>
        <w:rPr>
          <w:rFonts w:ascii="Bookman Old Style" w:eastAsia="Bookman Old Style" w:hAnsi="Bookman Old Style" w:cs="Bookman Old Style"/>
        </w:rPr>
      </w:pPr>
      <w:r>
        <w:rPr>
          <w:rFonts w:ascii="Bookman Old Style" w:eastAsia="Bookman Old Style" w:hAnsi="Bookman Old Style" w:cs="Bookman Old Style"/>
          <w:b/>
          <w:bCs/>
        </w:rPr>
        <w:t>Problem statement:</w:t>
      </w:r>
      <w:r>
        <w:rPr>
          <w:rFonts w:ascii="Bookman Old Style" w:eastAsia="Bookman Old Style" w:hAnsi="Bookman Old Style" w:cs="Bookman Old Style"/>
        </w:rPr>
        <w:t xml:space="preserve"> </w:t>
      </w:r>
    </w:p>
    <w:p w14:paraId="02A4059C" w14:textId="77777777" w:rsidR="007A70D4" w:rsidRDefault="007A70D4">
      <w:pPr>
        <w:spacing w:after="0" w:line="240" w:lineRule="auto"/>
        <w:jc w:val="both"/>
        <w:rPr>
          <w:rFonts w:ascii="Bookman Old Style" w:eastAsia="Bookman Old Style" w:hAnsi="Bookman Old Style" w:cs="Bookman Old Style"/>
        </w:rPr>
      </w:pPr>
    </w:p>
    <w:p w14:paraId="6977E6B9" w14:textId="77777777" w:rsidR="007A70D4" w:rsidRDefault="00000000">
      <w:pPr>
        <w:spacing w:after="0" w:line="240" w:lineRule="auto"/>
        <w:ind w:firstLine="360"/>
        <w:jc w:val="both"/>
        <w:rPr>
          <w:rFonts w:ascii="Bookman Old Style" w:eastAsia="Bookman Old Style" w:hAnsi="Bookman Old Style" w:cs="Bookman Old Style"/>
        </w:rPr>
      </w:pPr>
      <w:r>
        <w:rPr>
          <w:rFonts w:ascii="Bookman Old Style" w:eastAsia="Bookman Old Style" w:hAnsi="Bookman Old Style" w:cs="Bookman Old Style"/>
        </w:rPr>
        <w:t>Banks increasingly recognize that strong data management is essential to maintain accurate customer information, secure account records, and reliable transaction histories. However, many institutions continue to struggle with fragmented databases, legacy systems, and manual spreadsheets that limit their ability to consolidate and govern data effectively. Global reports on customer data management describe how siloed platforms and disconnected tools limit a bank’s ability to generate a unified customer view, which directly affects service quality, risk management, and personalization efforts. In the Philippines, studies on customer record digitization show that limited information systems and manual document handling can delay data retrieval, complicate compliance with regulatory guidelines, and reduce overall operational efficiency.</w:t>
      </w:r>
    </w:p>
    <w:p w14:paraId="37DB28C3" w14:textId="77777777" w:rsidR="007A70D4" w:rsidRDefault="007A70D4">
      <w:pPr>
        <w:spacing w:after="0" w:line="240" w:lineRule="auto"/>
        <w:jc w:val="both"/>
        <w:rPr>
          <w:rFonts w:ascii="Bookman Old Style" w:eastAsia="Bookman Old Style" w:hAnsi="Bookman Old Style" w:cs="Bookman Old Style"/>
        </w:rPr>
      </w:pPr>
    </w:p>
    <w:p w14:paraId="6DB77FB4" w14:textId="77777777" w:rsidR="007A70D4" w:rsidRDefault="00000000">
      <w:pPr>
        <w:spacing w:after="0" w:line="240" w:lineRule="auto"/>
        <w:ind w:firstLine="360"/>
        <w:jc w:val="both"/>
        <w:rPr>
          <w:rFonts w:ascii="Bookman Old Style" w:eastAsia="Bookman Old Style" w:hAnsi="Bookman Old Style" w:cs="Bookman Old Style"/>
        </w:rPr>
      </w:pPr>
      <w:r>
        <w:rPr>
          <w:rFonts w:ascii="Bookman Old Style" w:eastAsia="Bookman Old Style" w:hAnsi="Bookman Old Style" w:cs="Bookman Old Style"/>
        </w:rPr>
        <w:t xml:space="preserve">In academic and simulated banking environments, record keeping for customers and accounts often </w:t>
      </w:r>
      <w:proofErr w:type="gramStart"/>
      <w:r>
        <w:rPr>
          <w:rFonts w:ascii="Bookman Old Style" w:eastAsia="Bookman Old Style" w:hAnsi="Bookman Old Style" w:cs="Bookman Old Style"/>
        </w:rPr>
        <w:t>mirrors</w:t>
      </w:r>
      <w:proofErr w:type="gramEnd"/>
      <w:r>
        <w:rPr>
          <w:rFonts w:ascii="Bookman Old Style" w:eastAsia="Bookman Old Style" w:hAnsi="Bookman Old Style" w:cs="Bookman Old Style"/>
        </w:rPr>
        <w:t xml:space="preserve"> these weak practices. Customer details, account information, and transaction logs are typically recorded using ad hoc tables that lack a clear schema, formal relationships between entities, and standardized validation rules. This setup leads to duplicated entries, incomplete or inconsistent account information, and difficulties in reconstructing accurate transaction histories, especially when multiple users modify files without a common standard. Literature on data quality in financial institutions emphasizes that such conditions increase the likelihood of errors, weaken confidence in reports, and expose organizations to operational and compliance risks. At the same time, existing banking systems documented in prior studies often rely on full‑scale database servers and application platforms, which can be too complex for introductory coursework or smaller institutions that still depend on spreadsheets.</w:t>
      </w:r>
    </w:p>
    <w:p w14:paraId="33AB0571" w14:textId="77777777" w:rsidR="007A70D4" w:rsidRDefault="007A70D4">
      <w:pPr>
        <w:spacing w:after="0" w:line="240" w:lineRule="auto"/>
        <w:jc w:val="both"/>
        <w:rPr>
          <w:rFonts w:ascii="Bookman Old Style" w:eastAsia="Bookman Old Style" w:hAnsi="Bookman Old Style" w:cs="Bookman Old Style"/>
        </w:rPr>
      </w:pPr>
    </w:p>
    <w:p w14:paraId="42FC8D01" w14:textId="77777777" w:rsidR="007A70D4" w:rsidRDefault="00000000">
      <w:pPr>
        <w:spacing w:after="0" w:line="240" w:lineRule="auto"/>
        <w:ind w:firstLine="360"/>
        <w:jc w:val="both"/>
        <w:rPr>
          <w:rFonts w:ascii="Bookman Old Style" w:eastAsia="Bookman Old Style" w:hAnsi="Bookman Old Style" w:cs="Bookman Old Style"/>
        </w:rPr>
      </w:pPr>
      <w:r>
        <w:rPr>
          <w:rFonts w:ascii="Bookman Old Style" w:eastAsia="Bookman Old Style" w:hAnsi="Bookman Old Style" w:cs="Bookman Old Style"/>
        </w:rPr>
        <w:t>This study responds to these concerns by developing a Banking Database System that consolidates customer information and account management into a single, logically organized data structure. The proposed design applies established concepts from bank management and account system studies to define clear entities and relationships and to implement basic controls for data correctness. By doing so, it aims to reduce redundancy and inconsistencies in stored records, improve traceability of financial activities, and provide a more realistic platform for exploring database principles in a banking context.</w:t>
      </w:r>
    </w:p>
    <w:p w14:paraId="6DBA27BE" w14:textId="77777777" w:rsidR="007A70D4" w:rsidRDefault="007A70D4">
      <w:pPr>
        <w:spacing w:after="0" w:line="240" w:lineRule="auto"/>
        <w:jc w:val="both"/>
        <w:rPr>
          <w:rFonts w:ascii="Bookman Old Style" w:eastAsia="Bookman Old Style" w:hAnsi="Bookman Old Style" w:cs="Bookman Old Style"/>
        </w:rPr>
      </w:pPr>
    </w:p>
    <w:p w14:paraId="19938FB3" w14:textId="77777777" w:rsidR="007A70D4" w:rsidRDefault="00000000">
      <w:pPr>
        <w:spacing w:after="0"/>
        <w:jc w:val="both"/>
        <w:rPr>
          <w:rFonts w:ascii="Bookman Old Style" w:eastAsia="Bookman Old Style" w:hAnsi="Bookman Old Style" w:cs="Bookman Old Style"/>
          <w:b/>
          <w:bCs/>
        </w:rPr>
      </w:pPr>
      <w:r>
        <w:rPr>
          <w:rFonts w:ascii="Bookman Old Style" w:eastAsia="Bookman Old Style" w:hAnsi="Bookman Old Style" w:cs="Bookman Old Style"/>
          <w:b/>
          <w:bCs/>
        </w:rPr>
        <w:t>LITERATURE AND STUDIES:</w:t>
      </w:r>
    </w:p>
    <w:p w14:paraId="4CFC7A40" w14:textId="77777777" w:rsidR="007A70D4" w:rsidRDefault="00000000">
      <w:pPr>
        <w:spacing w:before="240" w:after="240"/>
        <w:jc w:val="both"/>
        <w:rPr>
          <w:rFonts w:ascii="Bookman Old Style" w:eastAsia="Bookman Old Style" w:hAnsi="Bookman Old Style" w:cs="Bookman Old Style"/>
          <w:b/>
          <w:bCs/>
        </w:rPr>
      </w:pPr>
      <w:r>
        <w:rPr>
          <w:rFonts w:ascii="Bookman Old Style" w:eastAsia="Bookman Old Style" w:hAnsi="Bookman Old Style" w:cs="Bookman Old Style"/>
          <w:b/>
          <w:bCs/>
        </w:rPr>
        <w:lastRenderedPageBreak/>
        <w:t xml:space="preserve">Customer Data Management </w:t>
      </w:r>
    </w:p>
    <w:p w14:paraId="0CEADA3F"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A recurring challenge identified across recent literature is the inability of banking institutions to consolidate customer data into a unified, accessible system. The Digital Banking Report (2021) surveyed global financial institutions and found widespread data immaturity, with most banks still relying on siloed systems incapable of delivering a unified customer view. Notably, only 8% of institutions had multiple systems connected to a single database, severely limiting real-time decision-making and personalized customer experiences (The Financial Brand, 2021).</w:t>
      </w:r>
    </w:p>
    <w:p w14:paraId="28C35311"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This fragmentation is further examined by i2c Inc. (2023), whose article on unified banking platforms identifies legacy system architecture as a primary barrier to achieving 360-degree customer visibility, a gap that directly impairs personalization, risk assessment, and cross-selling revenue potential. Compounding these structural issues, SAP </w:t>
      </w:r>
      <w:proofErr w:type="spellStart"/>
      <w:r>
        <w:rPr>
          <w:rFonts w:ascii="Bookman Old Style" w:eastAsia="Bookman Old Style" w:hAnsi="Bookman Old Style" w:cs="Bookman Old Style"/>
        </w:rPr>
        <w:t>Fioneer</w:t>
      </w:r>
      <w:proofErr w:type="spellEnd"/>
      <w:r>
        <w:rPr>
          <w:rFonts w:ascii="Bookman Old Style" w:eastAsia="Bookman Old Style" w:hAnsi="Bookman Old Style" w:cs="Bookman Old Style"/>
        </w:rPr>
        <w:t xml:space="preserve"> (2025) highlights that poor data quality produces downstream effects including weak system integration, elevated governance risks, and reduced returns from AI-driven tools, while simultaneously increasing exposure to cybersecurity threats.</w:t>
      </w:r>
    </w:p>
    <w:p w14:paraId="68568525"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Collectively, these sources underscore that customer data fragmentation is not merely a technical inconvenience but a systemic risk that affects service delivery, regulatory compliance, and competitive performance in modern banking.</w:t>
      </w:r>
    </w:p>
    <w:p w14:paraId="5A3ED1B4" w14:textId="77777777" w:rsidR="007A70D4" w:rsidRDefault="007A70D4">
      <w:pPr>
        <w:spacing w:before="240" w:after="240"/>
        <w:jc w:val="both"/>
        <w:rPr>
          <w:rFonts w:ascii="Bookman Old Style" w:eastAsia="Bookman Old Style" w:hAnsi="Bookman Old Style" w:cs="Bookman Old Style"/>
        </w:rPr>
      </w:pPr>
    </w:p>
    <w:p w14:paraId="36FFCA7F"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b/>
          <w:bCs/>
        </w:rPr>
        <w:t>Data Integrity and Security</w:t>
      </w:r>
      <w:r>
        <w:rPr>
          <w:rFonts w:ascii="Bookman Old Style" w:eastAsia="Bookman Old Style" w:hAnsi="Bookman Old Style" w:cs="Bookman Old Style"/>
        </w:rPr>
        <w:t xml:space="preserve"> </w:t>
      </w:r>
    </w:p>
    <w:p w14:paraId="0E083764"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Proper data management also involves collecting, storing, and protecting a bank organization’s information asset to ensure accessibility and reliability. In the banking sector, data management is a key to maintaining data </w:t>
      </w:r>
      <w:proofErr w:type="gramStart"/>
      <w:r>
        <w:rPr>
          <w:rFonts w:ascii="Bookman Old Style" w:eastAsia="Bookman Old Style" w:hAnsi="Bookman Old Style" w:cs="Bookman Old Style"/>
        </w:rPr>
        <w:t>integrity</w:t>
      </w:r>
      <w:proofErr w:type="gramEnd"/>
      <w:r>
        <w:rPr>
          <w:rFonts w:ascii="Bookman Old Style" w:eastAsia="Bookman Old Style" w:hAnsi="Bookman Old Style" w:cs="Bookman Old Style"/>
        </w:rPr>
        <w:t xml:space="preserve"> ensuring every transaction is accurate, and data security keeping information confidential and free from unauthorized access. </w:t>
      </w:r>
    </w:p>
    <w:p w14:paraId="6C41B537"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In 2024, the Office of the Comptroller of the Currency (OCC) fined Citigroup $136.5 million over the bank’s lack of progress in addressing deficiencies in risk management and internal data control. These charges emerged from when the Wall Street bank accidentally credited a client's account with $81 trillion instead of $280. This followed the accidental transfer of $900 million in 2020 to Revlon creditors due to human error and outdated technology. These risks can be prevented by using advanced and unified data management technologies that lessen manual data management providing accurate data storing—which ensures correct information in transactions—while avoiding losses through secure error-detecting IT frameworks (Alexander et al, 2025). Costa (2026) supported this stating that a unified data architecture allows information to move coherently across the organization enabling intelligence automation and anomaly detection. It also increases visibility where institutions can monitor data flow ensuring accuracy and security. </w:t>
      </w:r>
    </w:p>
    <w:p w14:paraId="2FD20088"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Furthermore, </w:t>
      </w:r>
      <w:proofErr w:type="spellStart"/>
      <w:r>
        <w:rPr>
          <w:rFonts w:ascii="Bookman Old Style" w:eastAsia="Bookman Old Style" w:hAnsi="Bookman Old Style" w:cs="Bookman Old Style"/>
        </w:rPr>
        <w:t>Zawyani</w:t>
      </w:r>
      <w:proofErr w:type="spellEnd"/>
      <w:r>
        <w:rPr>
          <w:rFonts w:ascii="Bookman Old Style" w:eastAsia="Bookman Old Style" w:hAnsi="Bookman Old Style" w:cs="Bookman Old Style"/>
        </w:rPr>
        <w:t xml:space="preserve"> (2025) added that siloed data summons challenges concerning fraud prevention measures. Seamless data exchange in bank systems is not achievable in disconnected systems resulting in decreased transparency into possible fraudulent activities. Fraud management will continue to face difficulties in optimizing systems and procedures to keep up with the expansion of the global commercial market in the absence of clear data streams across channels. He suggested creating one system where all activities can be monitored. A centralized system aids compliance teams in conducting efficient and fast </w:t>
      </w:r>
      <w:proofErr w:type="gramStart"/>
      <w:r>
        <w:rPr>
          <w:rFonts w:ascii="Bookman Old Style" w:eastAsia="Bookman Old Style" w:hAnsi="Bookman Old Style" w:cs="Bookman Old Style"/>
        </w:rPr>
        <w:t>investigation</w:t>
      </w:r>
      <w:proofErr w:type="gramEnd"/>
      <w:r>
        <w:rPr>
          <w:rFonts w:ascii="Bookman Old Style" w:eastAsia="Bookman Old Style" w:hAnsi="Bookman Old Style" w:cs="Bookman Old Style"/>
        </w:rPr>
        <w:t xml:space="preserve"> in suspicious activities as data can be easily located in one system. </w:t>
      </w:r>
      <w:proofErr w:type="gramStart"/>
      <w:r>
        <w:rPr>
          <w:rFonts w:ascii="Bookman Old Style" w:eastAsia="Bookman Old Style" w:hAnsi="Bookman Old Style" w:cs="Bookman Old Style"/>
        </w:rPr>
        <w:t>These are</w:t>
      </w:r>
      <w:proofErr w:type="gramEnd"/>
      <w:r>
        <w:rPr>
          <w:rFonts w:ascii="Bookman Old Style" w:eastAsia="Bookman Old Style" w:hAnsi="Bookman Old Style" w:cs="Bookman Old Style"/>
        </w:rPr>
        <w:t xml:space="preserve"> </w:t>
      </w:r>
      <w:proofErr w:type="gramStart"/>
      <w:r>
        <w:rPr>
          <w:rFonts w:ascii="Bookman Old Style" w:eastAsia="Bookman Old Style" w:hAnsi="Bookman Old Style" w:cs="Bookman Old Style"/>
        </w:rPr>
        <w:t>the evidence</w:t>
      </w:r>
      <w:proofErr w:type="gramEnd"/>
      <w:r>
        <w:rPr>
          <w:rFonts w:ascii="Bookman Old Style" w:eastAsia="Bookman Old Style" w:hAnsi="Bookman Old Style" w:cs="Bookman Old Style"/>
        </w:rPr>
        <w:t xml:space="preserve"> that the need for a comprehensive and </w:t>
      </w:r>
      <w:r>
        <w:rPr>
          <w:rFonts w:ascii="Bookman Old Style" w:eastAsia="Bookman Old Style" w:hAnsi="Bookman Old Style" w:cs="Bookman Old Style"/>
        </w:rPr>
        <w:lastRenderedPageBreak/>
        <w:t xml:space="preserve">unified information system in banks will provide efficiency, security, and data accuracy across institutions. </w:t>
      </w:r>
    </w:p>
    <w:p w14:paraId="266B3D7F" w14:textId="77777777" w:rsidR="007A70D4" w:rsidRDefault="007A70D4">
      <w:pPr>
        <w:spacing w:before="240" w:after="240"/>
        <w:jc w:val="both"/>
        <w:rPr>
          <w:rFonts w:ascii="Bookman Old Style" w:eastAsia="Bookman Old Style" w:hAnsi="Bookman Old Style" w:cs="Bookman Old Style"/>
        </w:rPr>
      </w:pPr>
    </w:p>
    <w:p w14:paraId="7B22EDAD" w14:textId="77777777" w:rsidR="007A70D4" w:rsidRDefault="00000000">
      <w:pPr>
        <w:spacing w:before="240" w:after="240"/>
        <w:jc w:val="both"/>
        <w:rPr>
          <w:rFonts w:ascii="Bookman Old Style" w:eastAsia="Bookman Old Style" w:hAnsi="Bookman Old Style" w:cs="Bookman Old Style"/>
          <w:b/>
          <w:bCs/>
        </w:rPr>
      </w:pPr>
      <w:r>
        <w:rPr>
          <w:rFonts w:ascii="Bookman Old Style" w:eastAsia="Bookman Old Style" w:hAnsi="Bookman Old Style" w:cs="Bookman Old Style"/>
          <w:b/>
          <w:bCs/>
        </w:rPr>
        <w:t xml:space="preserve">Transaction Management </w:t>
      </w:r>
    </w:p>
    <w:p w14:paraId="0604FD10"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A transaction, in the context of database management, is defined as a single logical unit of work composed of a set of operations that must </w:t>
      </w:r>
      <w:proofErr w:type="gramStart"/>
      <w:r>
        <w:rPr>
          <w:rFonts w:ascii="Bookman Old Style" w:eastAsia="Bookman Old Style" w:hAnsi="Bookman Old Style" w:cs="Bookman Old Style"/>
        </w:rPr>
        <w:t>either all</w:t>
      </w:r>
      <w:proofErr w:type="gramEnd"/>
      <w:r>
        <w:rPr>
          <w:rFonts w:ascii="Bookman Old Style" w:eastAsia="Bookman Old Style" w:hAnsi="Bookman Old Style" w:cs="Bookman Old Style"/>
        </w:rPr>
        <w:t xml:space="preserve"> succeed </w:t>
      </w:r>
      <w:proofErr w:type="gramStart"/>
      <w:r>
        <w:rPr>
          <w:rFonts w:ascii="Bookman Old Style" w:eastAsia="Bookman Old Style" w:hAnsi="Bookman Old Style" w:cs="Bookman Old Style"/>
        </w:rPr>
        <w:t>or all</w:t>
      </w:r>
      <w:proofErr w:type="gramEnd"/>
      <w:r>
        <w:rPr>
          <w:rFonts w:ascii="Bookman Old Style" w:eastAsia="Bookman Old Style" w:hAnsi="Bookman Old Style" w:cs="Bookman Old Style"/>
        </w:rPr>
        <w:t xml:space="preserve"> fail. Silberschatz, Korth, and Sudarshan (2019) describe it as "a collection of operations that performs a single logical function in a database application." In practical terms, a transaction represents any change within a database and is bound by the Database Management System (DBMS) that governs it.</w:t>
      </w:r>
    </w:p>
    <w:p w14:paraId="086D01FE"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For a transaction to be considered valid and reliable, it must satisfy four fundamental properties — commonly referred to as ACID: atomicity, consistency, isolation, and durability (What Does ACID Compliance Mean? | An Introduction, n.d.). IBM (2024) further emphasizes that transaction management is the process by which software oversees, coordinates, and executes any given attempted transaction, ensuring that no transaction is ever partially completed, as partial completion would compromise data consistency.</w:t>
      </w:r>
    </w:p>
    <w:p w14:paraId="58F22312"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The importance of transaction management extends across many industries. According to Fundamentals of Transaction Management in Enterprise Application Architectures (2022), it is a key issue in developing enterprise applications — from airline reservations to point-of-sale systems. Nowhere, however, is this more critical </w:t>
      </w:r>
      <w:proofErr w:type="gramStart"/>
      <w:r>
        <w:rPr>
          <w:rFonts w:ascii="Bookman Old Style" w:eastAsia="Bookman Old Style" w:hAnsi="Bookman Old Style" w:cs="Bookman Old Style"/>
        </w:rPr>
        <w:t>than in</w:t>
      </w:r>
      <w:proofErr w:type="gramEnd"/>
      <w:r>
        <w:rPr>
          <w:rFonts w:ascii="Bookman Old Style" w:eastAsia="Bookman Old Style" w:hAnsi="Bookman Old Style" w:cs="Bookman Old Style"/>
        </w:rPr>
        <w:t xml:space="preserve"> banking. Without proper transaction management, banking operations would cease to function reliably, resulting in severe financial consequences for institutions and their clients alike.</w:t>
      </w:r>
    </w:p>
    <w:p w14:paraId="5C385369"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A classic illustration of this is a bank fund transfer. When money is moved from Account A to Account B, two operations must occur simultaneously: a debit from Account A and </w:t>
      </w:r>
      <w:proofErr w:type="gramStart"/>
      <w:r>
        <w:rPr>
          <w:rFonts w:ascii="Bookman Old Style" w:eastAsia="Bookman Old Style" w:hAnsi="Bookman Old Style" w:cs="Bookman Old Style"/>
        </w:rPr>
        <w:t>a credit</w:t>
      </w:r>
      <w:proofErr w:type="gramEnd"/>
      <w:r>
        <w:rPr>
          <w:rFonts w:ascii="Bookman Old Style" w:eastAsia="Bookman Old Style" w:hAnsi="Bookman Old Style" w:cs="Bookman Old Style"/>
        </w:rPr>
        <w:t xml:space="preserve"> to Account B. The transaction processing system ensures that both operations succeed together, or neither takes effect — preventing any scenario where funds are debited without being credited, an error that would be financially disastrous in a live banking environment (IBM, 2024; </w:t>
      </w:r>
      <w:proofErr w:type="spellStart"/>
      <w:r>
        <w:rPr>
          <w:rFonts w:ascii="Bookman Old Style" w:eastAsia="Bookman Old Style" w:hAnsi="Bookman Old Style" w:cs="Bookman Old Style"/>
        </w:rPr>
        <w:t>GeeksforGeeks</w:t>
      </w:r>
      <w:proofErr w:type="spellEnd"/>
      <w:r>
        <w:rPr>
          <w:rFonts w:ascii="Bookman Old Style" w:eastAsia="Bookman Old Style" w:hAnsi="Bookman Old Style" w:cs="Bookman Old Style"/>
        </w:rPr>
        <w:t>, 2023).</w:t>
      </w:r>
    </w:p>
    <w:p w14:paraId="77E4D63B" w14:textId="77777777" w:rsidR="007A70D4" w:rsidRDefault="007A70D4">
      <w:pPr>
        <w:spacing w:before="240" w:after="240"/>
        <w:jc w:val="both"/>
        <w:rPr>
          <w:rFonts w:ascii="Bookman Old Style" w:eastAsia="Bookman Old Style" w:hAnsi="Bookman Old Style" w:cs="Bookman Old Style"/>
        </w:rPr>
      </w:pPr>
    </w:p>
    <w:p w14:paraId="20FB95A3" w14:textId="77777777" w:rsidR="007A70D4" w:rsidRDefault="00000000">
      <w:pPr>
        <w:spacing w:after="0"/>
        <w:jc w:val="both"/>
        <w:rPr>
          <w:rFonts w:ascii="Bookman Old Style" w:eastAsia="Bookman Old Style" w:hAnsi="Bookman Old Style" w:cs="Bookman Old Style"/>
          <w:b/>
          <w:bCs/>
        </w:rPr>
      </w:pPr>
      <w:r>
        <w:rPr>
          <w:rFonts w:ascii="Bookman Old Style" w:eastAsia="Bookman Old Style" w:hAnsi="Bookman Old Style" w:cs="Bookman Old Style"/>
          <w:b/>
          <w:bCs/>
        </w:rPr>
        <w:t>PROJECT DESCRIPTION:</w:t>
      </w:r>
    </w:p>
    <w:p w14:paraId="6EA85FF6" w14:textId="77777777" w:rsidR="007A70D4" w:rsidRDefault="007A70D4">
      <w:pPr>
        <w:spacing w:after="0"/>
        <w:jc w:val="both"/>
        <w:rPr>
          <w:rFonts w:ascii="Bookman Old Style" w:eastAsia="Bookman Old Style" w:hAnsi="Bookman Old Style" w:cs="Bookman Old Style"/>
          <w:b/>
          <w:bCs/>
        </w:rPr>
      </w:pPr>
    </w:p>
    <w:p w14:paraId="4C7640B9"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This project proposes the design and development of a Banking Database System using SQLite, aimed at consolidating customer information, account records, and transaction histories into a single, structured database. The study assumes a banking environment as its context, where fragmented and manual record-keeping practices serve as the basis for the problem being addressed. The project will be completed within three months, carried out in three phases. (Subject to Change)</w:t>
      </w:r>
    </w:p>
    <w:p w14:paraId="6F9DE9D2" w14:textId="77777777" w:rsidR="007A70D4" w:rsidRDefault="007A70D4">
      <w:pPr>
        <w:spacing w:before="240" w:after="240"/>
        <w:jc w:val="both"/>
        <w:rPr>
          <w:rFonts w:ascii="Bookman Old Style" w:eastAsia="Bookman Old Style" w:hAnsi="Bookman Old Style" w:cs="Bookman Old Style"/>
        </w:rPr>
      </w:pPr>
    </w:p>
    <w:p w14:paraId="18201DB8"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Phase 1: Planning and Database Design</w:t>
      </w:r>
    </w:p>
    <w:p w14:paraId="2320DC36"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The researchers will review literature on banking data management and identify the core entities needed for customers, accounts, and transactions. An Entity-Relationship </w:t>
      </w:r>
      <w:r>
        <w:rPr>
          <w:rFonts w:ascii="Bookman Old Style" w:eastAsia="Bookman Old Style" w:hAnsi="Bookman Old Style" w:cs="Bookman Old Style"/>
        </w:rPr>
        <w:lastRenderedPageBreak/>
        <w:t>Diagram (ERD) will be defined to map out the structure and relationships, and a normalized schema will be designed to minimize redundancy and enforce data integrity.</w:t>
      </w:r>
    </w:p>
    <w:p w14:paraId="3EACB838" w14:textId="77777777" w:rsidR="007A70D4" w:rsidRDefault="007A70D4">
      <w:pPr>
        <w:spacing w:before="240" w:after="240"/>
        <w:jc w:val="both"/>
        <w:rPr>
          <w:rFonts w:ascii="Bookman Old Style" w:eastAsia="Bookman Old Style" w:hAnsi="Bookman Old Style" w:cs="Bookman Old Style"/>
        </w:rPr>
      </w:pPr>
    </w:p>
    <w:p w14:paraId="03240374"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Phase 2: Implementation and Validation</w:t>
      </w:r>
    </w:p>
    <w:p w14:paraId="17A53B15"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The finalized schema will be built in SQLite, with tables, constraints, and relationships implemented accordingly. Sample data simulating realistic banking records will be populated into the database to validate the design and support testing of common operations.</w:t>
      </w:r>
    </w:p>
    <w:p w14:paraId="38D8421D" w14:textId="77777777" w:rsidR="007A70D4" w:rsidRDefault="007A70D4">
      <w:pPr>
        <w:spacing w:before="240" w:after="240"/>
        <w:jc w:val="both"/>
        <w:rPr>
          <w:rFonts w:ascii="Bookman Old Style" w:eastAsia="Bookman Old Style" w:hAnsi="Bookman Old Style" w:cs="Bookman Old Style"/>
        </w:rPr>
      </w:pPr>
    </w:p>
    <w:p w14:paraId="5B6D26D4"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Phase 3: Testing, Evaluation &amp; Documentation</w:t>
      </w:r>
    </w:p>
    <w:p w14:paraId="05777A1F" w14:textId="77777777" w:rsidR="007A70D4" w:rsidRDefault="00000000">
      <w:pPr>
        <w:spacing w:before="240" w:after="240"/>
        <w:jc w:val="both"/>
        <w:rPr>
          <w:rFonts w:ascii="Bookman Old Style" w:eastAsia="Bookman Old Style" w:hAnsi="Bookman Old Style" w:cs="Bookman Old Style"/>
        </w:rPr>
      </w:pPr>
      <w:r>
        <w:rPr>
          <w:rFonts w:ascii="Bookman Old Style" w:eastAsia="Bookman Old Style" w:hAnsi="Bookman Old Style" w:cs="Bookman Old Style"/>
        </w:rPr>
        <w:t xml:space="preserve">The system will be tested to verify that it correctly addresses the identified data problems </w:t>
      </w:r>
      <w:r>
        <w:rPr>
          <w:rFonts w:ascii="Arial" w:eastAsia="Arial" w:hAnsi="Arial" w:cs="Arial"/>
          <w:sz w:val="21"/>
          <w:szCs w:val="21"/>
        </w:rPr>
        <w:t>— r</w:t>
      </w:r>
      <w:r>
        <w:rPr>
          <w:rFonts w:ascii="Bookman Old Style" w:eastAsia="Bookman Old Style" w:hAnsi="Bookman Old Style" w:cs="Bookman Old Style"/>
        </w:rPr>
        <w:t>educed redundancy, consistent records, and traceable transactions. Results will be evaluated and documented.</w:t>
      </w:r>
    </w:p>
    <w:p w14:paraId="5394A857" w14:textId="77777777" w:rsidR="007A70D4" w:rsidRDefault="007A70D4">
      <w:pPr>
        <w:pBdr>
          <w:top w:val="nil"/>
          <w:left w:val="nil"/>
          <w:bottom w:val="nil"/>
          <w:right w:val="nil"/>
          <w:between w:val="nil"/>
        </w:pBdr>
        <w:spacing w:after="60"/>
        <w:jc w:val="both"/>
        <w:rPr>
          <w:rFonts w:ascii="Arial" w:eastAsia="Arial" w:hAnsi="Arial" w:cs="Arial"/>
          <w:sz w:val="21"/>
          <w:szCs w:val="21"/>
        </w:rPr>
      </w:pPr>
    </w:p>
    <w:p w14:paraId="090AEA79" w14:textId="77777777" w:rsidR="007A70D4" w:rsidRDefault="007A70D4">
      <w:pPr>
        <w:spacing w:before="240" w:after="240"/>
        <w:jc w:val="both"/>
        <w:rPr>
          <w:rFonts w:ascii="Arial" w:eastAsia="Arial" w:hAnsi="Arial" w:cs="Arial"/>
          <w:color w:val="C2C0B6"/>
          <w:sz w:val="21"/>
          <w:szCs w:val="21"/>
        </w:rPr>
      </w:pPr>
    </w:p>
    <w:p w14:paraId="02D1E7C5" w14:textId="77777777" w:rsidR="007A70D4" w:rsidRDefault="007A70D4">
      <w:pPr>
        <w:spacing w:before="240" w:after="240"/>
        <w:jc w:val="both"/>
        <w:rPr>
          <w:rFonts w:ascii="Arial" w:eastAsia="Arial" w:hAnsi="Arial" w:cs="Arial"/>
          <w:sz w:val="23"/>
          <w:szCs w:val="23"/>
        </w:rPr>
      </w:pPr>
    </w:p>
    <w:p w14:paraId="49B532CE" w14:textId="77777777" w:rsidR="007A70D4" w:rsidRDefault="007A70D4">
      <w:pPr>
        <w:spacing w:before="240" w:after="240"/>
        <w:jc w:val="both"/>
        <w:rPr>
          <w:rFonts w:ascii="Arial" w:eastAsia="Arial" w:hAnsi="Arial" w:cs="Arial"/>
          <w:sz w:val="23"/>
          <w:szCs w:val="23"/>
        </w:rPr>
      </w:pPr>
    </w:p>
    <w:p w14:paraId="476AD231" w14:textId="77777777" w:rsidR="007A70D4" w:rsidRDefault="007A70D4">
      <w:pPr>
        <w:spacing w:after="0"/>
        <w:jc w:val="both"/>
        <w:rPr>
          <w:rFonts w:ascii="Bookman Old Style" w:eastAsia="Bookman Old Style" w:hAnsi="Bookman Old Style" w:cs="Bookman Old Style"/>
          <w:b/>
          <w:bCs/>
        </w:rPr>
      </w:pPr>
    </w:p>
    <w:p w14:paraId="680E8BF9" w14:textId="77777777" w:rsidR="007A70D4" w:rsidRDefault="007A70D4">
      <w:pPr>
        <w:spacing w:after="0"/>
        <w:jc w:val="both"/>
        <w:rPr>
          <w:rFonts w:ascii="Bookman Old Style" w:eastAsia="Bookman Old Style" w:hAnsi="Bookman Old Style" w:cs="Bookman Old Style"/>
          <w:b/>
          <w:bCs/>
        </w:rPr>
      </w:pPr>
    </w:p>
    <w:p w14:paraId="111CB80F" w14:textId="77777777" w:rsidR="007A70D4" w:rsidRDefault="007A70D4">
      <w:pPr>
        <w:spacing w:after="0"/>
        <w:jc w:val="both"/>
        <w:rPr>
          <w:rFonts w:ascii="Bookman Old Style" w:eastAsia="Bookman Old Style" w:hAnsi="Bookman Old Style" w:cs="Bookman Old Style"/>
          <w:b/>
          <w:bCs/>
        </w:rPr>
      </w:pPr>
    </w:p>
    <w:p w14:paraId="15CDE0CF" w14:textId="77777777" w:rsidR="007A70D4" w:rsidRDefault="007A70D4">
      <w:pPr>
        <w:spacing w:after="0"/>
        <w:jc w:val="both"/>
        <w:rPr>
          <w:rFonts w:ascii="Bookman Old Style" w:eastAsia="Bookman Old Style" w:hAnsi="Bookman Old Style" w:cs="Bookman Old Style"/>
          <w:b/>
          <w:bCs/>
        </w:rPr>
      </w:pPr>
    </w:p>
    <w:p w14:paraId="16361202" w14:textId="77777777" w:rsidR="007A70D4" w:rsidRDefault="007A70D4">
      <w:pPr>
        <w:spacing w:after="0"/>
        <w:jc w:val="both"/>
        <w:rPr>
          <w:rFonts w:ascii="Bookman Old Style" w:eastAsia="Bookman Old Style" w:hAnsi="Bookman Old Style" w:cs="Bookman Old Style"/>
          <w:i/>
          <w:iCs/>
        </w:rPr>
      </w:pPr>
    </w:p>
    <w:p w14:paraId="335DA208" w14:textId="77777777" w:rsidR="007A70D4" w:rsidRDefault="007A70D4">
      <w:pPr>
        <w:spacing w:after="0"/>
        <w:jc w:val="both"/>
        <w:rPr>
          <w:rFonts w:ascii="Bookman Old Style" w:eastAsia="Bookman Old Style" w:hAnsi="Bookman Old Style" w:cs="Bookman Old Style"/>
        </w:rPr>
      </w:pPr>
    </w:p>
    <w:p w14:paraId="2A1DD570" w14:textId="77777777" w:rsidR="007A70D4" w:rsidRDefault="007A70D4">
      <w:pPr>
        <w:spacing w:after="0"/>
        <w:jc w:val="both"/>
        <w:rPr>
          <w:rFonts w:ascii="Bookman Old Style" w:eastAsia="Bookman Old Style" w:hAnsi="Bookman Old Style" w:cs="Bookman Old Style"/>
        </w:rPr>
      </w:pPr>
    </w:p>
    <w:p w14:paraId="5591FCEF" w14:textId="77777777" w:rsidR="007A70D4" w:rsidRDefault="007A70D4">
      <w:pPr>
        <w:spacing w:after="0"/>
        <w:jc w:val="both"/>
        <w:rPr>
          <w:rFonts w:ascii="Bookman Old Style" w:eastAsia="Bookman Old Style" w:hAnsi="Bookman Old Style" w:cs="Bookman Old Style"/>
        </w:rPr>
      </w:pPr>
    </w:p>
    <w:p w14:paraId="5CA12F18" w14:textId="77777777" w:rsidR="007A70D4" w:rsidRDefault="007A70D4">
      <w:pPr>
        <w:spacing w:after="0"/>
        <w:jc w:val="both"/>
        <w:rPr>
          <w:rFonts w:ascii="Bookman Old Style" w:eastAsia="Bookman Old Style" w:hAnsi="Bookman Old Style" w:cs="Bookman Old Style"/>
        </w:rPr>
      </w:pPr>
    </w:p>
    <w:p w14:paraId="2E98967E" w14:textId="77777777" w:rsidR="007A70D4" w:rsidRDefault="007A70D4">
      <w:pPr>
        <w:spacing w:after="0"/>
        <w:jc w:val="both"/>
        <w:rPr>
          <w:rFonts w:ascii="Bookman Old Style" w:eastAsia="Bookman Old Style" w:hAnsi="Bookman Old Style" w:cs="Bookman Old Style"/>
        </w:rPr>
      </w:pPr>
    </w:p>
    <w:p w14:paraId="2ED23365" w14:textId="77777777" w:rsidR="007A70D4" w:rsidRDefault="007A70D4">
      <w:pPr>
        <w:spacing w:after="0"/>
        <w:jc w:val="both"/>
        <w:rPr>
          <w:rFonts w:ascii="Bookman Old Style" w:eastAsia="Bookman Old Style" w:hAnsi="Bookman Old Style" w:cs="Bookman Old Style"/>
        </w:rPr>
      </w:pPr>
    </w:p>
    <w:p w14:paraId="510A7871" w14:textId="77777777" w:rsidR="007A70D4" w:rsidRDefault="007A70D4">
      <w:pPr>
        <w:spacing w:after="0"/>
        <w:jc w:val="both"/>
        <w:rPr>
          <w:rFonts w:ascii="Bookman Old Style" w:eastAsia="Bookman Old Style" w:hAnsi="Bookman Old Style" w:cs="Bookman Old Style"/>
        </w:rPr>
      </w:pPr>
    </w:p>
    <w:p w14:paraId="19BB5D39" w14:textId="77777777" w:rsidR="007A70D4" w:rsidRDefault="007A70D4">
      <w:pPr>
        <w:spacing w:after="0"/>
        <w:jc w:val="both"/>
        <w:rPr>
          <w:rFonts w:ascii="Bookman Old Style" w:eastAsia="Bookman Old Style" w:hAnsi="Bookman Old Style" w:cs="Bookman Old Style"/>
        </w:rPr>
      </w:pPr>
    </w:p>
    <w:p w14:paraId="43F402D6" w14:textId="77777777" w:rsidR="007A70D4" w:rsidRDefault="007A70D4">
      <w:pPr>
        <w:spacing w:after="0"/>
        <w:jc w:val="both"/>
        <w:rPr>
          <w:rFonts w:ascii="Bookman Old Style" w:eastAsia="Bookman Old Style" w:hAnsi="Bookman Old Style" w:cs="Bookman Old Style"/>
        </w:rPr>
      </w:pPr>
    </w:p>
    <w:p w14:paraId="031DAF40" w14:textId="77777777" w:rsidR="007A70D4" w:rsidRDefault="007A70D4">
      <w:pPr>
        <w:spacing w:after="0"/>
        <w:jc w:val="both"/>
        <w:rPr>
          <w:rFonts w:ascii="Bookman Old Style" w:eastAsia="Bookman Old Style" w:hAnsi="Bookman Old Style" w:cs="Bookman Old Style"/>
        </w:rPr>
      </w:pPr>
    </w:p>
    <w:p w14:paraId="24D8E61F" w14:textId="77777777" w:rsidR="007A70D4" w:rsidRDefault="007A70D4">
      <w:pPr>
        <w:spacing w:after="0"/>
        <w:jc w:val="both"/>
        <w:rPr>
          <w:rFonts w:ascii="Bookman Old Style" w:eastAsia="Bookman Old Style" w:hAnsi="Bookman Old Style" w:cs="Bookman Old Style"/>
        </w:rPr>
      </w:pPr>
    </w:p>
    <w:p w14:paraId="5BBD8A72" w14:textId="77777777" w:rsidR="00E14EBC" w:rsidRDefault="00E14EBC">
      <w:pPr>
        <w:spacing w:after="0"/>
        <w:jc w:val="both"/>
        <w:rPr>
          <w:rFonts w:ascii="Bookman Old Style" w:eastAsia="Bookman Old Style" w:hAnsi="Bookman Old Style" w:cs="Bookman Old Style"/>
        </w:rPr>
      </w:pPr>
    </w:p>
    <w:p w14:paraId="56F7F02F" w14:textId="77777777" w:rsidR="00E14EBC" w:rsidRDefault="00E14EBC">
      <w:pPr>
        <w:spacing w:after="0"/>
        <w:jc w:val="both"/>
        <w:rPr>
          <w:rFonts w:ascii="Bookman Old Style" w:eastAsia="Bookman Old Style" w:hAnsi="Bookman Old Style" w:cs="Bookman Old Style"/>
        </w:rPr>
      </w:pPr>
    </w:p>
    <w:p w14:paraId="4C2B2F03" w14:textId="77777777" w:rsidR="00E14EBC" w:rsidRDefault="00E14EBC">
      <w:pPr>
        <w:spacing w:after="0"/>
        <w:jc w:val="both"/>
        <w:rPr>
          <w:rFonts w:ascii="Bookman Old Style" w:eastAsia="Bookman Old Style" w:hAnsi="Bookman Old Style" w:cs="Bookman Old Style"/>
        </w:rPr>
      </w:pPr>
    </w:p>
    <w:p w14:paraId="2ACDD4BE" w14:textId="77777777" w:rsidR="00E14EBC" w:rsidRDefault="00E14EBC">
      <w:pPr>
        <w:spacing w:after="0"/>
        <w:jc w:val="both"/>
        <w:rPr>
          <w:rFonts w:ascii="Bookman Old Style" w:eastAsia="Bookman Old Style" w:hAnsi="Bookman Old Style" w:cs="Bookman Old Style"/>
        </w:rPr>
      </w:pPr>
    </w:p>
    <w:p w14:paraId="565446C9" w14:textId="77777777" w:rsidR="00E14EBC" w:rsidRDefault="00E14EBC">
      <w:pPr>
        <w:spacing w:after="0"/>
        <w:jc w:val="both"/>
        <w:rPr>
          <w:rFonts w:ascii="Bookman Old Style" w:eastAsia="Bookman Old Style" w:hAnsi="Bookman Old Style" w:cs="Bookman Old Style"/>
        </w:rPr>
      </w:pPr>
    </w:p>
    <w:p w14:paraId="17F96EFD" w14:textId="77777777" w:rsidR="00E14EBC" w:rsidRDefault="00E14EBC">
      <w:pPr>
        <w:spacing w:after="0"/>
        <w:jc w:val="both"/>
        <w:rPr>
          <w:rFonts w:ascii="Bookman Old Style" w:eastAsia="Bookman Old Style" w:hAnsi="Bookman Old Style" w:cs="Bookman Old Style"/>
        </w:rPr>
      </w:pPr>
    </w:p>
    <w:p w14:paraId="0C557D92" w14:textId="77777777" w:rsidR="00E14EBC" w:rsidRDefault="00E14EBC">
      <w:pPr>
        <w:spacing w:after="0"/>
        <w:jc w:val="both"/>
        <w:rPr>
          <w:rFonts w:ascii="Bookman Old Style" w:eastAsia="Bookman Old Style" w:hAnsi="Bookman Old Style" w:cs="Bookman Old Style"/>
        </w:rPr>
      </w:pPr>
    </w:p>
    <w:p w14:paraId="26F6CF4D" w14:textId="77777777" w:rsidR="00E14EBC" w:rsidRDefault="00E14EBC">
      <w:pPr>
        <w:spacing w:after="0"/>
        <w:jc w:val="both"/>
        <w:rPr>
          <w:rFonts w:ascii="Bookman Old Style" w:eastAsia="Bookman Old Style" w:hAnsi="Bookman Old Style" w:cs="Bookman Old Style"/>
        </w:rPr>
      </w:pPr>
    </w:p>
    <w:p w14:paraId="4E8C9B4E" w14:textId="77777777" w:rsidR="00E14EBC" w:rsidRDefault="00E14EBC">
      <w:pPr>
        <w:spacing w:after="0"/>
        <w:jc w:val="both"/>
        <w:rPr>
          <w:rFonts w:ascii="Bookman Old Style" w:eastAsia="Bookman Old Style" w:hAnsi="Bookman Old Style" w:cs="Bookman Old Style"/>
        </w:rPr>
      </w:pPr>
    </w:p>
    <w:p w14:paraId="3000EBC3" w14:textId="77777777" w:rsidR="007A70D4" w:rsidRDefault="007A70D4">
      <w:pPr>
        <w:spacing w:after="0"/>
        <w:jc w:val="both"/>
        <w:rPr>
          <w:rFonts w:ascii="Bookman Old Style" w:eastAsia="Bookman Old Style" w:hAnsi="Bookman Old Style" w:cs="Bookman Old Style"/>
        </w:rPr>
      </w:pPr>
    </w:p>
    <w:p w14:paraId="2E6160AC" w14:textId="77777777" w:rsidR="007A70D4" w:rsidRDefault="007A70D4">
      <w:pPr>
        <w:spacing w:after="0"/>
        <w:jc w:val="both"/>
        <w:rPr>
          <w:rFonts w:ascii="Bookman Old Style" w:eastAsia="Bookman Old Style" w:hAnsi="Bookman Old Style" w:cs="Bookman Old Style"/>
        </w:rPr>
      </w:pPr>
    </w:p>
    <w:p w14:paraId="68C66F3D" w14:textId="77777777" w:rsidR="007A70D4" w:rsidRDefault="00000000">
      <w:pPr>
        <w:spacing w:after="0"/>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REFERENCES</w:t>
      </w:r>
    </w:p>
    <w:p w14:paraId="1FA65F50" w14:textId="77777777" w:rsidR="007A70D4" w:rsidRDefault="007A70D4">
      <w:pPr>
        <w:spacing w:after="0"/>
        <w:jc w:val="both"/>
        <w:rPr>
          <w:rFonts w:ascii="Bookman Old Style" w:eastAsia="Bookman Old Style" w:hAnsi="Bookman Old Style" w:cs="Bookman Old Style"/>
        </w:rPr>
      </w:pPr>
    </w:p>
    <w:p w14:paraId="4CA345F8" w14:textId="77777777" w:rsidR="007A70D4" w:rsidRDefault="007A70D4">
      <w:pPr>
        <w:spacing w:after="0"/>
        <w:jc w:val="both"/>
        <w:rPr>
          <w:rFonts w:ascii="Bookman Old Style" w:eastAsia="Bookman Old Style" w:hAnsi="Bookman Old Style" w:cs="Bookman Old Style"/>
        </w:rPr>
      </w:pPr>
    </w:p>
    <w:p w14:paraId="2EC026FE"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Actian. (2025).</w:t>
      </w:r>
      <w:r>
        <w:rPr>
          <w:rFonts w:ascii="Bookman Old Style" w:eastAsia="Bookman Old Style" w:hAnsi="Bookman Old Style" w:cs="Bookman Old Style"/>
          <w:i/>
          <w:iCs/>
        </w:rPr>
        <w:t xml:space="preserve"> What is a transactional database? </w:t>
      </w:r>
      <w:hyperlink r:id="rId8">
        <w:r>
          <w:rPr>
            <w:rFonts w:ascii="Bookman Old Style" w:eastAsia="Bookman Old Style" w:hAnsi="Bookman Old Style" w:cs="Bookman Old Style"/>
            <w:i/>
            <w:iCs/>
            <w:color w:val="1155CC"/>
            <w:u w:val="single"/>
          </w:rPr>
          <w:t>https://www.actian.com/transactional-database/</w:t>
        </w:r>
      </w:hyperlink>
    </w:p>
    <w:p w14:paraId="1CA4A755" w14:textId="77777777" w:rsidR="007A70D4" w:rsidRDefault="007A70D4">
      <w:pPr>
        <w:spacing w:after="0"/>
        <w:jc w:val="both"/>
        <w:rPr>
          <w:rFonts w:ascii="Bookman Old Style" w:eastAsia="Bookman Old Style" w:hAnsi="Bookman Old Style" w:cs="Bookman Old Style"/>
          <w:i/>
          <w:iCs/>
        </w:rPr>
      </w:pPr>
    </w:p>
    <w:p w14:paraId="73B41F2C"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Alexander, R., Abrego, M., &amp; Mohamed, T. (2025, February 28).</w:t>
      </w:r>
      <w:r>
        <w:rPr>
          <w:rFonts w:ascii="Bookman Old Style" w:eastAsia="Bookman Old Style" w:hAnsi="Bookman Old Style" w:cs="Bookman Old Style"/>
          <w:i/>
          <w:iCs/>
        </w:rPr>
        <w:t xml:space="preserve"> Citi’s latest blunder: an $81 trillion “inputting error.” Business Insider. </w:t>
      </w:r>
      <w:hyperlink r:id="rId9">
        <w:r>
          <w:rPr>
            <w:rFonts w:ascii="Bookman Old Style" w:eastAsia="Bookman Old Style" w:hAnsi="Bookman Old Style" w:cs="Bookman Old Style"/>
            <w:i/>
            <w:iCs/>
            <w:color w:val="1155CC"/>
            <w:u w:val="single"/>
          </w:rPr>
          <w:t>https://www.businessinsider.com/citis-fat-finger-blunder-81-trillion-jane-fraser-2025-2</w:t>
        </w:r>
      </w:hyperlink>
      <w:r>
        <w:rPr>
          <w:rFonts w:ascii="Bookman Old Style" w:eastAsia="Bookman Old Style" w:hAnsi="Bookman Old Style" w:cs="Bookman Old Style"/>
          <w:i/>
          <w:iCs/>
        </w:rPr>
        <w:t xml:space="preserve"> </w:t>
      </w:r>
    </w:p>
    <w:p w14:paraId="601CDD22" w14:textId="77777777" w:rsidR="007A70D4" w:rsidRDefault="007A70D4">
      <w:pPr>
        <w:spacing w:after="0"/>
        <w:jc w:val="both"/>
        <w:rPr>
          <w:rFonts w:ascii="Bookman Old Style" w:eastAsia="Bookman Old Style" w:hAnsi="Bookman Old Style" w:cs="Bookman Old Style"/>
          <w:i/>
          <w:iCs/>
        </w:rPr>
      </w:pPr>
    </w:p>
    <w:p w14:paraId="4E5C4ED2"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 xml:space="preserve">Atrium. (n.d.). </w:t>
      </w:r>
      <w:r>
        <w:rPr>
          <w:rFonts w:ascii="Bookman Old Style" w:eastAsia="Bookman Old Style" w:hAnsi="Bookman Old Style" w:cs="Bookman Old Style"/>
          <w:i/>
          <w:iCs/>
        </w:rPr>
        <w:t xml:space="preserve">Data in banking: Challenges and opportunities today. </w:t>
      </w:r>
      <w:hyperlink r:id="rId10">
        <w:r>
          <w:rPr>
            <w:rFonts w:ascii="Bookman Old Style" w:eastAsia="Bookman Old Style" w:hAnsi="Bookman Old Style" w:cs="Bookman Old Style"/>
            <w:i/>
            <w:iCs/>
            <w:color w:val="1155CC"/>
            <w:u w:val="single"/>
          </w:rPr>
          <w:t>https://atrium.ai/resources/data-in-banking-opportunities-and-challenges-today/</w:t>
        </w:r>
      </w:hyperlink>
    </w:p>
    <w:p w14:paraId="4648B697" w14:textId="77777777" w:rsidR="007A70D4" w:rsidRDefault="007A70D4">
      <w:pPr>
        <w:spacing w:after="0"/>
        <w:jc w:val="both"/>
        <w:rPr>
          <w:rFonts w:ascii="Bookman Old Style" w:eastAsia="Bookman Old Style" w:hAnsi="Bookman Old Style" w:cs="Bookman Old Style"/>
          <w:i/>
          <w:iCs/>
        </w:rPr>
      </w:pPr>
    </w:p>
    <w:p w14:paraId="6E9192B3"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 xml:space="preserve">Costa, L. D. (2026, February 6). </w:t>
      </w:r>
      <w:r>
        <w:rPr>
          <w:rFonts w:ascii="Bookman Old Style" w:eastAsia="Bookman Old Style" w:hAnsi="Bookman Old Style" w:cs="Bookman Old Style"/>
          <w:i/>
          <w:iCs/>
        </w:rPr>
        <w:t xml:space="preserve">The Hidden Cost of Fragmented Data in Financial Services- Concentrix. Concentrix. </w:t>
      </w:r>
      <w:hyperlink r:id="rId11">
        <w:r>
          <w:rPr>
            <w:rFonts w:ascii="Bookman Old Style" w:eastAsia="Bookman Old Style" w:hAnsi="Bookman Old Style" w:cs="Bookman Old Style"/>
            <w:i/>
            <w:iCs/>
            <w:color w:val="1155CC"/>
            <w:u w:val="single"/>
          </w:rPr>
          <w:t>https://www.concentrix.com/insights/blog/fragmented-data-in-financial-services/</w:t>
        </w:r>
      </w:hyperlink>
      <w:r>
        <w:rPr>
          <w:rFonts w:ascii="Bookman Old Style" w:eastAsia="Bookman Old Style" w:hAnsi="Bookman Old Style" w:cs="Bookman Old Style"/>
          <w:i/>
          <w:iCs/>
        </w:rPr>
        <w:t xml:space="preserve"> </w:t>
      </w:r>
    </w:p>
    <w:p w14:paraId="61B5C0AE" w14:textId="77777777" w:rsidR="007A70D4" w:rsidRDefault="007A70D4">
      <w:pPr>
        <w:spacing w:after="0"/>
        <w:jc w:val="both"/>
        <w:rPr>
          <w:rFonts w:ascii="Bookman Old Style" w:eastAsia="Bookman Old Style" w:hAnsi="Bookman Old Style" w:cs="Bookman Old Style"/>
          <w:i/>
          <w:iCs/>
        </w:rPr>
      </w:pPr>
    </w:p>
    <w:p w14:paraId="14ADC388" w14:textId="77777777" w:rsidR="007A70D4" w:rsidRDefault="00000000">
      <w:pPr>
        <w:spacing w:after="0"/>
        <w:jc w:val="both"/>
        <w:rPr>
          <w:rFonts w:ascii="Bookman Old Style" w:eastAsia="Bookman Old Style" w:hAnsi="Bookman Old Style" w:cs="Bookman Old Style"/>
          <w:i/>
          <w:iCs/>
        </w:rPr>
      </w:pPr>
      <w:proofErr w:type="spellStart"/>
      <w:r>
        <w:rPr>
          <w:rFonts w:ascii="Bookman Old Style" w:eastAsia="Bookman Old Style" w:hAnsi="Bookman Old Style" w:cs="Bookman Old Style"/>
        </w:rPr>
        <w:t>DBmaestro</w:t>
      </w:r>
      <w:proofErr w:type="spellEnd"/>
      <w:r>
        <w:rPr>
          <w:rFonts w:ascii="Bookman Old Style" w:eastAsia="Bookman Old Style" w:hAnsi="Bookman Old Style" w:cs="Bookman Old Style"/>
        </w:rPr>
        <w:t>. (2025).</w:t>
      </w:r>
      <w:r>
        <w:rPr>
          <w:rFonts w:ascii="Bookman Old Style" w:eastAsia="Bookman Old Style" w:hAnsi="Bookman Old Style" w:cs="Bookman Old Style"/>
          <w:i/>
          <w:iCs/>
        </w:rPr>
        <w:t xml:space="preserve"> The state of database compliance in the financial sector. </w:t>
      </w:r>
      <w:hyperlink r:id="rId12">
        <w:r>
          <w:rPr>
            <w:rFonts w:ascii="Bookman Old Style" w:eastAsia="Bookman Old Style" w:hAnsi="Bookman Old Style" w:cs="Bookman Old Style"/>
            <w:i/>
            <w:iCs/>
            <w:color w:val="1155CC"/>
            <w:u w:val="single"/>
          </w:rPr>
          <w:t>https://www.dbmaestro.com/blog/database-compliance-automation/database-compliance-financial-sector/</w:t>
        </w:r>
      </w:hyperlink>
    </w:p>
    <w:p w14:paraId="6932F698" w14:textId="77777777" w:rsidR="007A70D4" w:rsidRDefault="007A70D4">
      <w:pPr>
        <w:spacing w:after="0"/>
        <w:jc w:val="both"/>
        <w:rPr>
          <w:rFonts w:ascii="Bookman Old Style" w:eastAsia="Bookman Old Style" w:hAnsi="Bookman Old Style" w:cs="Bookman Old Style"/>
          <w:i/>
          <w:iCs/>
        </w:rPr>
      </w:pPr>
    </w:p>
    <w:p w14:paraId="632B1C47"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Divya Vani, R., Ashya, M., Maneesh, T., Prabhas Reddy, T., &amp; Vennela, G. (2025)</w:t>
      </w:r>
      <w:r>
        <w:rPr>
          <w:rFonts w:ascii="Bookman Old Style" w:eastAsia="Bookman Old Style" w:hAnsi="Bookman Old Style" w:cs="Bookman Old Style"/>
          <w:i/>
          <w:iCs/>
        </w:rPr>
        <w:t>. Bank account system using Java. International Journal of Engineering Science and Advanced Technology, 25(5)</w:t>
      </w:r>
    </w:p>
    <w:p w14:paraId="07E8C1B0" w14:textId="77777777" w:rsidR="007A70D4" w:rsidRDefault="007A70D4">
      <w:pPr>
        <w:spacing w:after="0"/>
        <w:jc w:val="both"/>
        <w:rPr>
          <w:rFonts w:ascii="Bookman Old Style" w:eastAsia="Bookman Old Style" w:hAnsi="Bookman Old Style" w:cs="Bookman Old Style"/>
          <w:i/>
          <w:iCs/>
        </w:rPr>
      </w:pPr>
    </w:p>
    <w:p w14:paraId="075B3403" w14:textId="77777777" w:rsidR="007A70D4" w:rsidRDefault="00000000">
      <w:pPr>
        <w:spacing w:after="0"/>
        <w:jc w:val="both"/>
        <w:rPr>
          <w:rFonts w:ascii="Bookman Old Style" w:eastAsia="Bookman Old Style" w:hAnsi="Bookman Old Style" w:cs="Bookman Old Style"/>
          <w:i/>
          <w:iCs/>
        </w:rPr>
      </w:pPr>
      <w:proofErr w:type="spellStart"/>
      <w:r>
        <w:rPr>
          <w:rFonts w:ascii="Bookman Old Style" w:eastAsia="Bookman Old Style" w:hAnsi="Bookman Old Style" w:cs="Bookman Old Style"/>
        </w:rPr>
        <w:t>emrahdiler</w:t>
      </w:r>
      <w:proofErr w:type="spellEnd"/>
      <w:r>
        <w:rPr>
          <w:rFonts w:ascii="Bookman Old Style" w:eastAsia="Bookman Old Style" w:hAnsi="Bookman Old Style" w:cs="Bookman Old Style"/>
        </w:rPr>
        <w:t>. (2022, June 12).</w:t>
      </w:r>
      <w:r>
        <w:rPr>
          <w:rFonts w:ascii="Bookman Old Style" w:eastAsia="Bookman Old Style" w:hAnsi="Bookman Old Style" w:cs="Bookman Old Style"/>
          <w:i/>
          <w:iCs/>
        </w:rPr>
        <w:t xml:space="preserve"> Fragmentation of Fraud Management in the BFSI Market | Fraud.com. Fraud.com. </w:t>
      </w:r>
      <w:hyperlink r:id="rId13">
        <w:r>
          <w:rPr>
            <w:rFonts w:ascii="Bookman Old Style" w:eastAsia="Bookman Old Style" w:hAnsi="Bookman Old Style" w:cs="Bookman Old Style"/>
            <w:i/>
            <w:iCs/>
            <w:color w:val="1155CC"/>
            <w:u w:val="single"/>
          </w:rPr>
          <w:t>https://www.fraud.com/post/fragmentation-of-fraud-management-in-the-bfsi-market</w:t>
        </w:r>
      </w:hyperlink>
      <w:r>
        <w:rPr>
          <w:rFonts w:ascii="Bookman Old Style" w:eastAsia="Bookman Old Style" w:hAnsi="Bookman Old Style" w:cs="Bookman Old Style"/>
          <w:i/>
          <w:iCs/>
        </w:rPr>
        <w:t xml:space="preserve"> </w:t>
      </w:r>
    </w:p>
    <w:p w14:paraId="50E71DF9" w14:textId="77777777" w:rsidR="007A70D4" w:rsidRDefault="007A70D4">
      <w:pPr>
        <w:spacing w:after="0"/>
        <w:jc w:val="both"/>
        <w:rPr>
          <w:rFonts w:ascii="Bookman Old Style" w:eastAsia="Bookman Old Style" w:hAnsi="Bookman Old Style" w:cs="Bookman Old Style"/>
          <w:i/>
          <w:iCs/>
        </w:rPr>
      </w:pPr>
    </w:p>
    <w:p w14:paraId="4D75ACDA"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Fundamentals of Transaction Management in Enterprise Application Architectures. (2022).</w:t>
      </w:r>
      <w:r>
        <w:rPr>
          <w:rFonts w:ascii="Bookman Old Style" w:eastAsia="Bookman Old Style" w:hAnsi="Bookman Old Style" w:cs="Bookman Old Style"/>
          <w:i/>
          <w:iCs/>
        </w:rPr>
        <w:t xml:space="preserve"> IEEE Journals &amp; Magazine | IEEE Xplore. </w:t>
      </w:r>
      <w:hyperlink r:id="rId14">
        <w:r>
          <w:rPr>
            <w:rFonts w:ascii="Bookman Old Style" w:eastAsia="Bookman Old Style" w:hAnsi="Bookman Old Style" w:cs="Bookman Old Style"/>
            <w:i/>
            <w:iCs/>
            <w:color w:val="1155CC"/>
            <w:u w:val="single"/>
          </w:rPr>
          <w:t>https://ieeexplore.ieee.org/abstract/document/9963959</w:t>
        </w:r>
      </w:hyperlink>
    </w:p>
    <w:p w14:paraId="36750767" w14:textId="77777777" w:rsidR="007A70D4" w:rsidRDefault="007A70D4">
      <w:pPr>
        <w:spacing w:after="0"/>
        <w:jc w:val="both"/>
        <w:rPr>
          <w:rFonts w:ascii="Bookman Old Style" w:eastAsia="Bookman Old Style" w:hAnsi="Bookman Old Style" w:cs="Bookman Old Style"/>
          <w:i/>
          <w:iCs/>
        </w:rPr>
      </w:pPr>
    </w:p>
    <w:p w14:paraId="42A9DCF3" w14:textId="77777777" w:rsidR="007A70D4" w:rsidRDefault="00000000">
      <w:pPr>
        <w:spacing w:after="160"/>
        <w:jc w:val="both"/>
        <w:rPr>
          <w:rFonts w:ascii="Bookman Old Style" w:eastAsia="Bookman Old Style" w:hAnsi="Bookman Old Style" w:cs="Bookman Old Style"/>
          <w:i/>
          <w:iCs/>
        </w:rPr>
      </w:pPr>
      <w:proofErr w:type="spellStart"/>
      <w:r>
        <w:rPr>
          <w:rFonts w:ascii="Bookman Old Style" w:eastAsia="Bookman Old Style" w:hAnsi="Bookman Old Style" w:cs="Bookman Old Style"/>
        </w:rPr>
        <w:t>GeeksforGeeks</w:t>
      </w:r>
      <w:proofErr w:type="spellEnd"/>
      <w:r>
        <w:rPr>
          <w:rFonts w:ascii="Bookman Old Style" w:eastAsia="Bookman Old Style" w:hAnsi="Bookman Old Style" w:cs="Bookman Old Style"/>
        </w:rPr>
        <w:t>. (2023).</w:t>
      </w:r>
      <w:r>
        <w:rPr>
          <w:rFonts w:ascii="Bookman Old Style" w:eastAsia="Bookman Old Style" w:hAnsi="Bookman Old Style" w:cs="Bookman Old Style"/>
          <w:i/>
          <w:iCs/>
        </w:rPr>
        <w:t xml:space="preserve"> Transaction management in DBMS. </w:t>
      </w:r>
      <w:hyperlink r:id="rId15">
        <w:r>
          <w:rPr>
            <w:rFonts w:ascii="Bookman Old Style" w:eastAsia="Bookman Old Style" w:hAnsi="Bookman Old Style" w:cs="Bookman Old Style"/>
            <w:i/>
            <w:iCs/>
            <w:color w:val="1155CC"/>
            <w:u w:val="single"/>
          </w:rPr>
          <w:t>https://www.geeksforgeeks.org/transaction-management-in-dbms/</w:t>
        </w:r>
      </w:hyperlink>
    </w:p>
    <w:p w14:paraId="098E2AA6" w14:textId="77777777" w:rsidR="007A70D4" w:rsidRDefault="00000000">
      <w:pPr>
        <w:spacing w:after="160"/>
        <w:jc w:val="both"/>
        <w:rPr>
          <w:rFonts w:ascii="Bookman Old Style" w:eastAsia="Bookman Old Style" w:hAnsi="Bookman Old Style" w:cs="Bookman Old Style"/>
          <w:i/>
          <w:iCs/>
        </w:rPr>
      </w:pPr>
      <w:r>
        <w:rPr>
          <w:rFonts w:ascii="Bookman Old Style" w:eastAsia="Bookman Old Style" w:hAnsi="Bookman Old Style" w:cs="Bookman Old Style"/>
        </w:rPr>
        <w:t>IBM. (2024).</w:t>
      </w:r>
      <w:r>
        <w:rPr>
          <w:rFonts w:ascii="Bookman Old Style" w:eastAsia="Bookman Old Style" w:hAnsi="Bookman Old Style" w:cs="Bookman Old Style"/>
          <w:i/>
          <w:iCs/>
        </w:rPr>
        <w:t xml:space="preserve"> What is transaction management? IBM Think. </w:t>
      </w:r>
      <w:hyperlink r:id="rId16">
        <w:r>
          <w:rPr>
            <w:rFonts w:ascii="Bookman Old Style" w:eastAsia="Bookman Old Style" w:hAnsi="Bookman Old Style" w:cs="Bookman Old Style"/>
            <w:i/>
            <w:iCs/>
            <w:color w:val="1155CC"/>
            <w:u w:val="single"/>
          </w:rPr>
          <w:t>https://www.ibm.com/think/topics/transaction-management</w:t>
        </w:r>
      </w:hyperlink>
    </w:p>
    <w:p w14:paraId="2E06EA03" w14:textId="77777777" w:rsidR="007A70D4" w:rsidRDefault="00000000">
      <w:pPr>
        <w:spacing w:before="240" w:after="240"/>
        <w:jc w:val="both"/>
        <w:rPr>
          <w:rFonts w:ascii="Bookman Old Style" w:eastAsia="Bookman Old Style" w:hAnsi="Bookman Old Style" w:cs="Bookman Old Style"/>
          <w:i/>
          <w:iCs/>
        </w:rPr>
      </w:pPr>
      <w:r>
        <w:rPr>
          <w:rFonts w:ascii="Bookman Old Style" w:eastAsia="Bookman Old Style" w:hAnsi="Bookman Old Style" w:cs="Bookman Old Style"/>
        </w:rPr>
        <w:t xml:space="preserve">i2c Inc. (2023). </w:t>
      </w:r>
      <w:r>
        <w:rPr>
          <w:rFonts w:ascii="Bookman Old Style" w:eastAsia="Bookman Old Style" w:hAnsi="Bookman Old Style" w:cs="Bookman Old Style"/>
          <w:i/>
          <w:iCs/>
        </w:rPr>
        <w:t xml:space="preserve">Customer-centric banking: The importance of a unified platform. </w:t>
      </w:r>
      <w:hyperlink r:id="rId17">
        <w:r>
          <w:rPr>
            <w:rFonts w:ascii="Bookman Old Style" w:eastAsia="Bookman Old Style" w:hAnsi="Bookman Old Style" w:cs="Bookman Old Style"/>
            <w:i/>
            <w:iCs/>
            <w:color w:val="1155CC"/>
            <w:u w:val="single"/>
          </w:rPr>
          <w:t>https://www.i2cinc.com/blog/customer-centric-banking-importance-of-unified-platform/</w:t>
        </w:r>
      </w:hyperlink>
    </w:p>
    <w:p w14:paraId="5A4C4869"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Insight Software. (2024).</w:t>
      </w:r>
      <w:r>
        <w:rPr>
          <w:rFonts w:ascii="Bookman Old Style" w:eastAsia="Bookman Old Style" w:hAnsi="Bookman Old Style" w:cs="Bookman Old Style"/>
          <w:i/>
          <w:iCs/>
        </w:rPr>
        <w:t xml:space="preserve"> Transactional system database: What is it &amp; examples. </w:t>
      </w:r>
      <w:hyperlink r:id="rId18">
        <w:r>
          <w:rPr>
            <w:rFonts w:ascii="Bookman Old Style" w:eastAsia="Bookman Old Style" w:hAnsi="Bookman Old Style" w:cs="Bookman Old Style"/>
            <w:i/>
            <w:iCs/>
            <w:color w:val="1155CC"/>
            <w:u w:val="single"/>
          </w:rPr>
          <w:t>https://insightsoftware.com/encyclopedia/transactional-databases/</w:t>
        </w:r>
      </w:hyperlink>
    </w:p>
    <w:p w14:paraId="3B82BD62" w14:textId="77777777" w:rsidR="007A70D4" w:rsidRDefault="007A70D4">
      <w:pPr>
        <w:spacing w:after="0"/>
        <w:jc w:val="both"/>
        <w:rPr>
          <w:rFonts w:ascii="Bookman Old Style" w:eastAsia="Bookman Old Style" w:hAnsi="Bookman Old Style" w:cs="Bookman Old Style"/>
          <w:i/>
          <w:iCs/>
        </w:rPr>
      </w:pPr>
    </w:p>
    <w:p w14:paraId="21A83F41" w14:textId="77777777" w:rsidR="007A70D4" w:rsidRDefault="00000000">
      <w:pPr>
        <w:spacing w:after="0"/>
        <w:jc w:val="both"/>
        <w:rPr>
          <w:rFonts w:ascii="Bookman Old Style" w:eastAsia="Bookman Old Style" w:hAnsi="Bookman Old Style" w:cs="Bookman Old Style"/>
          <w:i/>
          <w:iCs/>
        </w:rPr>
      </w:pPr>
      <w:proofErr w:type="spellStart"/>
      <w:r>
        <w:rPr>
          <w:rFonts w:ascii="Bookman Old Style" w:eastAsia="Bookman Old Style" w:hAnsi="Bookman Old Style" w:cs="Bookman Old Style"/>
        </w:rPr>
        <w:t>Ispirer</w:t>
      </w:r>
      <w:proofErr w:type="spellEnd"/>
      <w:r>
        <w:rPr>
          <w:rFonts w:ascii="Bookman Old Style" w:eastAsia="Bookman Old Style" w:hAnsi="Bookman Old Style" w:cs="Bookman Old Style"/>
        </w:rPr>
        <w:t xml:space="preserve">. (2025). </w:t>
      </w:r>
      <w:r>
        <w:rPr>
          <w:rFonts w:ascii="Bookman Old Style" w:eastAsia="Bookman Old Style" w:hAnsi="Bookman Old Style" w:cs="Bookman Old Style"/>
          <w:i/>
          <w:iCs/>
        </w:rPr>
        <w:t xml:space="preserve">Distributed databases for financial services compliance. </w:t>
      </w:r>
      <w:hyperlink r:id="rId19">
        <w:r>
          <w:rPr>
            <w:rFonts w:ascii="Bookman Old Style" w:eastAsia="Bookman Old Style" w:hAnsi="Bookman Old Style" w:cs="Bookman Old Style"/>
            <w:i/>
            <w:iCs/>
            <w:color w:val="1155CC"/>
            <w:u w:val="single"/>
          </w:rPr>
          <w:t>https://www.ispirer.com/blog/distributed-databases-for-financial-services-compliance</w:t>
        </w:r>
      </w:hyperlink>
    </w:p>
    <w:p w14:paraId="4E8F749B" w14:textId="77777777" w:rsidR="007A70D4" w:rsidRDefault="007A70D4">
      <w:pPr>
        <w:spacing w:after="0"/>
        <w:jc w:val="both"/>
        <w:rPr>
          <w:rFonts w:ascii="Bookman Old Style" w:eastAsia="Bookman Old Style" w:hAnsi="Bookman Old Style" w:cs="Bookman Old Style"/>
          <w:i/>
          <w:iCs/>
        </w:rPr>
      </w:pPr>
    </w:p>
    <w:p w14:paraId="70794FE6"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Ismayilov, I., &amp; Karimov, A. (2018)</w:t>
      </w:r>
      <w:r>
        <w:rPr>
          <w:rFonts w:ascii="Bookman Old Style" w:eastAsia="Bookman Old Style" w:hAnsi="Bookman Old Style" w:cs="Bookman Old Style"/>
          <w:i/>
          <w:iCs/>
        </w:rPr>
        <w:t xml:space="preserve">. Data quality in banking system: Case of Azerbaijan. International Journal of Finance &amp; Banking Studies, 7(1), 73–81. </w:t>
      </w:r>
      <w:hyperlink r:id="rId20">
        <w:r>
          <w:rPr>
            <w:rFonts w:ascii="Bookman Old Style" w:eastAsia="Bookman Old Style" w:hAnsi="Bookman Old Style" w:cs="Bookman Old Style"/>
            <w:i/>
            <w:iCs/>
            <w:color w:val="1155CC"/>
            <w:u w:val="single"/>
          </w:rPr>
          <w:t>https://www.ssbfnet.com/ojs/index.php/ijfbs/article/view/8</w:t>
        </w:r>
      </w:hyperlink>
    </w:p>
    <w:p w14:paraId="78FB127A" w14:textId="77777777" w:rsidR="007A70D4" w:rsidRDefault="007A70D4">
      <w:pPr>
        <w:spacing w:after="0"/>
        <w:jc w:val="both"/>
        <w:rPr>
          <w:rFonts w:ascii="Bookman Old Style" w:eastAsia="Bookman Old Style" w:hAnsi="Bookman Old Style" w:cs="Bookman Old Style"/>
          <w:i/>
          <w:iCs/>
        </w:rPr>
      </w:pPr>
    </w:p>
    <w:p w14:paraId="5300D020"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lastRenderedPageBreak/>
        <w:t>KPMG. (2014).</w:t>
      </w:r>
      <w:r>
        <w:rPr>
          <w:rFonts w:ascii="Bookman Old Style" w:eastAsia="Bookman Old Style" w:hAnsi="Bookman Old Style" w:cs="Bookman Old Style"/>
          <w:i/>
          <w:iCs/>
        </w:rPr>
        <w:t xml:space="preserve"> Managing the data challenge in banking. </w:t>
      </w:r>
      <w:hyperlink r:id="rId21">
        <w:r>
          <w:rPr>
            <w:rFonts w:ascii="Bookman Old Style" w:eastAsia="Bookman Old Style" w:hAnsi="Bookman Old Style" w:cs="Bookman Old Style"/>
            <w:i/>
            <w:iCs/>
            <w:color w:val="1155CC"/>
            <w:u w:val="single"/>
          </w:rPr>
          <w:t>https://assets.kpmg.com/content/dam/kpmg/pdf/2014/07/ch-pub-20140723-managing-the-data-challenge-in-banking-en.pdf</w:t>
        </w:r>
      </w:hyperlink>
    </w:p>
    <w:p w14:paraId="613D3490" w14:textId="77777777" w:rsidR="007A70D4" w:rsidRDefault="007A70D4">
      <w:pPr>
        <w:spacing w:after="0"/>
        <w:jc w:val="both"/>
        <w:rPr>
          <w:rFonts w:ascii="Bookman Old Style" w:eastAsia="Bookman Old Style" w:hAnsi="Bookman Old Style" w:cs="Bookman Old Style"/>
          <w:i/>
          <w:iCs/>
        </w:rPr>
      </w:pPr>
    </w:p>
    <w:p w14:paraId="04166975"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 xml:space="preserve">NetSuite. (2025). </w:t>
      </w:r>
      <w:r>
        <w:rPr>
          <w:rFonts w:ascii="Bookman Old Style" w:eastAsia="Bookman Old Style" w:hAnsi="Bookman Old Style" w:cs="Bookman Old Style"/>
          <w:i/>
          <w:iCs/>
        </w:rPr>
        <w:t xml:space="preserve">The 8 top data challenges in financial services (with solutions). </w:t>
      </w:r>
      <w:hyperlink r:id="rId22">
        <w:r>
          <w:rPr>
            <w:rFonts w:ascii="Bookman Old Style" w:eastAsia="Bookman Old Style" w:hAnsi="Bookman Old Style" w:cs="Bookman Old Style"/>
            <w:i/>
            <w:iCs/>
            <w:color w:val="1155CC"/>
            <w:u w:val="single"/>
          </w:rPr>
          <w:t>https://www.netsuite.com/portal/resource/articles/financial-management/data-challenges-financial-services.shtml</w:t>
        </w:r>
      </w:hyperlink>
    </w:p>
    <w:p w14:paraId="6AD86B9E" w14:textId="77777777" w:rsidR="007A70D4" w:rsidRDefault="007A70D4">
      <w:pPr>
        <w:spacing w:after="0"/>
        <w:jc w:val="both"/>
        <w:rPr>
          <w:rFonts w:ascii="Bookman Old Style" w:eastAsia="Bookman Old Style" w:hAnsi="Bookman Old Style" w:cs="Bookman Old Style"/>
          <w:i/>
          <w:iCs/>
        </w:rPr>
      </w:pPr>
    </w:p>
    <w:p w14:paraId="0BA57C7F"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i/>
          <w:iCs/>
        </w:rPr>
        <w:t xml:space="preserve">OCC Amends Enforcement Action Against Citibank, Assesses $75 Million Civil Money Penalty | OCC. (2024). OCC.gov. </w:t>
      </w:r>
      <w:hyperlink r:id="rId23">
        <w:r>
          <w:rPr>
            <w:rFonts w:ascii="Bookman Old Style" w:eastAsia="Bookman Old Style" w:hAnsi="Bookman Old Style" w:cs="Bookman Old Style"/>
            <w:i/>
            <w:iCs/>
            <w:color w:val="1155CC"/>
            <w:u w:val="single"/>
          </w:rPr>
          <w:t>https://www.occ.gov/news-issuances/news-releases/2024/nr-occ-2024-76.html</w:t>
        </w:r>
      </w:hyperlink>
      <w:r>
        <w:rPr>
          <w:rFonts w:ascii="Bookman Old Style" w:eastAsia="Bookman Old Style" w:hAnsi="Bookman Old Style" w:cs="Bookman Old Style"/>
          <w:i/>
          <w:iCs/>
        </w:rPr>
        <w:t xml:space="preserve"> </w:t>
      </w:r>
    </w:p>
    <w:p w14:paraId="66A5BD6C" w14:textId="77777777" w:rsidR="007A70D4" w:rsidRDefault="007A70D4">
      <w:pPr>
        <w:spacing w:after="0"/>
        <w:jc w:val="both"/>
        <w:rPr>
          <w:rFonts w:ascii="Bookman Old Style" w:eastAsia="Bookman Old Style" w:hAnsi="Bookman Old Style" w:cs="Bookman Old Style"/>
          <w:i/>
          <w:iCs/>
        </w:rPr>
      </w:pPr>
    </w:p>
    <w:p w14:paraId="7F60B54B" w14:textId="77777777" w:rsidR="007A70D4" w:rsidRDefault="00000000">
      <w:pPr>
        <w:spacing w:after="0"/>
        <w:jc w:val="both"/>
        <w:rPr>
          <w:rFonts w:ascii="Bookman Old Style" w:eastAsia="Bookman Old Style" w:hAnsi="Bookman Old Style" w:cs="Bookman Old Style"/>
          <w:i/>
          <w:iCs/>
          <w:color w:val="1155CC"/>
          <w:u w:val="single"/>
        </w:rPr>
      </w:pPr>
      <w:r>
        <w:rPr>
          <w:rFonts w:ascii="Bookman Old Style" w:eastAsia="Bookman Old Style" w:hAnsi="Bookman Old Style" w:cs="Bookman Old Style"/>
          <w:i/>
          <w:iCs/>
        </w:rPr>
        <w:t xml:space="preserve">Parmar, P., &amp; Vaishnavi, S. (2025). Bank management system. Journal of Research in Pharmaceutical Sciences, 12(3), 45–52. </w:t>
      </w:r>
      <w:r>
        <w:fldChar w:fldCharType="begin"/>
      </w:r>
      <w:r>
        <w:instrText xml:space="preserve"> HYPERLINK "https://jrpsjournal.in/index.php/j/article/view/227" </w:instrText>
      </w:r>
      <w:r>
        <w:fldChar w:fldCharType="separate"/>
      </w:r>
      <w:r>
        <w:rPr>
          <w:rFonts w:ascii="Bookman Old Style" w:eastAsia="Bookman Old Style" w:hAnsi="Bookman Old Style" w:cs="Bookman Old Style"/>
          <w:i/>
          <w:iCs/>
          <w:color w:val="1155CC"/>
          <w:u w:val="single"/>
        </w:rPr>
        <w:t>https://jrpsjournal.in/index.php/j/article/view/227</w:t>
      </w:r>
    </w:p>
    <w:p w14:paraId="3C17EF04" w14:textId="77777777" w:rsidR="007A70D4" w:rsidRDefault="00000000">
      <w:pPr>
        <w:spacing w:after="0"/>
        <w:jc w:val="both"/>
        <w:rPr>
          <w:rFonts w:ascii="Bookman Old Style" w:eastAsia="Bookman Old Style" w:hAnsi="Bookman Old Style" w:cs="Bookman Old Style"/>
        </w:rPr>
      </w:pPr>
      <w:r>
        <w:fldChar w:fldCharType="end"/>
      </w:r>
    </w:p>
    <w:p w14:paraId="7D392E29" w14:textId="77777777" w:rsidR="007A70D4" w:rsidRDefault="00000000">
      <w:pPr>
        <w:spacing w:after="0"/>
        <w:jc w:val="both"/>
        <w:rPr>
          <w:rFonts w:ascii="Bookman Old Style" w:eastAsia="Bookman Old Style" w:hAnsi="Bookman Old Style" w:cs="Bookman Old Style"/>
          <w:i/>
          <w:iCs/>
        </w:rPr>
      </w:pPr>
      <w:proofErr w:type="spellStart"/>
      <w:r>
        <w:rPr>
          <w:rFonts w:ascii="Bookman Old Style" w:eastAsia="Bookman Old Style" w:hAnsi="Bookman Old Style" w:cs="Bookman Old Style"/>
        </w:rPr>
        <w:t>PingCAP</w:t>
      </w:r>
      <w:proofErr w:type="spellEnd"/>
      <w:r>
        <w:rPr>
          <w:rFonts w:ascii="Bookman Old Style" w:eastAsia="Bookman Old Style" w:hAnsi="Bookman Old Style" w:cs="Bookman Old Style"/>
        </w:rPr>
        <w:t>. (2024).</w:t>
      </w:r>
      <w:r>
        <w:rPr>
          <w:rFonts w:ascii="Bookman Old Style" w:eastAsia="Bookman Old Style" w:hAnsi="Bookman Old Style" w:cs="Bookman Old Style"/>
          <w:i/>
          <w:iCs/>
        </w:rPr>
        <w:t xml:space="preserve"> Ensuring database security &amp; compliance in financial institutions. </w:t>
      </w:r>
      <w:hyperlink r:id="rId24">
        <w:r>
          <w:rPr>
            <w:rFonts w:ascii="Bookman Old Style" w:eastAsia="Bookman Old Style" w:hAnsi="Bookman Old Style" w:cs="Bookman Old Style"/>
            <w:i/>
            <w:iCs/>
            <w:color w:val="1155CC"/>
            <w:u w:val="single"/>
          </w:rPr>
          <w:t>https://www.pingcap.com/article/ensuring-database-security-compliance-in-financial-institutions/</w:t>
        </w:r>
      </w:hyperlink>
    </w:p>
    <w:p w14:paraId="15ACE690" w14:textId="77777777" w:rsidR="007A70D4" w:rsidRDefault="00000000">
      <w:pPr>
        <w:spacing w:before="240" w:after="240"/>
        <w:jc w:val="both"/>
        <w:rPr>
          <w:rFonts w:ascii="Bookman Old Style" w:eastAsia="Bookman Old Style" w:hAnsi="Bookman Old Style" w:cs="Bookman Old Style"/>
          <w:i/>
          <w:iCs/>
        </w:rPr>
      </w:pPr>
      <w:r>
        <w:rPr>
          <w:rFonts w:ascii="Bookman Old Style" w:eastAsia="Bookman Old Style" w:hAnsi="Bookman Old Style" w:cs="Bookman Old Style"/>
        </w:rPr>
        <w:t>Silberschatz, A., Korth, H. F., &amp; Sudarshan, S. (2019).</w:t>
      </w:r>
      <w:r>
        <w:rPr>
          <w:rFonts w:ascii="Bookman Old Style" w:eastAsia="Bookman Old Style" w:hAnsi="Bookman Old Style" w:cs="Bookman Old Style"/>
          <w:i/>
          <w:iCs/>
        </w:rPr>
        <w:t xml:space="preserve"> Database system concepts (7th ed.). McGraw-Hill Education. </w:t>
      </w:r>
      <w:hyperlink r:id="rId25">
        <w:r>
          <w:rPr>
            <w:rFonts w:ascii="Bookman Old Style" w:eastAsia="Bookman Old Style" w:hAnsi="Bookman Old Style" w:cs="Bookman Old Style"/>
            <w:i/>
            <w:iCs/>
            <w:color w:val="1155CC"/>
            <w:u w:val="single"/>
          </w:rPr>
          <w:t>https://www.db-book.com</w:t>
        </w:r>
      </w:hyperlink>
    </w:p>
    <w:p w14:paraId="2515EBF8"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Snowflake. (2025).</w:t>
      </w:r>
      <w:r>
        <w:rPr>
          <w:rFonts w:ascii="Bookman Old Style" w:eastAsia="Bookman Old Style" w:hAnsi="Bookman Old Style" w:cs="Bookman Old Style"/>
          <w:i/>
          <w:iCs/>
        </w:rPr>
        <w:t xml:space="preserve"> What is a transactional database? Properties &amp; use cases. </w:t>
      </w:r>
      <w:hyperlink r:id="rId26">
        <w:r>
          <w:rPr>
            <w:rFonts w:ascii="Bookman Old Style" w:eastAsia="Bookman Old Style" w:hAnsi="Bookman Old Style" w:cs="Bookman Old Style"/>
            <w:i/>
            <w:iCs/>
            <w:color w:val="1155CC"/>
            <w:u w:val="single"/>
          </w:rPr>
          <w:t>https://www.snowflake.com/en/fundamentals/transactional-database/</w:t>
        </w:r>
      </w:hyperlink>
    </w:p>
    <w:p w14:paraId="550A51C6" w14:textId="77777777" w:rsidR="007A70D4" w:rsidRDefault="007A70D4">
      <w:pPr>
        <w:spacing w:after="0"/>
        <w:jc w:val="both"/>
        <w:rPr>
          <w:rFonts w:ascii="Bookman Old Style" w:eastAsia="Bookman Old Style" w:hAnsi="Bookman Old Style" w:cs="Bookman Old Style"/>
          <w:i/>
          <w:iCs/>
        </w:rPr>
      </w:pPr>
    </w:p>
    <w:p w14:paraId="07EFFA1E"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Subia, G. S., &amp; Corpuz, B. J. (2015).</w:t>
      </w:r>
      <w:r>
        <w:rPr>
          <w:rFonts w:ascii="Bookman Old Style" w:eastAsia="Bookman Old Style" w:hAnsi="Bookman Old Style" w:cs="Bookman Old Style"/>
          <w:i/>
          <w:iCs/>
        </w:rPr>
        <w:t xml:space="preserve"> Bank customers management system. International Journal of Scientific &amp; Technology Research, 4(8), 330–335. </w:t>
      </w:r>
    </w:p>
    <w:p w14:paraId="1C5AF491" w14:textId="77777777" w:rsidR="007A70D4" w:rsidRDefault="00000000">
      <w:pPr>
        <w:spacing w:after="0"/>
        <w:jc w:val="both"/>
        <w:rPr>
          <w:rFonts w:ascii="Bookman Old Style" w:eastAsia="Bookman Old Style" w:hAnsi="Bookman Old Style" w:cs="Bookman Old Style"/>
          <w:i/>
          <w:iCs/>
        </w:rPr>
      </w:pPr>
      <w:hyperlink r:id="rId27">
        <w:r>
          <w:rPr>
            <w:rFonts w:ascii="Bookman Old Style" w:eastAsia="Bookman Old Style" w:hAnsi="Bookman Old Style" w:cs="Bookman Old Style"/>
            <w:i/>
            <w:iCs/>
            <w:color w:val="1155CC"/>
            <w:u w:val="single"/>
          </w:rPr>
          <w:t>http://www.ijstr.org/final-print/aug2015/Bank-Customers-Management-System.pdf</w:t>
        </w:r>
      </w:hyperlink>
    </w:p>
    <w:p w14:paraId="686523D5" w14:textId="77777777" w:rsidR="007A70D4" w:rsidRDefault="007A70D4">
      <w:pPr>
        <w:spacing w:after="0"/>
        <w:jc w:val="both"/>
        <w:rPr>
          <w:rFonts w:ascii="Bookman Old Style" w:eastAsia="Bookman Old Style" w:hAnsi="Bookman Old Style" w:cs="Bookman Old Style"/>
          <w:i/>
          <w:iCs/>
        </w:rPr>
      </w:pPr>
    </w:p>
    <w:p w14:paraId="0B1C9553"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 xml:space="preserve">Subia, G. S., &amp; Corpuz, B. J. (2020). </w:t>
      </w:r>
      <w:r>
        <w:rPr>
          <w:rFonts w:ascii="Bookman Old Style" w:eastAsia="Bookman Old Style" w:hAnsi="Bookman Old Style" w:cs="Bookman Old Style"/>
          <w:i/>
          <w:iCs/>
        </w:rPr>
        <w:t xml:space="preserve">Archiving and digitizing of customer records of Golden Rural Bank of the Philippines Inc. International Journal of Scientific &amp; Technology Research, 9(1), 3400–3405. </w:t>
      </w:r>
    </w:p>
    <w:p w14:paraId="629936B1" w14:textId="77777777" w:rsidR="007A70D4" w:rsidRDefault="00000000">
      <w:pPr>
        <w:spacing w:after="0"/>
        <w:jc w:val="both"/>
        <w:rPr>
          <w:rFonts w:ascii="Bookman Old Style" w:eastAsia="Bookman Old Style" w:hAnsi="Bookman Old Style" w:cs="Bookman Old Style"/>
          <w:i/>
          <w:iCs/>
        </w:rPr>
      </w:pPr>
      <w:hyperlink r:id="rId28">
        <w:r>
          <w:rPr>
            <w:rFonts w:ascii="Bookman Old Style" w:eastAsia="Bookman Old Style" w:hAnsi="Bookman Old Style" w:cs="Bookman Old Style"/>
            <w:i/>
            <w:iCs/>
            <w:color w:val="1155CC"/>
            <w:u w:val="single"/>
          </w:rPr>
          <w:t>https://www.ijstr.org/final-print/jan2020/Archiving-And-Digitizing-Of-Customer-Records-Of-Golden-Rural-Bank-Of-The-Philippines-Inc.pdf</w:t>
        </w:r>
      </w:hyperlink>
    </w:p>
    <w:p w14:paraId="2AD3FE37" w14:textId="77777777" w:rsidR="007A70D4" w:rsidRDefault="007A70D4">
      <w:pPr>
        <w:spacing w:after="0"/>
        <w:jc w:val="both"/>
        <w:rPr>
          <w:rFonts w:ascii="Bookman Old Style" w:eastAsia="Bookman Old Style" w:hAnsi="Bookman Old Style" w:cs="Bookman Old Style"/>
          <w:i/>
          <w:iCs/>
        </w:rPr>
      </w:pPr>
    </w:p>
    <w:p w14:paraId="21CC5C9F" w14:textId="77777777" w:rsidR="007A70D4" w:rsidRDefault="00000000">
      <w:pPr>
        <w:spacing w:after="0"/>
        <w:jc w:val="both"/>
        <w:rPr>
          <w:rFonts w:ascii="Bookman Old Style" w:eastAsia="Bookman Old Style" w:hAnsi="Bookman Old Style" w:cs="Bookman Old Style"/>
          <w:i/>
          <w:iCs/>
        </w:rPr>
      </w:pPr>
      <w:r>
        <w:rPr>
          <w:rFonts w:ascii="Bookman Old Style" w:eastAsia="Bookman Old Style" w:hAnsi="Bookman Old Style" w:cs="Bookman Old Style"/>
        </w:rPr>
        <w:t>The Financial Brand. (2021).</w:t>
      </w:r>
      <w:r>
        <w:rPr>
          <w:rFonts w:ascii="Bookman Old Style" w:eastAsia="Bookman Old Style" w:hAnsi="Bookman Old Style" w:cs="Bookman Old Style"/>
          <w:i/>
          <w:iCs/>
        </w:rPr>
        <w:t xml:space="preserve"> The state of customer data management in banking. </w:t>
      </w:r>
      <w:hyperlink r:id="rId29">
        <w:r>
          <w:rPr>
            <w:rFonts w:ascii="Bookman Old Style" w:eastAsia="Bookman Old Style" w:hAnsi="Bookman Old Style" w:cs="Bookman Old Style"/>
            <w:i/>
            <w:iCs/>
            <w:color w:val="1155CC"/>
            <w:u w:val="single"/>
          </w:rPr>
          <w:t>https://thefinancialbrand.com/news/data-analytics-banking/customer-data-management-cdp-banking-trends-110760</w:t>
        </w:r>
      </w:hyperlink>
    </w:p>
    <w:p w14:paraId="380A1508" w14:textId="77777777" w:rsidR="007A70D4" w:rsidRDefault="00000000">
      <w:pPr>
        <w:spacing w:before="240" w:after="240"/>
        <w:jc w:val="both"/>
        <w:rPr>
          <w:rFonts w:ascii="Bookman Old Style" w:eastAsia="Bookman Old Style" w:hAnsi="Bookman Old Style" w:cs="Bookman Old Style"/>
          <w:i/>
          <w:iCs/>
        </w:rPr>
      </w:pPr>
      <w:r>
        <w:rPr>
          <w:rFonts w:ascii="Bookman Old Style" w:eastAsia="Bookman Old Style" w:hAnsi="Bookman Old Style" w:cs="Bookman Old Style"/>
        </w:rPr>
        <w:t xml:space="preserve">SAP </w:t>
      </w:r>
      <w:proofErr w:type="spellStart"/>
      <w:r>
        <w:rPr>
          <w:rFonts w:ascii="Bookman Old Style" w:eastAsia="Bookman Old Style" w:hAnsi="Bookman Old Style" w:cs="Bookman Old Style"/>
        </w:rPr>
        <w:t>Fioneer</w:t>
      </w:r>
      <w:proofErr w:type="spellEnd"/>
      <w:r>
        <w:rPr>
          <w:rFonts w:ascii="Bookman Old Style" w:eastAsia="Bookman Old Style" w:hAnsi="Bookman Old Style" w:cs="Bookman Old Style"/>
        </w:rPr>
        <w:t>. (2025).</w:t>
      </w:r>
      <w:r>
        <w:rPr>
          <w:rFonts w:ascii="Bookman Old Style" w:eastAsia="Bookman Old Style" w:hAnsi="Bookman Old Style" w:cs="Bookman Old Style"/>
          <w:i/>
          <w:iCs/>
        </w:rPr>
        <w:t xml:space="preserve"> The true cost of poor data quality in banking and insurance. </w:t>
      </w:r>
      <w:hyperlink r:id="rId30">
        <w:r>
          <w:rPr>
            <w:rFonts w:ascii="Bookman Old Style" w:eastAsia="Bookman Old Style" w:hAnsi="Bookman Old Style" w:cs="Bookman Old Style"/>
            <w:i/>
            <w:iCs/>
            <w:color w:val="1155CC"/>
            <w:u w:val="single"/>
          </w:rPr>
          <w:t>https://www.sapfioneer.com/blog/poor-data-quality-in-banking-and-insurance/</w:t>
        </w:r>
      </w:hyperlink>
    </w:p>
    <w:p w14:paraId="75D5A281" w14:textId="77777777" w:rsidR="007A70D4" w:rsidRDefault="00000000">
      <w:pPr>
        <w:spacing w:before="240" w:after="240"/>
        <w:jc w:val="both"/>
        <w:rPr>
          <w:rFonts w:ascii="Bookman Old Style" w:eastAsia="Bookman Old Style" w:hAnsi="Bookman Old Style" w:cs="Bookman Old Style"/>
          <w:i/>
          <w:iCs/>
        </w:rPr>
      </w:pPr>
      <w:r>
        <w:rPr>
          <w:rFonts w:ascii="Bookman Old Style" w:eastAsia="Bookman Old Style" w:hAnsi="Bookman Old Style" w:cs="Bookman Old Style"/>
        </w:rPr>
        <w:t>Wang, Y., Wang, J., Li, Y., Wang, Y., &amp; Li, J. (2023).</w:t>
      </w:r>
      <w:r>
        <w:rPr>
          <w:rFonts w:ascii="Bookman Old Style" w:eastAsia="Bookman Old Style" w:hAnsi="Bookman Old Style" w:cs="Bookman Old Style"/>
          <w:i/>
          <w:iCs/>
        </w:rPr>
        <w:t xml:space="preserve"> Overview of data quality: Examining the dimensions and assessment methods. Journal of Multidisciplinary Healthcare, 16, 291–305. </w:t>
      </w:r>
      <w:hyperlink r:id="rId31">
        <w:r>
          <w:rPr>
            <w:rFonts w:ascii="Bookman Old Style" w:eastAsia="Bookman Old Style" w:hAnsi="Bookman Old Style" w:cs="Bookman Old Style"/>
            <w:i/>
            <w:iCs/>
            <w:color w:val="1155CC"/>
            <w:u w:val="single"/>
          </w:rPr>
          <w:t>https://doi.org/10.2147/JMDH.S390948</w:t>
        </w:r>
      </w:hyperlink>
    </w:p>
    <w:p w14:paraId="1FC81D76" w14:textId="77777777" w:rsidR="007A70D4" w:rsidRDefault="00000000">
      <w:pPr>
        <w:spacing w:before="240" w:after="240"/>
        <w:jc w:val="both"/>
        <w:rPr>
          <w:rFonts w:ascii="Bookman Old Style" w:eastAsia="Bookman Old Style" w:hAnsi="Bookman Old Style" w:cs="Bookman Old Style"/>
          <w:i/>
          <w:iCs/>
        </w:rPr>
      </w:pPr>
      <w:r>
        <w:rPr>
          <w:rFonts w:ascii="Bookman Old Style" w:eastAsia="Bookman Old Style" w:hAnsi="Bookman Old Style" w:cs="Bookman Old Style"/>
        </w:rPr>
        <w:t>What does ACID compliance mean?</w:t>
      </w:r>
      <w:r>
        <w:rPr>
          <w:rFonts w:ascii="Bookman Old Style" w:eastAsia="Bookman Old Style" w:hAnsi="Bookman Old Style" w:cs="Bookman Old Style"/>
          <w:i/>
          <w:iCs/>
        </w:rPr>
        <w:t xml:space="preserve"> | An introduction. (n.d.). MongoDB. </w:t>
      </w:r>
      <w:hyperlink r:id="rId32">
        <w:r>
          <w:rPr>
            <w:rFonts w:ascii="Bookman Old Style" w:eastAsia="Bookman Old Style" w:hAnsi="Bookman Old Style" w:cs="Bookman Old Style"/>
            <w:i/>
            <w:iCs/>
            <w:color w:val="1155CC"/>
            <w:u w:val="single"/>
          </w:rPr>
          <w:t>https://www.mongodb.com/resources/products/capabilities/acid-compliance</w:t>
        </w:r>
      </w:hyperlink>
    </w:p>
    <w:p w14:paraId="5B1EEF3D" w14:textId="77777777" w:rsidR="007A70D4" w:rsidRDefault="007A70D4">
      <w:pPr>
        <w:tabs>
          <w:tab w:val="left" w:pos="2476"/>
        </w:tabs>
        <w:spacing w:after="0"/>
        <w:jc w:val="both"/>
        <w:rPr>
          <w:rFonts w:ascii="Bookman Old Style" w:eastAsia="Bookman Old Style" w:hAnsi="Bookman Old Style" w:cs="Bookman Old Style"/>
          <w:i/>
          <w:iCs/>
        </w:rPr>
      </w:pPr>
    </w:p>
    <w:p w14:paraId="4CCCD9EA" w14:textId="77777777" w:rsidR="007A70D4" w:rsidRDefault="007A70D4">
      <w:pPr>
        <w:tabs>
          <w:tab w:val="left" w:pos="2476"/>
        </w:tabs>
        <w:jc w:val="both"/>
        <w:rPr>
          <w:rFonts w:ascii="Bookman Old Style" w:eastAsia="Bookman Old Style" w:hAnsi="Bookman Old Style" w:cs="Bookman Old Style"/>
          <w:i/>
          <w:iCs/>
        </w:rPr>
      </w:pPr>
    </w:p>
    <w:sectPr w:rsidR="007A70D4">
      <w:headerReference w:type="default" r:id="rId33"/>
      <w:footerReference w:type="default" r:id="rId34"/>
      <w:pgSz w:w="12240" w:h="1872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1FFE" w14:textId="77777777" w:rsidR="00D939E6" w:rsidRDefault="00D939E6">
      <w:pPr>
        <w:spacing w:after="0" w:line="240" w:lineRule="auto"/>
      </w:pPr>
      <w:r>
        <w:separator/>
      </w:r>
    </w:p>
  </w:endnote>
  <w:endnote w:type="continuationSeparator" w:id="0">
    <w:p w14:paraId="1A99B605" w14:textId="77777777" w:rsidR="00D939E6" w:rsidRDefault="00D9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86A7E16C-9761-4695-9B42-65ADF8DBBF26}"/>
    <w:embedBold r:id="rId2" w:fontKey="{3FC055F0-D2E8-430B-A067-B57DD409AD3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9534926-67FC-40A9-B006-2C493F359C42}"/>
  </w:font>
  <w:font w:name="Arial Narrow">
    <w:panose1 w:val="020B0606020202030204"/>
    <w:charset w:val="00"/>
    <w:family w:val="swiss"/>
    <w:pitch w:val="variable"/>
    <w:sig w:usb0="00000287" w:usb1="00000800" w:usb2="00000000" w:usb3="00000000" w:csb0="0000009F" w:csb1="00000000"/>
    <w:embedRegular r:id="rId4" w:fontKey="{5DE76C07-0B92-4F47-B5BE-A314256031BF}"/>
  </w:font>
  <w:font w:name="Lustria">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embedRegular r:id="rId5" w:fontKey="{AE1025B5-CA98-4778-A09A-E01F9D64662A}"/>
    <w:embedBold r:id="rId6" w:fontKey="{14CB98B0-DEFE-4EE0-B98A-8157E9DBFA64}"/>
    <w:embedItalic r:id="rId7" w:fontKey="{E1F4E39C-8F0D-476D-8A2F-1CA6FF96D37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A5F60785-A670-4E37-9CCC-74B277025C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75E1" w14:textId="77777777" w:rsidR="007A70D4" w:rsidRDefault="007A70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F98E7" w14:textId="77777777" w:rsidR="00D939E6" w:rsidRDefault="00D939E6">
      <w:pPr>
        <w:spacing w:after="0" w:line="240" w:lineRule="auto"/>
      </w:pPr>
      <w:r>
        <w:separator/>
      </w:r>
    </w:p>
  </w:footnote>
  <w:footnote w:type="continuationSeparator" w:id="0">
    <w:p w14:paraId="14D234E1" w14:textId="77777777" w:rsidR="00D939E6" w:rsidRDefault="00D93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65B8D" w14:textId="77777777" w:rsidR="007A70D4" w:rsidRDefault="007A70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0D4"/>
    <w:rsid w:val="001F6D87"/>
    <w:rsid w:val="007A70D4"/>
    <w:rsid w:val="00D939E6"/>
    <w:rsid w:val="00E1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194D"/>
  <w15:docId w15:val="{B0F17326-3BE1-40F1-B0EB-1887BD7B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raud.com/post/fragmentation-of-fraud-management-in-the-bfsi-market" TargetMode="External"/><Relationship Id="rId18" Type="http://schemas.openxmlformats.org/officeDocument/2006/relationships/hyperlink" Target="https://insightsoftware.com/encyclopedia/transactional-databases/" TargetMode="External"/><Relationship Id="rId26" Type="http://schemas.openxmlformats.org/officeDocument/2006/relationships/hyperlink" Target="https://www.snowflake.com/en/fundamentals/transactional-database/" TargetMode="External"/><Relationship Id="rId3" Type="http://schemas.openxmlformats.org/officeDocument/2006/relationships/webSettings" Target="webSettings.xml"/><Relationship Id="rId21" Type="http://schemas.openxmlformats.org/officeDocument/2006/relationships/hyperlink" Target="https://assets.kpmg.com/content/dam/kpmg/pdf/2014/07/ch-pub-20140723-managing-the-data-challenge-in-banking-en.pdf"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dbmaestro.com/blog/database-compliance-automation/database-compliance-financial-sector/" TargetMode="External"/><Relationship Id="rId17" Type="http://schemas.openxmlformats.org/officeDocument/2006/relationships/hyperlink" Target="https://www.i2cinc.com/blog/customer-centric-banking-importance-of-unified-platform/" TargetMode="External"/><Relationship Id="rId25" Type="http://schemas.openxmlformats.org/officeDocument/2006/relationships/hyperlink" Target="https://www.db-book.com" TargetMode="External"/><Relationship Id="rId3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ibm.com/think/topics/transaction-management" TargetMode="External"/><Relationship Id="rId20" Type="http://schemas.openxmlformats.org/officeDocument/2006/relationships/hyperlink" Target="https://www.ssbfnet.com/ojs/index.php/ijfbs/article/view/8" TargetMode="External"/><Relationship Id="rId29" Type="http://schemas.openxmlformats.org/officeDocument/2006/relationships/hyperlink" Target="https://thefinancialbrand.com/news/data-analytics-banking/customer-data-management-cdp-banking-trends-110760"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concentrix.com/insights/blog/fragmented-data-in-financial-services/" TargetMode="External"/><Relationship Id="rId24" Type="http://schemas.openxmlformats.org/officeDocument/2006/relationships/hyperlink" Target="https://www.pingcap.com/article/ensuring-database-security-compliance-in-financial-institutions/" TargetMode="External"/><Relationship Id="rId32" Type="http://schemas.openxmlformats.org/officeDocument/2006/relationships/hyperlink" Target="https://www.mongodb.com/resources/products/capabilities/acid-compliance" TargetMode="External"/><Relationship Id="rId5" Type="http://schemas.openxmlformats.org/officeDocument/2006/relationships/endnotes" Target="endnotes.xml"/><Relationship Id="rId15" Type="http://schemas.openxmlformats.org/officeDocument/2006/relationships/hyperlink" Target="https://www.geeksforgeeks.org/transaction-management-in-dbms/" TargetMode="External"/><Relationship Id="rId23" Type="http://schemas.openxmlformats.org/officeDocument/2006/relationships/hyperlink" Target="https://www.occ.gov/news-issuances/news-releases/2024/nr-occ-2024-76.html" TargetMode="External"/><Relationship Id="rId28" Type="http://schemas.openxmlformats.org/officeDocument/2006/relationships/hyperlink" Target="https://www.ijstr.org/final-print/jan2020/Archiving-And-Digitizing-Of-Customer-Records-Of-Golden-Rural-Bank-Of-The-Philippines-Inc.pdf" TargetMode="External"/><Relationship Id="rId36" Type="http://schemas.openxmlformats.org/officeDocument/2006/relationships/theme" Target="theme/theme1.xml"/><Relationship Id="rId10" Type="http://schemas.openxmlformats.org/officeDocument/2006/relationships/hyperlink" Target="https://atrium.ai/resources/data-in-banking-opportunities-and-challenges-today/" TargetMode="External"/><Relationship Id="rId19" Type="http://schemas.openxmlformats.org/officeDocument/2006/relationships/hyperlink" Target="https://www.ispirer.com/blog/distributed-databases-for-financial-services-compliance" TargetMode="External"/><Relationship Id="rId31" Type="http://schemas.openxmlformats.org/officeDocument/2006/relationships/hyperlink" Target="https://doi.org/10.2147/JMDH.S390948" TargetMode="External"/><Relationship Id="rId4" Type="http://schemas.openxmlformats.org/officeDocument/2006/relationships/footnotes" Target="footnotes.xml"/><Relationship Id="rId9" Type="http://schemas.openxmlformats.org/officeDocument/2006/relationships/hyperlink" Target="https://www.businessinsider.com/citis-fat-finger-blunder-81-trillion-jane-fraser-2025-2" TargetMode="External"/><Relationship Id="rId14" Type="http://schemas.openxmlformats.org/officeDocument/2006/relationships/hyperlink" Target="https://ieeexplore.ieee.org/abstract/document/9963959" TargetMode="External"/><Relationship Id="rId22" Type="http://schemas.openxmlformats.org/officeDocument/2006/relationships/hyperlink" Target="https://www.netsuite.com/portal/resource/articles/financial-management/data-challenges-financial-services.shtml" TargetMode="External"/><Relationship Id="rId27" Type="http://schemas.openxmlformats.org/officeDocument/2006/relationships/hyperlink" Target="http://www.ijstr.org/final-print/aug2015/Bank-Customers-Management-System.pdf" TargetMode="External"/><Relationship Id="rId30" Type="http://schemas.openxmlformats.org/officeDocument/2006/relationships/hyperlink" Target="https://www.sapfioneer.com/blog/poor-data-quality-in-banking-and-insurance/" TargetMode="External"/><Relationship Id="rId35" Type="http://schemas.openxmlformats.org/officeDocument/2006/relationships/fontTable" Target="fontTable.xml"/><Relationship Id="rId8" Type="http://schemas.openxmlformats.org/officeDocument/2006/relationships/hyperlink" Target="https://www.actian.com/transactional-databas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3157</Words>
  <Characters>17995</Characters>
  <Application>Microsoft Office Word</Application>
  <DocSecurity>0</DocSecurity>
  <Lines>149</Lines>
  <Paragraphs>42</Paragraphs>
  <ScaleCrop>false</ScaleCrop>
  <Company/>
  <LinksUpToDate>false</LinksUpToDate>
  <CharactersWithSpaces>21110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Creed P. Celindro</cp:lastModifiedBy>
  <cp:revision>2</cp:revision>
  <dcterms:created xsi:type="dcterms:W3CDTF">2026-04-30T08:23:00Z</dcterms:created>
  <dcterms:modified xsi:type="dcterms:W3CDTF">2026-04-30T08:24:00Z</dcterms:modified>
</cp:coreProperties>
</file>