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образовательное бюджетное учреждение</w:t>
        <w:br/>
        <w:t>высшего образования «Финансовый университет</w:t>
        <w:br/>
        <w:t>при Правительстве Российской Федерации»</w:t>
        <w:br/>
        <w:t>(Краснодарский филиал)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КОНТРОЛЬНАЯ РАБОТА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по дисциплине «Методы визуализации данных»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«Разработка макета информационной панели для анализа</w:t>
        <w:br/>
        <w:t>эффективности маркетплейса Ozon (Ozon Holdings PLC)»</w:t>
      </w:r>
    </w:p>
    <w:p/>
    <w:p/>
    <w:p/>
    <w:p/>
    <w:p>
      <w:pPr>
        <w:jc w:val="right"/>
      </w:pPr>
      <w:r>
        <w:rPr>
          <w:rFonts w:ascii="Times New Roman" w:hAnsi="Times New Roman" w:eastAsia="Times New Roman"/>
          <w:sz w:val="28"/>
        </w:rPr>
        <w:t>Студент группы ___________ ФИО</w:t>
        <w:br/>
        <w:t>__________________________</w:t>
        <w:br/>
        <w:br/>
        <w:t>Руководитель _____________</w:t>
        <w:br/>
      </w:r>
    </w:p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Краснодар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1. Постановка задачи для анализа данных</w:t>
      </w:r>
      <w:r>
        <w:tab/>
      </w:r>
      <w:r>
        <w:rPr>
          <w:rFonts w:ascii="Times New Roman" w:hAnsi="Times New Roman" w:eastAsia="Times New Roman"/>
          <w:sz w:val="28"/>
        </w:rPr>
        <w:t>3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2. Исходные данные и перечень KPI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3. Гипотезы и результаты исследования</w:t>
      </w:r>
      <w:r>
        <w:tab/>
      </w:r>
      <w:r>
        <w:rPr>
          <w:rFonts w:ascii="Times New Roman" w:hAnsi="Times New Roman" w:eastAsia="Times New Roman"/>
          <w:sz w:val="28"/>
        </w:rPr>
        <w:t>6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4. Методы визуализации</w:t>
      </w:r>
      <w:r>
        <w:tab/>
      </w:r>
      <w:r>
        <w:rPr>
          <w:rFonts w:ascii="Times New Roman" w:hAnsi="Times New Roman" w:eastAsia="Times New Roman"/>
          <w:sz w:val="28"/>
        </w:rPr>
        <w:t>7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5. Макет информационной панели</w:t>
      </w:r>
      <w:r>
        <w:tab/>
      </w:r>
      <w:r>
        <w:rPr>
          <w:rFonts w:ascii="Times New Roman" w:hAnsi="Times New Roman" w:eastAsia="Times New Roman"/>
          <w:sz w:val="28"/>
        </w:rPr>
        <w:t>8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6. Анализ персонала</w:t>
      </w:r>
      <w:r>
        <w:tab/>
      </w:r>
      <w:r>
        <w:rPr>
          <w:rFonts w:ascii="Times New Roman" w:hAnsi="Times New Roman" w:eastAsia="Times New Roman"/>
          <w:sz w:val="28"/>
        </w:rPr>
        <w:t>10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7. Выводы</w:t>
      </w:r>
      <w:r>
        <w:tab/>
      </w:r>
      <w:r>
        <w:rPr>
          <w:rFonts w:ascii="Times New Roman" w:hAnsi="Times New Roman" w:eastAsia="Times New Roman"/>
          <w:sz w:val="28"/>
        </w:rPr>
        <w:t>12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sz w:val="28"/>
        </w:rPr>
        <w:t>13</w:t>
      </w:r>
    </w:p>
    <w:p>
      <w:pPr>
        <w:tabs>
          <w:tab w:pos="8640" w:val="right"/>
        </w:tabs>
        <w:spacing w:line="360" w:lineRule="auto" w:after="120"/>
      </w:pPr>
      <w:r>
        <w:rPr>
          <w:rFonts w:ascii="Times New Roman" w:hAnsi="Times New Roman" w:eastAsia="Times New Roman"/>
          <w:sz w:val="28"/>
        </w:rPr>
        <w:t>Приложение А. Исходные данные и расчёт KPI</w:t>
      </w:r>
      <w:r>
        <w:tab/>
      </w:r>
      <w:r>
        <w:rPr>
          <w:rFonts w:ascii="Times New Roman" w:hAnsi="Times New Roman" w:eastAsia="Times New Roman"/>
          <w:sz w:val="28"/>
        </w:rPr>
        <w:t>14</w:t>
      </w:r>
    </w:p>
    <w:p>
      <w:r>
        <w:br w:type="page"/>
      </w:r>
    </w:p>
    <w:p>
      <w:pPr>
        <w:pStyle w:val="Heading1"/>
      </w:pPr>
      <w:r>
        <w:t>1. Постановка задачи для анализа данных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Ozon Holdings PLC (ПАО «Озон», MOEX: OZON) — крупнейший российский маркетплейс, основанный в 1998 году. Компания занимает лидирующие позиции в сегменте электронной коммерции России и стран СНГ, предоставляя платформу для продаж товаров и услуг.</w:t>
        <w:br/>
        <w:br/>
        <w:t>Миссия компании — создать экосистему цифровой торговли, объединяющую покупателей, продавцов и логистические сервисы на единой технологичной платформе.</w:t>
        <w:br/>
        <w:br/>
        <w:t>Стратегическая цель — укрепление лидерства на рынке электронной коммерции через масштабирование инфраструктуры, развитие технологий и повышение операционной эффективности.</w:t>
        <w:br/>
        <w:br/>
        <w:t>Для решения стратегических задач руководством было принято решение разработать макет информационной панели для анализа и оценки эффективности деятельности Ozon Holdings PLC.</w:t>
        <w:br/>
        <w:br/>
        <w:t>В качестве источников данных используются:</w:t>
        <w:br/>
        <w:t>• пресс-релизы по итогам финансовых годов (SEC EX-99.1, 2021–2022);</w:t>
        <w:br/>
        <w:t>• операционные и финансовые показатели по МСФО (financemarker, 2025);</w:t>
        <w:br/>
        <w:t>• корпоративный сайт для инвесторов (ir.ozon.com);</w:t>
        <w:br/>
        <w:t>• данные о численности персонала (SEC Form 20-F, macrotrends.net).</w:t>
        <w:br/>
        <w:br/>
        <w:t>Пользователями аналитической панели выступает высшее руководство компании и инвесторы.</w:t>
      </w:r>
    </w:p>
    <w:p>
      <w:r>
        <w:br w:type="page"/>
      </w:r>
    </w:p>
    <w:p>
      <w:pPr>
        <w:pStyle w:val="Heading1"/>
      </w:pPr>
      <w:r>
        <w:t>2. Исходные данные и перечень KPI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По результатам анализа источников данных выбраны следующие показатели эффективности (табл. 1).</w:t>
      </w:r>
    </w:p>
    <w:p>
      <w:pPr>
        <w:pStyle w:val="Heading2"/>
      </w:pPr>
      <w:r>
        <w:t>Таблица 1 — Исходные данные Ozon (2020–2024)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2020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2021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2022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2023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GMV, млрд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197,4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448,3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832,2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1 752,3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2 874,7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Заказы, млн шт.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73,9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223,3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465,4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965,7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1 471,0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Выручка, млрд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104,4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178,2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277,1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424,3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615,7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Активные покупатели, млн чел.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13,8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25,6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35,2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46,1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56,5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Adj EBITDA, млрд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−11,7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−41,2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−3,2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6,4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40,1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AOV,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2 671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2 008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1 788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1 815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1 954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Take rate,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52,89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39,75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33,30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24,21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21,42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Сотрудники, чел.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14 834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45 854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49 889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55 000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62 000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Примечание: данные из пресс-релизов Ozon (SEC EX-99.1, financemarker).</w:t>
      </w:r>
    </w:p>
    <w:p/>
    <w:p>
      <w:pPr>
        <w:pStyle w:val="Heading2"/>
      </w:pPr>
      <w:r>
        <w:t>Таблица 2 — Перечень KPI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118"/>
        <w:gridCol w:w="5953"/>
      </w:tblGrid>
      <w:tr>
        <w:tc>
          <w:tcPr>
            <w:tcW w:type="pct" w:w="2500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Наименование показателя</w:t>
            </w:r>
          </w:p>
        </w:tc>
        <w:tc>
          <w:tcPr>
            <w:tcW w:type="pct" w:w="2500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Цель показателя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GMV (Gross Merchandise Value)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Измерить общий товарооборот платформы. Цель — увеличение GMV через расширение ассортимента и аудитории.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Количество заказов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Оценить объём транзакций. Рост заказов свидетельствует о повышении вовлечённости покупателей.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Измерить монетизацию платформы. Цель — рост выручки при оптимизации take rate.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Активные покупатели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Оценить размер аудитории. Цель — привлечение новых и удержание существующих клиентов.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Adj EBITDA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Оценить операционную прибыльность. Цель — достижение устойчивой положительной EBITDA.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AOV (Average Order Value)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Измерить средний чек. Анализ динамики AOV позволяет оценить структуру спроса.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Take rate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Оценить уровень комиссии/монетизации GMV. Снижение take rate может быть стратегией масштабирования.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Численность персонала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Оценить масштаб организации. Анализ в связке с производительностью труда.</w:t>
            </w:r>
          </w:p>
        </w:tc>
      </w:tr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 на 1 сотрудника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Измерить производительность труда. Цель — рост при оптимизации штата.</w:t>
            </w:r>
          </w:p>
        </w:tc>
      </w:tr>
    </w:tbl>
    <w:p>
      <w:r>
        <w:br w:type="page"/>
      </w:r>
    </w:p>
    <w:p>
      <w:pPr>
        <w:pStyle w:val="Heading1"/>
      </w:pPr>
      <w:r>
        <w:t>5. Макет информационной панели</w:t>
      </w:r>
    </w:p>
    <w:p>
      <w:pPr>
        <w:jc w:val="both"/>
      </w:pPr>
      <w:r>
        <w:rPr>
          <w:rFonts w:ascii="Times New Roman" w:hAnsi="Times New Roman"/>
          <w:sz w:val="28"/>
        </w:rPr>
        <w:t>Макет информационной панели включает 9 визуализаций, объединённых в единый дашборд. Ниже представлены описания ключевых элементов панели.</w:t>
      </w:r>
    </w:p>
    <w:p>
      <w:pPr>
        <w:jc w:val="both"/>
      </w:pPr>
      <w:r>
        <w:rPr>
          <w:rFonts w:ascii="Times New Roman" w:hAnsi="Times New Roman"/>
          <w:sz w:val="28"/>
        </w:rPr>
        <w:t>Рис. 1. KPI-карточки (KPI Cards)</w:t>
        <w:br/>
        <w:t>В верхней части панели размещены 6 индикаторов с ключевыми показателями за 2024 год и динамикой vs 2023: GMV (2 874,7 млрд ₽, +64,1%), заказы (1 471,0 млн шт., +52,4%), выручка (615,7 млрд ₽, +45,1%), активные покупатели (56,5 млн чел., +22,6%), Adj EBITDA (40,1 млрд ₽, +526,6%), сотрудники (62 000 чел., +12,7%).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1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9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2. GMV и количество заказов</w:t>
        <w:br/>
        <w:t>Комбинированный график (bar + line, dual axis) демонстрирует синхронный рост GMV и заказов. Корреляция r = 0,998 подтверждает гипотезу H₁.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2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3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3. Выручка и take rate</w:t>
        <w:br/>
        <w:t>График показывает рост выручки (104,4 → 615,7 млрд ₽) на фоне снижения take rate (52,89% → 21,42%). Корреляция GMV×Выручка r = 0,995 подтверждает гипотезу H₂.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3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3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4. Adj EBITDA и EBITDA margin</w:t>
        <w:br/>
        <w:t>Визуализация перехода от убытков (−41,2 млрд ₽ в 2021) к прибыли (40,1 млрд ₽ в 2024). EBITDA margin выросла с −14,9% до +6,5%. Подтверждена гипотеза H₃.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4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3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5. Активные покупатели и метрики на 1 покупателя</w:t>
        <w:br/>
        <w:t>Два субплота: столбчатая диаграмма роста аудитории (13,8 → 56,5 млн) и линейный график метрик (выручка, заказы, GMV на покупателя).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5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05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6. Темпы роста ключевых показателей</w:t>
        <w:br/>
        <w:t>Линейный график с четырьмя кривыми роста (GMV, выручка, заказы, покупатели) демонстрирует динамику YoY.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6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3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7. Средний чек заказа (AOV)</w:t>
        <w:br/>
        <w:t>Столбчатая диаграмма с трендовой линией. AOV снизился с 2 671 ₽ (2020) до 1 954 ₽ (2024), что отражает смещение спроса в сторону товаров повседневного спроса.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7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05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8. Корреляционная матрица</w:t>
        <w:br/>
        <w:t>Тепловая карта (heatmap) показывает взаимосвязи между шестью ключевыми показателями. Наиболее сильные корреляции: GMV×Заказы (0,998), GMV×Выручка (0,995), GMV×Покупатели (0,987).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8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8"/>
        </w:rPr>
        <w:t>Рис. 9. Дашборд персонала</w:t>
        <w:br/>
        <w:t>Комплексная панель из 4 графиков (сетка 2×2): численность сотрудников, производительность труда (GMV и выручка на сотрудника), средняя зарплата, заказов на одного сотрудника.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 9 (см. график ниже)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42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lot(8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Анализ персонала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Анализ численности и производительности персонала Ozon представлен в табл. 3 и на рис. 9 информационной панели.</w:t>
        <w:br/>
        <w:br/>
        <w:t>Таблица 3 — Показатели персонала Ozon (2020–2024)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2020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2021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2022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2023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Сотрудники, чел.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14 834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45 854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49 889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55 000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62 000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персонала,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+209,2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+8,8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+10,2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+12,7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 на 1 сотрудника, тыс.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7 040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3 886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5 554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7 714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9 935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GMV на 1 сотрудника, тыс. руб.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13 307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9 777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16 681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31 860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46 366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Заказов на 1 сотрудника, шт.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4 982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4 870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9 329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17 558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23 726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Средняя зарплата, тыс. руб./год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545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515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520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580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650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Примечание: данные о численности — SEC Form 20-F; зарплата — оценка на основе OPEX.</w:t>
      </w:r>
    </w:p>
    <w:p/>
    <w:p>
      <w:pPr>
        <w:jc w:val="both"/>
      </w:pPr>
      <w:r>
        <w:rPr>
          <w:rFonts w:ascii="Times New Roman" w:hAnsi="Times New Roman" w:eastAsia="Times New Roman"/>
          <w:sz w:val="28"/>
        </w:rPr>
        <w:t>Ключевые выводы по персоналу:</w:t>
        <w:br/>
        <w:br/>
        <w:t>1. Масштабирование команды: численность выросла с 14 834 до 62 000 чел. (+318% за 5 лет). Наибольший скачок произошёл в 2021 году (+209,2%) в связи с экспансией логистической инфраструктуры.</w:t>
        <w:br/>
        <w:br/>
        <w:t>2. Рост производительности: несмотря на увеличение штата, выручка на одного сотрудника выросла с 7 040 тыс. руб. (2020) до 9 935 тыс. руб. (2024), что свидетельствует об эффективности автоматизации и оптимизации процессов.</w:t>
        <w:br/>
        <w:br/>
        <w:t>3. GMV на сотрудника увеличилась в 3,5 раза (13 307 → 46 366 тыс. руб.), заказов на сотрудника — в 4,8 раза (4 982 → 23 726 шт.), что подтверждает эффект масштаба.</w:t>
        <w:br/>
        <w:br/>
        <w:t>4. Средняя зарплата остаётся стабильной (515–650 тыс. руб./год) с умеренным ростом, отражающим инфляционную индексацию и конъюнктуру рынка труда в e-commerce.</w:t>
      </w:r>
    </w:p>
    <w:p>
      <w:r>
        <w:br w:type="page"/>
      </w:r>
    </w:p>
    <w:p>
      <w:pPr>
        <w:pStyle w:val="Heading1"/>
      </w:pPr>
      <w:r>
        <w:t>7. Выводы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основе анализа реальных данных Ozon Holdings PLC (2020–2024) сформулированы следующие выводы:</w:t>
        <w:br/>
        <w:br/>
        <w:t>1. Масштабный рост платформы подтверждён: GMV вырос в 14,6 раза (197,4 → 2 874,7 млрд ₽), заказы — в 19,9 раза (73,9 → 1 471,0 млн шт.), аудитория — в 4,1 раза (13,8 → 56,5 млн покупателей).</w:t>
        <w:br/>
        <w:br/>
        <w:t>2. Все гипотезы подтверждены:</w:t>
        <w:br/>
        <w:t xml:space="preserve">   • H₁: GMV и заказы коррелируют с r = 0,998 — рост товарооборота обеспечивается увеличением транзакций.</w:t>
        <w:br/>
        <w:t xml:space="preserve">   • H₂: GMV и выручка коррелируют с r = 0,995 — монетизация растёт пропорционально обороту при снижении take rate (52,89% → 21,42%).</w:t>
        <w:br/>
        <w:t xml:space="preserve">   • H₃: Компания достигла операционной прибыльности с 2023 года (Adj EBITDA 6,4 → 40,1 млрд ₽).</w:t>
        <w:br/>
        <w:t xml:space="preserve">   • H₄: Рост персонала (+318%) сопровождается ростом производительности труда (+41% выручки на сотрудника).</w:t>
        <w:br/>
        <w:br/>
        <w:t>3. Стратегия масштабирования характеризуется снижением unit-экономики (take rate, AOV) в пользу роста объёмов и доли рынка. Это типичная стратегия для платформенного бизнеса на стадии экспансии.</w:t>
        <w:br/>
        <w:br/>
        <w:t>4. Разработанный макет информационной панели включает 9 интерактивных визуализаций, охватывающих финансовые показатели, операционные метрики и анализ персонала. Панель позволяет высшему руководству оперативно оценивать динамику бизнеса и принимать управленческие решения.</w:t>
        <w:br/>
        <w:br/>
        <w:t>5. Рекомендации для дальнейшего развития:</w:t>
        <w:br/>
        <w:t xml:space="preserve">   • увеличить долю высокомаржинальных категорий для стабилизации take rate;</w:t>
        <w:br/>
        <w:t xml:space="preserve">   • развивать программы лояльности и кросс-сейл для повышения AOV;</w:t>
        <w:br/>
        <w:t xml:space="preserve">   • инвестировать в автоматизацию логистики и складов для роста EBITDA margin;</w:t>
        <w:br/>
        <w:t xml:space="preserve">   • оптимизировать штат при сохранении темпов роста производительности труда.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1. Ozon Holdings PLC. Full Year 2021 Results. SEC EX-99.1, 2 мая 2022. — URL: https://www.sec.gov/Archives/edgar/data/1822829/000119312522136419/d676447dex991.htm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2. Ozon Holdings PLC. Full Year 2022 Results. SEC EX-99.1, 2023. — URL: https://www.sec.gov/Archives/edgar/data/1822829/000119312523114708/d458700dex991.htm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3. Ozon. Пресс-релиз по итогам 2024 г. — URL: https://financemarker.ru/cdn/?file_id=L3JlcG9ydHMvMjAyNC9NT0VYL08vT1pPTl8yMDI0XzEyX1lfJUQwJTlDJUQwJUExJUQwJUE0JUQwJTlFX3ByZXNzLnBkZg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4. Инвесторский сайт Ozon Holdings PLC. — URL: https://ir.ozon.com/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5. Реестр эмитента MOEX (тикер OZON). — URL: https://www.moex.com/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6. Ozon number of employees 2020–2024. Macrotrends. — URL: https://www.macrotrends.net/stocks/charts/OZON/ozon/number-of-employees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7. Ozon Holdings PLC. Annual Report 2021 (Form 20-F). SEC, 2022.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Times New Roman"/>
          <w:sz w:val="24"/>
        </w:rPr>
        <w:t>8. Методические указания по выполнению контрольной работы. Финансовый университет, Краснодар, 2026.</w:t>
      </w:r>
    </w:p>
    <w:p>
      <w:r>
        <w:br w:type="page"/>
      </w:r>
    </w:p>
    <w:p>
      <w:pPr>
        <w:pStyle w:val="Heading1"/>
      </w:pPr>
      <w:r>
        <w:t>Приложение А</w:t>
      </w:r>
    </w:p>
    <w:p>
      <w:pPr>
        <w:pStyle w:val="Heading2"/>
      </w:pPr>
      <w:r>
        <w:t>Исходные данные и расчёт показателей эффективности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настоящем приложении представлены исходные данные и расчётные показатели, использованные при разработке макета информационной панели.</w:t>
        <w:br/>
        <w:br/>
        <w:t>Таблица А.1 — Исходные данные (полная выборка)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Год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GMV, млрд 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Заказы, млн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Выручка, млрд 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Покупатели, млн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EBITDA, млрд 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AOV, ₽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Take rate, %</w:t>
            </w:r>
          </w:p>
        </w:tc>
        <w:tc>
          <w:tcPr>
            <w:tcW w:type="pct" w:w="555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Сотрудники, чел.</w:t>
            </w:r>
          </w:p>
        </w:tc>
      </w:tr>
      <w:tr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2020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197,4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73,9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104,4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13,8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−11,7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2 671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52,89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14 834</w:t>
            </w:r>
          </w:p>
        </w:tc>
      </w:tr>
      <w:tr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2021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448,3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223,3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178,2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25,6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−41,2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2 008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39,75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45 854</w:t>
            </w:r>
          </w:p>
        </w:tc>
      </w:tr>
      <w:tr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2022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832,2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465,4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277,1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35,2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−3,2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1 788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33,30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49 889</w:t>
            </w:r>
          </w:p>
        </w:tc>
      </w:tr>
      <w:tr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2023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1 752,3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965,7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424,3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46,1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6,4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1 815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24,21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55 000</w:t>
            </w:r>
          </w:p>
        </w:tc>
      </w:tr>
      <w:tr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2024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2 874,7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1 471,0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615,7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56,5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40,1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1 954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21,42</w:t>
            </w:r>
          </w:p>
        </w:tc>
        <w:tc>
          <w:tcPr>
            <w:tcW w:type="pct" w:w="55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62 000</w:t>
            </w:r>
          </w:p>
        </w:tc>
      </w:tr>
    </w:tbl>
    <w:p/>
    <w:p>
      <w:r>
        <w:rPr>
          <w:rFonts w:ascii="Times New Roman" w:hAnsi="Times New Roman" w:eastAsia="Times New Roman"/>
          <w:sz w:val="28"/>
        </w:rPr>
        <w:t>Таблица А.2 — Расчётные показатели (KPI)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2020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2021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2022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2023</w:t>
            </w:r>
          </w:p>
        </w:tc>
        <w:tc>
          <w:tcPr>
            <w:tcW w:type="pct" w:w="833"/>
            <w:shd w:fill="1F4E78" w:val="clea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2024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GMV,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+127,1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+85,6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+110,5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+64,1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выручки,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+70,7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+55,5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+53,1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+45,1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заказов,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+202,2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+108,4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+107,5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+52,4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покупателей,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+85,5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+37,5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+31,0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+22,6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 на 1 покупателя, тыс. ₽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7,565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6,961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7,873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9,204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10,898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Заказов на 1 покупателя, шт.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5,36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8,72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13,22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20,95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26,04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GMV на 1 покупателя, тыс. ₽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14,304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17,512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23,642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38,011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50,880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EBITDA margin,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−11,21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−23,12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−1,15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+1,51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+6,51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Динамика AOV,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−24,8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−11,0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+1,5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+7,7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Темп роста персонала, %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+209,2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+8,8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+10,2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+12,7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Выручка на 1 сотрудника, тыс. ₽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7 040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3 886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5 554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7 714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9 935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GMV на 1 сотрудника, тыс. ₽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13 307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9 777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16 681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31 860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46 366</w:t>
            </w:r>
          </w:p>
        </w:tc>
      </w:tr>
      <w:tr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Заказов на 1 сотрудника, шт.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4 982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4 870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9 329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17 558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23 726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i/>
          <w:sz w:val="22"/>
        </w:rPr>
        <w:t>Примечание: расчётные показатели получены на основе исходных данных по формулам, представленным в файле Ozon_KPI_2020_2024.xlsx.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