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7F89" w:rsidRDefault="000D6C81">
      <w:pPr>
        <w:jc w:val="both"/>
        <w:rPr>
          <w:rFonts w:ascii="Bookman Old Style" w:eastAsia="Bookman Old Style" w:hAnsi="Bookman Old Style" w:cs="Bookman Old Style"/>
          <w:b/>
        </w:rPr>
      </w:pPr>
      <w:r>
        <w:t xml:space="preserve">                                                                                                                             </w:t>
      </w:r>
    </w:p>
    <w:p w14:paraId="00000002" w14:textId="77777777" w:rsidR="00437F89" w:rsidRDefault="00437F89">
      <w:pPr>
        <w:spacing w:line="240" w:lineRule="auto"/>
        <w:jc w:val="both"/>
        <w:rPr>
          <w:rFonts w:ascii="Times New Roman" w:eastAsia="Times New Roman" w:hAnsi="Times New Roman" w:cs="Times New Roman"/>
          <w:b/>
          <w:sz w:val="24"/>
          <w:szCs w:val="24"/>
        </w:rPr>
      </w:pPr>
    </w:p>
    <w:p w14:paraId="00000003" w14:textId="77777777" w:rsidR="00437F89" w:rsidRDefault="00437F89">
      <w:pPr>
        <w:spacing w:line="240" w:lineRule="auto"/>
        <w:jc w:val="both"/>
        <w:rPr>
          <w:rFonts w:ascii="Times New Roman" w:eastAsia="Times New Roman" w:hAnsi="Times New Roman" w:cs="Times New Roman"/>
          <w:b/>
          <w:sz w:val="24"/>
          <w:szCs w:val="24"/>
        </w:rPr>
      </w:pPr>
    </w:p>
    <w:p w14:paraId="00000004" w14:textId="77777777" w:rsidR="00437F89" w:rsidRDefault="000D6C8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DELEGATE NAME: </w:t>
      </w:r>
      <w:r>
        <w:rPr>
          <w:rFonts w:ascii="Times New Roman" w:eastAsia="Times New Roman" w:hAnsi="Times New Roman" w:cs="Times New Roman"/>
          <w:sz w:val="24"/>
          <w:szCs w:val="24"/>
        </w:rPr>
        <w:t>NITYA JOSHI</w:t>
      </w:r>
    </w:p>
    <w:p w14:paraId="00000005" w14:textId="77777777" w:rsidR="00437F89" w:rsidRDefault="000D6C8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COUNTRY:</w:t>
      </w:r>
      <w:r>
        <w:rPr>
          <w:rFonts w:ascii="Times New Roman" w:eastAsia="Times New Roman" w:hAnsi="Times New Roman" w:cs="Times New Roman"/>
          <w:sz w:val="24"/>
          <w:szCs w:val="24"/>
        </w:rPr>
        <w:t xml:space="preserve"> UGANDA</w:t>
      </w:r>
    </w:p>
    <w:p w14:paraId="00000006" w14:textId="77777777" w:rsidR="00437F89" w:rsidRDefault="000D6C8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INSTITUTION:</w:t>
      </w:r>
      <w:r>
        <w:rPr>
          <w:rFonts w:ascii="Times New Roman" w:eastAsia="Times New Roman" w:hAnsi="Times New Roman" w:cs="Times New Roman"/>
          <w:sz w:val="24"/>
          <w:szCs w:val="24"/>
        </w:rPr>
        <w:t xml:space="preserve"> INDIAN SCHOOL BOUSHER</w:t>
      </w:r>
    </w:p>
    <w:p w14:paraId="00000007" w14:textId="037C54AD" w:rsidR="00437F89" w:rsidRDefault="000D6C81">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TOPIC: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Providing Stable Medical Supplies</w:t>
      </w:r>
      <w:r w:rsidR="007310F3">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to Regions in Need</w:t>
      </w:r>
    </w:p>
    <w:p w14:paraId="00000008" w14:textId="4BC41EA3" w:rsidR="00437F89" w:rsidRDefault="000D6C81">
      <w:pP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b/>
          <w:i/>
          <w:sz w:val="24"/>
          <w:szCs w:val="24"/>
        </w:rPr>
        <w:t xml:space="preserve">Some people think that being in a government for a long time is a bad thing. But the more you stay, the more you learn. I am now an expert in </w:t>
      </w:r>
      <w:proofErr w:type="gramStart"/>
      <w:r w:rsidR="007310F3">
        <w:rPr>
          <w:rFonts w:ascii="Times New Roman" w:eastAsia="Times New Roman" w:hAnsi="Times New Roman" w:cs="Times New Roman"/>
          <w:b/>
          <w:i/>
          <w:sz w:val="24"/>
          <w:szCs w:val="24"/>
        </w:rPr>
        <w:t>governance</w:t>
      </w:r>
      <w:r w:rsidR="007310F3">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i/>
          <w:color w:val="000000"/>
          <w:sz w:val="24"/>
          <w:szCs w:val="24"/>
        </w:rPr>
        <w:t xml:space="preserve"> </w:t>
      </w:r>
      <w:proofErr w:type="gramEnd"/>
      <w:r>
        <w:rPr>
          <w:rFonts w:ascii="Times New Roman" w:eastAsia="Times New Roman" w:hAnsi="Times New Roman" w:cs="Times New Roman"/>
          <w:b/>
          <w:i/>
          <w:color w:val="000000"/>
          <w:sz w:val="24"/>
          <w:szCs w:val="24"/>
        </w:rPr>
        <w:t xml:space="preserve">                            The </w:t>
      </w:r>
      <w:r>
        <w:rPr>
          <w:rFonts w:ascii="Times New Roman" w:eastAsia="Times New Roman" w:hAnsi="Times New Roman" w:cs="Times New Roman"/>
          <w:b/>
          <w:i/>
          <w:sz w:val="24"/>
          <w:szCs w:val="24"/>
        </w:rPr>
        <w:t>incumbent Yoweri Museveni</w:t>
      </w:r>
      <w:r>
        <w:rPr>
          <w:rFonts w:ascii="Times New Roman" w:eastAsia="Times New Roman" w:hAnsi="Times New Roman" w:cs="Times New Roman"/>
          <w:b/>
          <w:i/>
          <w:color w:val="000000"/>
          <w:sz w:val="24"/>
          <w:szCs w:val="24"/>
        </w:rPr>
        <w:t xml:space="preserve">                                                                                                  </w:t>
      </w:r>
    </w:p>
    <w:p w14:paraId="00000009" w14:textId="77777777" w:rsidR="00437F89" w:rsidRDefault="00437F89">
      <w:pPr>
        <w:spacing w:after="0" w:line="276" w:lineRule="auto"/>
        <w:jc w:val="both"/>
        <w:rPr>
          <w:rFonts w:ascii="Times New Roman" w:eastAsia="Times New Roman" w:hAnsi="Times New Roman" w:cs="Times New Roman"/>
          <w:color w:val="202124"/>
          <w:sz w:val="24"/>
          <w:szCs w:val="24"/>
          <w:highlight w:val="white"/>
        </w:rPr>
      </w:pPr>
    </w:p>
    <w:p w14:paraId="0000000A" w14:textId="77777777" w:rsidR="00437F89" w:rsidRDefault="000D6C8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 has undertaken initiatives such as implementing the National Community Health Strategy, aimed at enhancing access to community-level health promotion and prevention programs. This strategy is designed to promote equity, inclusion, and responsiveness to the needs of all citizens, including marginalized and vulnerable groups, ensuring that no one is left behind. By doing so, it aims to alleviate the workload and economic burdens on the health sector often caused by insufficient funding.</w:t>
      </w:r>
    </w:p>
    <w:p w14:paraId="0000000B" w14:textId="77777777" w:rsidR="00437F89" w:rsidRDefault="000D6C81">
      <w:pPr>
        <w:spacing w:after="0" w:line="276"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 xml:space="preserve">UNICEF, officially known as the United Nations Children's Fund, maintains a significant presence and actively participates in Uganda, working diligently to enhance the well-being of children and families throughout the nation. </w:t>
      </w:r>
      <w:r>
        <w:rPr>
          <w:rFonts w:ascii="Times New Roman" w:eastAsia="Times New Roman" w:hAnsi="Times New Roman" w:cs="Times New Roman"/>
          <w:color w:val="0D0D0D"/>
          <w:sz w:val="24"/>
          <w:szCs w:val="24"/>
          <w:highlight w:val="white"/>
        </w:rPr>
        <w:t xml:space="preserve">UNICEF provides crucial support to children and families impacted by conflicts, disease outbreaks, and disasters by deploying a wide range of supplies, including medical equipment, sanitation kits, and </w:t>
      </w:r>
      <w:r>
        <w:rPr>
          <w:rFonts w:ascii="Times New Roman" w:eastAsia="Times New Roman" w:hAnsi="Times New Roman" w:cs="Times New Roman"/>
          <w:color w:val="0D0D0D"/>
          <w:sz w:val="24"/>
          <w:szCs w:val="24"/>
        </w:rPr>
        <w:t>temporary learning facilities.</w:t>
      </w:r>
    </w:p>
    <w:p w14:paraId="0000000C" w14:textId="77777777" w:rsidR="00437F89" w:rsidRDefault="00437F89">
      <w:pPr>
        <w:spacing w:after="0" w:line="276" w:lineRule="auto"/>
        <w:jc w:val="both"/>
        <w:rPr>
          <w:rFonts w:ascii="Times New Roman" w:eastAsia="Times New Roman" w:hAnsi="Times New Roman" w:cs="Times New Roman"/>
          <w:color w:val="0D0D0D"/>
          <w:sz w:val="24"/>
          <w:szCs w:val="24"/>
        </w:rPr>
      </w:pPr>
    </w:p>
    <w:p w14:paraId="0000000D" w14:textId="77777777" w:rsidR="00437F89" w:rsidRDefault="000D6C8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Uganda Health Supply Chain (UHSC) program, supported by the US Agency for International Development (USAID), is dedicated to aiding the Government of Uganda in enhancing the health outcomes of its population. This initiative seeks to boost the availability, affordability, accessibility, and proper utilization of high-quality essential medicines and health supplies (EMHS).</w:t>
      </w:r>
    </w:p>
    <w:p w14:paraId="0000000E" w14:textId="77777777" w:rsidR="00437F89" w:rsidRDefault="000D6C8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 manufacture, export, and supply of medical devices in Uganda are governed by the National Drug Authority to ensure public health protection. This regulation falls under Ministerial Decree ADM.140/323/01 issued on 20th July 2020 and Statutory Instrument No.77 of the Surgical Instruments and Appliances Regulation 2019, which specifically regulates medical devices.</w:t>
      </w:r>
    </w:p>
    <w:p w14:paraId="0000000F" w14:textId="77777777" w:rsidR="00437F89" w:rsidRDefault="000D6C8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Uganda, health expenditure declined from 5.1% of the gross domestic product (GDP) in 2000 to 3.8% in 2019, indicating a decreasing emphasis on health by the government and a failure to meet the internationally recognized target of at least 5%. Despite the official elimination of user fees for healthcare in 2001, significant out-of-pocket expenses persist, largely due to informal payments. Moreover, the perceived lower quality of public healthcare in Uganda prompts many individuals to opt for private sector services despite the higher out-of-pocket expenses incurred.</w:t>
      </w:r>
    </w:p>
    <w:p w14:paraId="00000010" w14:textId="77777777" w:rsidR="00437F89" w:rsidRDefault="00437F89">
      <w:pPr>
        <w:spacing w:after="0" w:line="276" w:lineRule="auto"/>
        <w:jc w:val="both"/>
        <w:rPr>
          <w:rFonts w:ascii="Times New Roman" w:eastAsia="Times New Roman" w:hAnsi="Times New Roman" w:cs="Times New Roman"/>
          <w:sz w:val="24"/>
          <w:szCs w:val="24"/>
        </w:rPr>
      </w:pPr>
    </w:p>
    <w:p w14:paraId="00000011" w14:textId="77777777" w:rsidR="00437F89" w:rsidRDefault="000D6C8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ideas that can be implemented to combat the problem of the distribution of medical supplies are:</w:t>
      </w:r>
    </w:p>
    <w:p w14:paraId="00000012" w14:textId="77777777" w:rsidR="00437F89" w:rsidRDefault="000D6C81">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Promoting Production Capacities: Fostering investment in local medical manufacturing capabilities and facilitating the transfer of technology to different regions.</w:t>
      </w:r>
    </w:p>
    <w:p w14:paraId="00000013" w14:textId="77777777" w:rsidR="00437F89" w:rsidRDefault="000D6C81">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Distribution Channels: Enhancing logistics and distribution networks is crucial for ensuring the effective and fair distribution of medical supplies to remote and underserved regions.</w:t>
      </w:r>
    </w:p>
    <w:p w14:paraId="00000014" w14:textId="77777777" w:rsidR="00437F89" w:rsidRDefault="000D6C81">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Fostering Collaboration and Cooperation: Encouraging international cooperation and collaboration among governments, non-governmental organizations, and private sector entities is essential for pooling resources, exchanging expertise, and tackling supply chain challenges effectively.</w:t>
      </w:r>
    </w:p>
    <w:p w14:paraId="00000015" w14:textId="77777777" w:rsidR="00437F89" w:rsidRDefault="000D6C81">
      <w:pPr>
        <w:numPr>
          <w:ilvl w:val="0"/>
          <w:numId w:val="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Investing in Healthcare Infrastructure: Supporting the development and strengthening of healthcare infrastructure in regions in need is essential for ensuring the effective utilization and sustainability of medical supplies.</w:t>
      </w:r>
    </w:p>
    <w:p w14:paraId="00000016" w14:textId="77777777" w:rsidR="00437F89" w:rsidRDefault="000D6C81">
      <w:pPr>
        <w:spacing w:after="0"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BIBLIOGRAPHY</w:t>
      </w:r>
    </w:p>
    <w:p w14:paraId="00000017"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6">
        <w:r w:rsidR="000D6C81">
          <w:rPr>
            <w:rFonts w:ascii="Times New Roman" w:eastAsia="Times New Roman" w:hAnsi="Times New Roman" w:cs="Times New Roman"/>
            <w:color w:val="1155CC"/>
            <w:sz w:val="24"/>
            <w:szCs w:val="24"/>
            <w:u w:val="single"/>
          </w:rPr>
          <w:t>https://www.ncbi.nlm.nih.gov/pmc/articles/PMC10125088/</w:t>
        </w:r>
      </w:hyperlink>
    </w:p>
    <w:p w14:paraId="00000018"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7">
        <w:r w:rsidR="000D6C81">
          <w:rPr>
            <w:rFonts w:ascii="Times New Roman" w:eastAsia="Times New Roman" w:hAnsi="Times New Roman" w:cs="Times New Roman"/>
            <w:color w:val="1155CC"/>
            <w:sz w:val="24"/>
            <w:szCs w:val="24"/>
            <w:u w:val="single"/>
          </w:rPr>
          <w:t>https://www.healthcare-outlook.com/healthcare-supply-chain/national-medical-stores-keeping-uganda-in-good-health</w:t>
        </w:r>
      </w:hyperlink>
    </w:p>
    <w:p w14:paraId="00000019"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8">
        <w:r w:rsidR="000D6C81">
          <w:rPr>
            <w:rFonts w:ascii="Times New Roman" w:eastAsia="Times New Roman" w:hAnsi="Times New Roman" w:cs="Times New Roman"/>
            <w:color w:val="1155CC"/>
            <w:sz w:val="24"/>
            <w:szCs w:val="24"/>
            <w:u w:val="single"/>
          </w:rPr>
          <w:t>https://www.longdom.org/open-access/availability-of-essential-medicines-and-supplies-during-the-dual-pullpush-system-of-drugs-acquisition-in-kaliro-district-34382.html</w:t>
        </w:r>
      </w:hyperlink>
    </w:p>
    <w:p w14:paraId="0000001A"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9">
        <w:r w:rsidR="000D6C81">
          <w:rPr>
            <w:rFonts w:ascii="Times New Roman" w:eastAsia="Times New Roman" w:hAnsi="Times New Roman" w:cs="Times New Roman"/>
            <w:color w:val="1155CC"/>
            <w:sz w:val="24"/>
            <w:szCs w:val="24"/>
            <w:u w:val="single"/>
          </w:rPr>
          <w:t>https://www.ncbi.nlm.nih.gov/pmc/articles/PMC9533292/</w:t>
        </w:r>
      </w:hyperlink>
    </w:p>
    <w:p w14:paraId="0000001B"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10" w:anchor=":~:text=Medical%20devices%20are%20regulated%20under,importing%20or%20supplying%20medical%20devices.">
        <w:r w:rsidR="000D6C81">
          <w:rPr>
            <w:rFonts w:ascii="Times New Roman" w:eastAsia="Times New Roman" w:hAnsi="Times New Roman" w:cs="Times New Roman"/>
            <w:color w:val="1155CC"/>
            <w:sz w:val="24"/>
            <w:szCs w:val="24"/>
            <w:u w:val="single"/>
          </w:rPr>
          <w:t>https://www.nda.or.ug/medical-devices/#:~:text=Medical%20devices%20are%20regulated%20under,importing%20or%20supplying%20medical%20devices.#</w:t>
        </w:r>
      </w:hyperlink>
    </w:p>
    <w:p w14:paraId="0000001C"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11">
        <w:r w:rsidR="000D6C81">
          <w:rPr>
            <w:rFonts w:ascii="Times New Roman" w:eastAsia="Times New Roman" w:hAnsi="Times New Roman" w:cs="Times New Roman"/>
            <w:color w:val="1155CC"/>
            <w:sz w:val="24"/>
            <w:szCs w:val="24"/>
            <w:u w:val="single"/>
          </w:rPr>
          <w:t>https://www.nda.or.ug/wp-content/uploads/2023/09/INS-GDL-001_Part-1_GMP-Guidelines-for-Medicinal-Products_R4.pdf</w:t>
        </w:r>
      </w:hyperlink>
    </w:p>
    <w:p w14:paraId="0000001D" w14:textId="77777777" w:rsidR="00437F89" w:rsidRDefault="007310F3">
      <w:pPr>
        <w:numPr>
          <w:ilvl w:val="0"/>
          <w:numId w:val="2"/>
        </w:numPr>
        <w:spacing w:after="0" w:line="276" w:lineRule="auto"/>
        <w:jc w:val="both"/>
        <w:rPr>
          <w:rFonts w:ascii="Times New Roman" w:eastAsia="Times New Roman" w:hAnsi="Times New Roman" w:cs="Times New Roman"/>
          <w:sz w:val="24"/>
          <w:szCs w:val="24"/>
        </w:rPr>
      </w:pPr>
      <w:hyperlink r:id="rId12">
        <w:r w:rsidR="000D6C81">
          <w:rPr>
            <w:rFonts w:ascii="Times New Roman" w:eastAsia="Times New Roman" w:hAnsi="Times New Roman" w:cs="Times New Roman"/>
            <w:color w:val="1155CC"/>
            <w:sz w:val="24"/>
            <w:szCs w:val="24"/>
            <w:u w:val="single"/>
          </w:rPr>
          <w:t>https://pdf.usaid.gov/pdf_docs/PA00WZZ5.pdf</w:t>
        </w:r>
      </w:hyperlink>
    </w:p>
    <w:p w14:paraId="0000001E" w14:textId="77777777" w:rsidR="00437F89" w:rsidRDefault="00437F89">
      <w:pPr>
        <w:spacing w:after="0" w:line="276" w:lineRule="auto"/>
        <w:ind w:left="720"/>
        <w:jc w:val="both"/>
        <w:rPr>
          <w:rFonts w:ascii="Times New Roman" w:eastAsia="Times New Roman" w:hAnsi="Times New Roman" w:cs="Times New Roman"/>
          <w:sz w:val="24"/>
          <w:szCs w:val="24"/>
          <w:u w:val="single"/>
        </w:rPr>
      </w:pPr>
    </w:p>
    <w:p w14:paraId="0000001F" w14:textId="77777777" w:rsidR="00437F89" w:rsidRDefault="00437F89">
      <w:pPr>
        <w:spacing w:after="0" w:line="276" w:lineRule="auto"/>
        <w:ind w:left="720"/>
        <w:jc w:val="both"/>
        <w:rPr>
          <w:rFonts w:ascii="Times New Roman" w:eastAsia="Times New Roman" w:hAnsi="Times New Roman" w:cs="Times New Roman"/>
          <w:sz w:val="24"/>
          <w:szCs w:val="24"/>
          <w:u w:val="single"/>
        </w:rPr>
      </w:pPr>
    </w:p>
    <w:sectPr w:rsidR="00437F89">
      <w:pgSz w:w="11906" w:h="16838"/>
      <w:pgMar w:top="540" w:right="566" w:bottom="54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23CFB"/>
    <w:multiLevelType w:val="multilevel"/>
    <w:tmpl w:val="4F168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D26FD"/>
    <w:multiLevelType w:val="multilevel"/>
    <w:tmpl w:val="C2BC2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89"/>
    <w:rsid w:val="000D6C81"/>
    <w:rsid w:val="00437F89"/>
    <w:rsid w:val="007310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4008"/>
  <w15:docId w15:val="{994BE168-43FD-47BF-83E0-0457FE65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D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94F19"/>
    <w:rPr>
      <w:color w:val="0000FF"/>
      <w:u w:val="single"/>
    </w:rPr>
  </w:style>
  <w:style w:type="character" w:styleId="UnresolvedMention">
    <w:name w:val="Unresolved Mention"/>
    <w:basedOn w:val="DefaultParagraphFont"/>
    <w:uiPriority w:val="99"/>
    <w:semiHidden/>
    <w:unhideWhenUsed/>
    <w:rsid w:val="00894F19"/>
    <w:rPr>
      <w:color w:val="605E5C"/>
      <w:shd w:val="clear" w:color="auto" w:fill="E1DFDD"/>
    </w:rPr>
  </w:style>
  <w:style w:type="paragraph" w:styleId="Header">
    <w:name w:val="header"/>
    <w:basedOn w:val="Normal"/>
    <w:link w:val="HeaderChar"/>
    <w:uiPriority w:val="99"/>
    <w:unhideWhenUsed/>
    <w:rsid w:val="0027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66D"/>
  </w:style>
  <w:style w:type="paragraph" w:styleId="Footer">
    <w:name w:val="footer"/>
    <w:basedOn w:val="Normal"/>
    <w:link w:val="FooterChar"/>
    <w:uiPriority w:val="99"/>
    <w:unhideWhenUsed/>
    <w:rsid w:val="0027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66D"/>
  </w:style>
  <w:style w:type="paragraph" w:styleId="ListParagraph">
    <w:name w:val="List Paragraph"/>
    <w:basedOn w:val="Normal"/>
    <w:uiPriority w:val="34"/>
    <w:qFormat/>
    <w:rsid w:val="00596AC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ongdom.org/open-access/availability-of-essential-medicines-and-supplies-during-the-dual-pullpush-system-of-drugs-acquisition-in-kaliro-district-3438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care-outlook.com/healthcare-supply-chain/national-medical-stores-keeping-uganda-in-good-health" TargetMode="External"/><Relationship Id="rId12" Type="http://schemas.openxmlformats.org/officeDocument/2006/relationships/hyperlink" Target="https://pdf.usaid.gov/pdf_docs/PA00WZZ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10125088/" TargetMode="External"/><Relationship Id="rId11" Type="http://schemas.openxmlformats.org/officeDocument/2006/relationships/hyperlink" Target="https://www.nda.or.ug/wp-content/uploads/2023/09/INS-GDL-001_Part-1_GMP-Guidelines-for-Medicinal-Products_R4.pdf" TargetMode="External"/><Relationship Id="rId5" Type="http://schemas.openxmlformats.org/officeDocument/2006/relationships/webSettings" Target="webSettings.xml"/><Relationship Id="rId10" Type="http://schemas.openxmlformats.org/officeDocument/2006/relationships/hyperlink" Target="https://www.nda.or.ug/medical-devices/" TargetMode="External"/><Relationship Id="rId4" Type="http://schemas.openxmlformats.org/officeDocument/2006/relationships/settings" Target="settings.xml"/><Relationship Id="rId9" Type="http://schemas.openxmlformats.org/officeDocument/2006/relationships/hyperlink" Target="https://www.ncbi.nlm.nih.gov/pmc/articles/PMC95332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kTCtqhq5uoE1V/GjJ1HilyjKA==">CgMxLjA4AHIhMXNLdVdONU1HYmtzUFJvaFRySjNjY1dwaE16eE1sOTdD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Jithesh Ramachandran</dc:creator>
  <cp:lastModifiedBy>Abha Joshi</cp:lastModifiedBy>
  <cp:revision>3</cp:revision>
  <dcterms:created xsi:type="dcterms:W3CDTF">2024-04-06T08:49:00Z</dcterms:created>
  <dcterms:modified xsi:type="dcterms:W3CDTF">2024-04-06T08:50:00Z</dcterms:modified>
</cp:coreProperties>
</file>