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Michael Alves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The Syria Arab Republic</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 United Nations Office for Outer Space Affairs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 The role of AI in space exploration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(AI) stands as a pivotal tool in the realm of space exploration, offering profound insights and innovative solutions to unravel the mysteries of the cosmos. Despite the challenges faced, Syria acknowledges the importance of AI in space exploration and seeks to contribute meaningfully to this endeavor. The United Nations' initiatives, particularly through the Committee on the Peaceful Uses of Outer Space (COPUOS), provide a platform for collaboration and discussion on the ethical and practical implications of AI in space exploration, fostering global cooperation towards this shared goal.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Laws, Policies, and Impact: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Syria, while there is a burgeoning interest in AI applications, resources allocated to space exploration are limited due to pressing domestic priorities. Nevertheless, the country recognizes the potential of AI in enhancing its space capabilities. Syria's laws and policies regarding AI in space exploration are still in nascent stages, reflecting the need for further development and integration into broader national strategies. Syria acknowledges the importance of developing comprehensive laws and policies to regulate AI in space exploration, ensuring responsible and equitable participation in the global space community.</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Solutions: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Amidst resource constraints, Syria explores unique solutions to maximize the benefits of AI in space exploration. One such approach involves leveraging AI for data analysis and interpretation from ground-based observatories. By utilizing AI algorithms to process astronomical data, Syria aims to contribute valuable insights into celestial phenomena, despite limitations in space infrastructure.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Syria seeks to foster international partnerships and collaborations to access AI technologies and expertise. By engaging with global space agencies and research institutions, Syria endeavors to leverage shared resources and knowledge to enhance its space exploration capabilities. Through collaborative efforts, Syria aims to overcome challenges and capitalize on the transformative potential of AI in space exploration, contributing to humanity's collective understanding of the universe.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 -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https://www.unoosa.org/oosa/en/ourwork/copuos/index.html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noosa.org/oosa/en/ourwork/copuo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