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 Colombia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Committee : </w:t>
      </w:r>
      <w:r w:rsidDel="00000000" w:rsidR="00000000" w:rsidRPr="00000000">
        <w:rPr>
          <w:rFonts w:ascii="Times New Roman" w:cs="Times New Roman" w:eastAsia="Times New Roman" w:hAnsi="Times New Roman"/>
          <w:color w:val="4d5156"/>
          <w:sz w:val="24"/>
          <w:szCs w:val="24"/>
          <w:highlight w:val="white"/>
          <w:rtl w:val="0"/>
        </w:rPr>
        <w:t xml:space="preserve">United Nations International Children's Emergency Fund (UNICEF)</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sz w:val="24"/>
          <w:szCs w:val="24"/>
          <w:rtl w:val="0"/>
        </w:rPr>
        <w:t xml:space="preserve">Topic : </w:t>
      </w:r>
      <w:r w:rsidDel="00000000" w:rsidR="00000000" w:rsidRPr="00000000">
        <w:rPr>
          <w:rFonts w:ascii="Times New Roman" w:cs="Times New Roman" w:eastAsia="Times New Roman" w:hAnsi="Times New Roman"/>
          <w:color w:val="212529"/>
          <w:sz w:val="24"/>
          <w:szCs w:val="24"/>
          <w:highlight w:val="white"/>
          <w:rtl w:val="0"/>
        </w:rPr>
        <w:t xml:space="preserve">Ethics of Surveillance Technology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health care should be a right, not a privilege.”</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the presidential inauguration, UNICEF Colombia led workshops on key child priorities, on health and nutrition, child protection, education, social protection. UNICEF Colombia reached 26,556 people (over 19,000 children) with mobile and stationary early childhood development interventions as part of the </w:t>
      </w:r>
      <w:r w:rsidDel="00000000" w:rsidR="00000000" w:rsidRPr="00000000">
        <w:rPr>
          <w:rFonts w:ascii="Times New Roman" w:cs="Times New Roman" w:eastAsia="Times New Roman" w:hAnsi="Times New Roman"/>
          <w:i w:val="1"/>
          <w:sz w:val="24"/>
          <w:szCs w:val="24"/>
          <w:rtl w:val="0"/>
        </w:rPr>
        <w:t xml:space="preserve">Puntos de Informacion y Orientacion </w:t>
      </w:r>
      <w:r w:rsidDel="00000000" w:rsidR="00000000" w:rsidRPr="00000000">
        <w:rPr>
          <w:rFonts w:ascii="Times New Roman" w:cs="Times New Roman" w:eastAsia="Times New Roman" w:hAnsi="Times New Roman"/>
          <w:sz w:val="24"/>
          <w:szCs w:val="24"/>
          <w:rtl w:val="0"/>
        </w:rPr>
        <w:t xml:space="preserve">(PIO) delivery strategy. UNICEF Colombia reached 26,556 people (over 19,000 children) with mobile and stationary early childhood development interventions as part of the </w:t>
      </w:r>
      <w:r w:rsidDel="00000000" w:rsidR="00000000" w:rsidRPr="00000000">
        <w:rPr>
          <w:rFonts w:ascii="Times New Roman" w:cs="Times New Roman" w:eastAsia="Times New Roman" w:hAnsi="Times New Roman"/>
          <w:i w:val="1"/>
          <w:sz w:val="24"/>
          <w:szCs w:val="24"/>
          <w:rtl w:val="0"/>
        </w:rPr>
        <w:t xml:space="preserve">Puntos de Informacion y Orientacion </w:t>
      </w:r>
      <w:r w:rsidDel="00000000" w:rsidR="00000000" w:rsidRPr="00000000">
        <w:rPr>
          <w:rFonts w:ascii="Times New Roman" w:cs="Times New Roman" w:eastAsia="Times New Roman" w:hAnsi="Times New Roman"/>
          <w:sz w:val="24"/>
          <w:szCs w:val="24"/>
          <w:rtl w:val="0"/>
        </w:rPr>
        <w:t xml:space="preserve">(PIO) delivery strategy.</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PIO strategy also reached 20,222 people (14,850 children) with primary health care, which included nutrition screening, counseling and provision of micronutrients. The programme supported 1,585 unaccompanied or separated children by activating protection route strategies for violence prevention and providing kits. </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2013, UNICEF made important progress in the comprehensive protection of children and adolescents in Colombia. UNICEF contributed to the inclusion of children and adolescence in territorial development plans, which are public management instruments to guarantee that public officials implement actions and allocate resources specifically for children. 92.9% of municipalities and 100% of departments improved in their grades for this area compared to the previous period.</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Colombia has also received a massive number of migrants from </w:t>
      </w:r>
      <w:r w:rsidDel="00000000" w:rsidR="00000000" w:rsidRPr="00000000">
        <w:rPr>
          <w:rFonts w:ascii="Times New Roman" w:cs="Times New Roman" w:eastAsia="Times New Roman" w:hAnsi="Times New Roman"/>
          <w:sz w:val="24"/>
          <w:szCs w:val="24"/>
          <w:rtl w:val="0"/>
        </w:rPr>
        <w:t xml:space="preserve">Venezuela </w:t>
      </w:r>
      <w:r w:rsidDel="00000000" w:rsidR="00000000" w:rsidRPr="00000000">
        <w:rPr>
          <w:rFonts w:ascii="Times New Roman" w:cs="Times New Roman" w:eastAsia="Times New Roman" w:hAnsi="Times New Roman"/>
          <w:sz w:val="24"/>
          <w:szCs w:val="24"/>
          <w:highlight w:val="white"/>
          <w:rtl w:val="0"/>
        </w:rPr>
        <w:t xml:space="preserve">in recent years, currently hosting more than 2.5 million people, many in precarious situations.  Venezuela continues to be plagued by malnutrition, lack of medical supplies, high homicide rates and the spread of diseases such as malaria and measles. Colombia strives to provide lifesaving resources to hundreds of thousands of Venezuelans seeking safety and shelter. In 2018, the IRC and the Colombian Government joined hands to launch an emergency response to this rapidly deteriorating crisis in the city of Cúcuta, Colombia, the principal crossing point for thousands of Venezuelans. In 2019 we expanded our work to the city of Medellin where thousands of Venezuelans have sought refuge. </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country is focusing on protecting children and adolescents, protecting and empowering women and providing access to health care not only to our citizens, but also to the entire world</w:t>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https://www.unicef.org/documents/reaching-final-mile-all-migrant-children-access-education-colombia</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https://www.unicef.org/media/135631/file/Colombia-2022-COAR.pdf</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https://www.msf.org/colombia</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https://www.rescue.org/country/colombia</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https://reliefweb.int/report/colombia/access-health-care-services-colombia</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https://www.pacificprime.lat/country/columbia-health-insurance/#:~:text=Healthcare%20in%20Colombia%20is%20not,of%20universal%20public%20healthcare%20funding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https://www.unicef.org/colombia/media/301/file/Colombia%20Annual%20Report%202013.pdf</w:t>
        </w:r>
      </w:hyperlink>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https://medicalaid.org/global-initiatives/colombia/</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acificprime.lat/country/columbia-health-insurance/#:~:text=Healthcare%20in%20Colombia%20is%20not,of%20universal%20public%20healthcare%20funding" TargetMode="External"/><Relationship Id="rId10" Type="http://schemas.openxmlformats.org/officeDocument/2006/relationships/hyperlink" Target="https://reliefweb.int/report/colombia/access-health-care-services-colombia" TargetMode="External"/><Relationship Id="rId13" Type="http://schemas.openxmlformats.org/officeDocument/2006/relationships/hyperlink" Target="https://medicalaid.org/global-initiatives/colombia/" TargetMode="External"/><Relationship Id="rId12" Type="http://schemas.openxmlformats.org/officeDocument/2006/relationships/hyperlink" Target="https://www.unicef.org/colombia/media/301/file/Colombia%20Annual%20Report%202013.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cue.org/country/colombia" TargetMode="External"/><Relationship Id="rId5" Type="http://schemas.openxmlformats.org/officeDocument/2006/relationships/styles" Target="styles.xml"/><Relationship Id="rId6" Type="http://schemas.openxmlformats.org/officeDocument/2006/relationships/hyperlink" Target="https://www.unicef.org/documents/reaching-final-mile-all-migrant-children-access-education-colombia" TargetMode="External"/><Relationship Id="rId7" Type="http://schemas.openxmlformats.org/officeDocument/2006/relationships/hyperlink" Target="https://www.unicef.org/media/135631/file/Colombia-2022-COAR.pdf" TargetMode="External"/><Relationship Id="rId8" Type="http://schemas.openxmlformats.org/officeDocument/2006/relationships/hyperlink" Target="https://www.msf.org/colomb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