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500"/>
        <w:jc w:val="center"/>
      </w:pPr>
      <w:r>
        <w:rPr>
          <w:b/>
          <w:bCs/>
          <w:color w:val="1F3864"/>
          <w:sz w:val="44"/>
          <w:szCs w:val="44"/>
        </w:rPr>
        <w:t xml:space="preserve">VAYANA — REQUIREMENTS RESPONSE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Responding party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Crego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Response 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Technical compliance against Vayana requirements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Platform version referenced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v2.3.0 (current production baseline)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Target deployment scale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Medium — 500 to 2,000 named users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Mirrors Vayana's original numbering &amp; headings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Technical content only (no commercial terms)</w:t>
            </w:r>
          </w:p>
        </w:tc>
      </w:tr>
    </w:tbl>
    <w:p>
      <w:pPr>
        <w:spacing w:after="60" w:before="200"/>
      </w:pPr>
      <w:r>
        <w:rPr>
          <w:b/>
          <w:bCs/>
          <w:color w:val="595959"/>
          <w:sz w:val="18"/>
          <w:szCs w:val="18"/>
        </w:rPr>
        <w:t xml:space="preserve">Legend: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▸ Requirement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Vayana's original pointer, reproduced verbatim.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Available out-of-the-box; enabled by configuration.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5496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Available; set via configuration, no source change.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Customization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Delivered as scoped engagement work on the platform.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r>
              <w:rPr>
                <w:b/>
                <w:bCs/>
                <w:color w:val="B26A00"/>
                <w:sz w:val="18"/>
                <w:szCs w:val="18"/>
              </w:rPr>
              <w:t xml:space="preserve">[ … ]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Figure Crego will confirm at finalisation.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A.  Solution Overview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Overall description of the solution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Crego is a cloud-native, multi-tenant digital lending platform that delivers the complete lending lifecycle through a suite of integrated products and modules. It is exposed through modern web and mobile front-ends and an API-first architecture, so every capability is available over REST and can be embedded into existing channels and systems.</w:t>
      </w:r>
    </w:p>
    <w:p>
      <w:pPr>
        <w:spacing w:after="40" w:before="40" w:line="276"/>
      </w:pPr>
      <w:r>
        <w:rPr>
          <w:b/>
          <w:bCs/>
        </w:rPr>
        <w:t xml:space="preserve">Core products and modules: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CDMS — Customer Data Management System: </w:t>
      </w:r>
      <w:r>
        <w:t xml:space="preserve">RBI-aligned management of customer records, contacts and documents (incl. KYC), with encrypted storage, controlled sharing and field masking.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LOS — Loan Origination System: </w:t>
      </w:r>
      <w:r>
        <w:t xml:space="preserve">digital onboarding, application, underwriting and disbursement.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LMS — Loan Management System: </w:t>
      </w:r>
      <w:r>
        <w:t xml:space="preserve">loan servicing, repayment schedules, demands, collections and lifecycle management.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GL Module: </w:t>
      </w:r>
      <w:r>
        <w:t xml:space="preserve">double-entry general ledger and chart of accounts with full transaction integrity.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Reporting Module: </w:t>
      </w:r>
      <w:r>
        <w:t xml:space="preserve">operational, regulatory and MIS reporting — scheduled or on-demand.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Workflow Module: </w:t>
      </w:r>
      <w:r>
        <w:t xml:space="preserve">node-based, configurable process automation across all products.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Maker-Checker: </w:t>
      </w:r>
      <w:r>
        <w:t xml:space="preserve">multi-stage approval controls on sensitive operations.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Notification Module: </w:t>
      </w:r>
      <w:r>
        <w:t xml:space="preserve">multi-channel email, SMS and push communications.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Connector Module: </w:t>
      </w:r>
      <w:r>
        <w:t xml:space="preserve">API/webhook framework for integrating external systems.</w:t>
      </w:r>
    </w:p>
    <w:p>
      <w:pPr>
        <w:spacing w:after="110" w:before="40" w:line="276"/>
      </w:pPr>
      <w:r>
        <w:t xml:space="preserve">Supporting modules include document management, contacts, audit and identity/authorization. The suite is delivered across two backend services: Omni (GL, LMS, CDMS, maker-checker, connector and reporting) and Flow (LOS — loan origination and workflow), with web and mobile clients, deployed as one integrated product.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Proposed deployment architecture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Containerised, Kubernetes-based topology managed through GitOps; cloud-portable and proven on GKE and EKS, and deployable to private cloud.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Edge / Routing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L7 load balancer + ingress gateway, TLS, host/path routing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entry point, per-tenant hostnames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 (GL/LMS/CDMS/maker-checker/connector — Django), Flow (LOS &amp; workflow — FastAPI), Web, Mobile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Stateless pods, autoscaled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Processing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Celery workers, Beat scheduler, Flower, RabbitMQ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Queue-driven, autoscaled (KEDA)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PostgreSQL, MongoDB, Redis, object storage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Managed, private network only</w:t>
            </w:r>
          </w:p>
        </w:tc>
      </w:tr>
    </w:tbl>
    <w:p>
      <w:pPr>
        <w:spacing w:after="110" w:before="60" w:line="276"/>
      </w:pPr>
      <w:r>
        <w:t xml:space="preserve">Tenancy: shared application tier with per-tenant data isolation today; hardened namespace-per-tenant model available for strong isolation.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System modules and functionalities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49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/ Module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Functionality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CDMS — Customer Data Management System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RBI-aligned customer records, contacts &amp; document management (incl. KYC); encrypted storage, controlled sharing, field masking.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LOS — Loan Origination System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Flow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Onboarding, application, underwriting, disbursement; node-based, configurable workflows.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LMS — Loan Management System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Servicing, repayment schedules, demands, collections, lifecycle.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GL Module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Double-entry general ledger, chart of accounts, ledger integrity.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Reporting Module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Operational, regulatory &amp; MIS reports; scheduled / on-demand.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Workflow Module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Flow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Node-based, configurable process automation.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Maker-Checker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Multi-stage approval workflows.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Notification Module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Email, SMS, push with templating &amp; rules.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Connector Module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Webhook / API integration framework.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Audit &amp; Authz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Immutable audit trail; OIDC auth, JWT, RBAC, tenant context.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Licensing model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The multi-tenant design supports per-tenant, per-module and per-user packaging, and the cloud-portable deployment supports both managed-subscription and client-hosted models. Commercial licensing terms are addressed separately from this technical response.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Technology stack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 service (GL, LMS, CDMS, maker-checker, connector)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Python · Django · DRF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Python 3.13, Django 5.2.x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Flow service (LOS &amp; workflow)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Python · FastAPI · Uvicorn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Python 3.13, async REST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React · TypeScript · Vite · Tailwind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React 19, TS 5.9, Tailwind 4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Mobile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React Native · Expo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RN 0.81 / Expo 54 (iOS &amp; Android)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Core DB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Primary–replica, SSL enforced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Workflow DB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Per-tenant databases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Cache / broker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Redis · RabbitMQ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Cache/session · queue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Async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Celery · Beat · Flower · KEDA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Distributed tasks &amp; autoscaling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Kubernetes · ArgoCD · Kustomize · Terraform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GitOps, IaC, GKE/EKS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Sentry · Prometheus · Grafana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Errors, metrics, dashboards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Auth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OIDC · JWT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OpenID Connect, signed JWT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B.  Functional Compliance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Fully supported features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Loan origination (LOS)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Onboarding, underwriting, disbursement (Flow).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Loan management &amp; servicing (LMS)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Schedules, demands, collections (Omni).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Customer data management (CDMS)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RBI-aligned customer records, contacts &amp; documents (incl. KYC).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General ledger (GL)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Double-entry GL with ledger validation.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Reporting &amp; MIS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Operational, regulatory &amp; MIS reports.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Maker-checker approvals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Multi-stage review.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Workflow automation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Node-based, configurable engine.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Multi-channel notifications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Email, SMS, push.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Connector / integration framework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Webhook / API connectors.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Document management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Encrypted storage &amp; sharing.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Audit trail &amp; RBAC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Supported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Immutable audit; role-based, multi-tenant.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Customization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Client-specific product, GL and account-hierarchy setup (configuration).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Bespoke approval matrices and business rules beyond templates (workflow configuration).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Integrations to Core Banking, ERP, HR and identity systems (built per engagement — Section 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Custom report layouts and statutory/regulatory formats (customization).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Branded UI themes and client-specific screens (customization).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Third-party dependency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/ Options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Email gateway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Transactional email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SMTP / SendGrid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SMS gateway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OTP &amp; alerts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Kaleyra (DLT-ready); pluggable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Mobile alerts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Firebase Cloud Messaging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Documents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S3 / Azure Blob / GCS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Identity provider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Authentication (OIDC)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Any OIDC IdP / AD federation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Document AI (optional)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Data extraction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LLM service (optional, mockable)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Workflow capabilities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Node-based and fully configurable — processes assembled from reusable nodes, no code changes.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Conditional branching and dynamic content, set through configuration.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Role-based permissions; asynchronous long-running steps; full execution history.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Maker-checker approval flows; tenant-isolated execution.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Reporting and dashboard features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Operational dashboards in the web app on live API data.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On-demand &amp; scheduled report generation (ReportLab / WeasyPrint).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Audit and approval reporting with full traceability.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Platform observability dashboards (Grafana).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Custom regulatory reports: </w:t>
      </w:r>
      <w:r>
        <w:t xml:space="preserve">scoped customization to required formats.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Mobile/web access capability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Web: </w:t>
      </w:r>
      <w:r>
        <w:t xml:space="preserve">responsive SPA (React 19) for desktop/tablet, standard browsers.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Mobile: </w:t>
      </w:r>
      <w:r>
        <w:t xml:space="preserve">native cross-platform app (React Native/Expo) for iOS &amp; Android with push.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API: </w:t>
      </w:r>
      <w:r>
        <w:t xml:space="preserve">all functionality exposed over REST for client channels.</w:t>
      </w:r>
    </w:p>
    <w:p>
      <w:r>
        <w:br w:type="page"/>
      </w:r>
    </w:p>
    <w:p>
      <w:pPr>
        <w:pStyle w:val="Heading1"/>
      </w:pPr>
      <w:r>
        <w:t xml:space="preserve">C.  System Architecture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High-level architecture diagram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Layered, service-oriented architecture. Requests enter a single L7 gateway and route by path/host; stateless services scale horizontally; data and async processing sit in isolated tiers. (Detailed architecture diagrams available on request.)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— Client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User interaction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Web SPA, Mobile app, API consumers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2 — Edge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Routing, TLS, security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L7 gateway/ingress, WAF-ready, cert manager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3 — Application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Business logic, APIs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Omni API (Django/DRF), Flow API (FastAPI)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4 — Processing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Async &amp; scheduled work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Celery workers, Beat, RabbitMQ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5 — Data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Persistence &amp; cache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PostgreSQL, MongoDB, Redis, object storage</w:t>
            </w:r>
          </w:p>
        </w:tc>
      </w:tr>
    </w:tbl>
    <w:p>
      <w:pPr>
        <w:spacing w:after="110" w:before="50" w:line="276"/>
      </w:pPr>
      <w:r>
        <w:rPr>
          <w:color w:val="595959"/>
          <w:sz w:val="19"/>
          <w:szCs w:val="19"/>
        </w:rPr>
        <w:t xml:space="preserve">Production routing: /api/* → Omni API · /flow/api/* → Flow API · /flow/* → Flow web · / → Omni web · /flower/* → monitoring (restricted).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Application architecture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Modular services: Omni (GL, LMS, CDMS, maker-checker, connector, reporting) as pluggable Django apps; Flow (LOS &amp; workflow) as an async FastAPI service.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Stateless pods — session state externalised to Redis — enabling free horizontal scaling.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API-first (REST); FastAPI auto-publishes OpenAPI specs.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Event-driven background processing decouples heavy work from request handling.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Database architecture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PostgreSQL </w:t>
      </w:r>
      <w:r>
        <w:t xml:space="preserve">(Omni): transactional system of record, primary–replica, SSL, per-tenant logical separation.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MongoDB </w:t>
      </w:r>
      <w:r>
        <w:t xml:space="preserve">(Flow): workflow definitions &amp; execution history, per-tenant databases.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Redis: </w:t>
      </w:r>
      <w:r>
        <w:t xml:space="preserve">caching, session store, rate limiting.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Sensitive fields encrypted at application layer; soft-deletion preserves audit integrity.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Integration architecture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API-first, loosely-coupled. The platform exposes REST APIs and consumes external systems via the workflow engine, a webhook/connector framework, and standard provider adapters (email, SMS, storage, identity). Methods detailed in Section D.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Multi-tier architecture details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Strict N-tier system with clear separation of presentation, application, processing and data tiers. Each tier scales independently, communicates over well-defined interfaces, and is deployed as isolated, independently-upgradable Kubernetes workloads. The data tier is never exposed publicly; only the edge tier holds public endpoints.</w:t>
      </w:r>
    </w:p>
    <w:p>
      <w:r>
        <w:br w:type="page"/>
      </w:r>
    </w:p>
    <w:p>
      <w:pPr>
        <w:pStyle w:val="Heading1"/>
      </w:pPr>
      <w:r>
        <w:t xml:space="preserve">D.  Integration Capability</w:t>
      </w:r>
    </w:p>
    <w:p>
      <w:pPr>
        <w:spacing w:after="110" w:before="0" w:line="276"/>
      </w:pPr>
      <w:r>
        <w:t xml:space="preserve">Crego is API-first. Integrations to enterprise systems use standards-based methods — REST/SOAP web services, webhooks, file exchange and the configurable workflow engine — scoped and built per engagement against the target system's published interface.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Core Banking System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API-based, built per engagement. Supported methods: REST / SOAP web services, file/batch exchange and webhooks against the CBS interface.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ERP/Finance System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API-based, built per engagement. Supported methods: REST / SOAP, scheduled file exchange and GL-posting APIs.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HR System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API-based, built per engagement. Supported methods: REST APIs and file-based import/export.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Active Directory/LDAP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Federated via OpenID Connect. The platform integrates with AD/LDAP through any OIDC-compliant IdP (e.g. Azure AD/Entra ID, Keycloak, ADFS), giving SSO and centralised user management without storing directory credentials.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Email/SMS Gateway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Native adapters. Email via SMTP/SendGrid; SMS via Kaleyra (DLT-ready) with a pluggable provider model; mobile push via Firebase.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API capability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Comprehensive REST API covering all functionality (DRF + FastAPI).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OpenAPI/Swagger specs auto-generated (Flow); documented endpoints (Omni).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JWT/OIDC-secured, tenant-aware, with configurable rate limiting.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Web services support (REST/SOAP)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REST: </w:t>
      </w:r>
      <w:r>
        <w:t xml:space="preserve">native primary interface (JSON over HTTPS).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SOAP: </w:t>
      </w:r>
      <w:r>
        <w:t xml:space="preserve">supported for legacy enterprise systems via an integration adapter built per engagement.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Digital channels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Every capability is API-exposed, so the platform integrates cleanly with customer portals, partner systems, mobile apps and aggregators through REST APIs and webhooks.</w:t>
      </w:r>
    </w:p>
    <w:p>
      <w:r>
        <w:br w:type="page"/>
      </w:r>
    </w:p>
    <w:p>
      <w:pPr>
        <w:pStyle w:val="Heading1"/>
      </w:pPr>
      <w:r>
        <w:t xml:space="preserve">Security Features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Authentication mechanisms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OpenID Connect (OIDC) with signed JWT access &amp; refresh tokens.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Dynamic JWKS-based validation (no hardcoded keys); issuer/audience verified.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Authentication delegable to the client's enterprise IdP.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Role-based access control (RBAC)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Granular roles mapped to profile types (staff, partner, customer, agent).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Group-based authorization via the Authz module; maker-checker on sensitive operations.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Tenant-scoped access — cross-tenant access prevented by data routing.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Multi-factor authentication support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MFA is supported through the federated OIDC identity provider — the platform inherits the IdP's MFA policy (OTP, authenticator, biometric), enforced centrally. OTP delivery via integrated SMS/email and CAPTCHA on web entry points are also available.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Encryption standards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In transit: </w:t>
      </w:r>
      <w:r>
        <w:t xml:space="preserve">TLS 1.2+ on all connections; database SSL (require / verify-full).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At rest: </w:t>
      </w:r>
      <w:r>
        <w:t xml:space="preserve">sensitive fields and documents encrypted at application layer; managed DB/object-storage encryption.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Secrets: </w:t>
      </w:r>
      <w:r>
        <w:t xml:space="preserve">secret manager (e.g. GCP Secret Manager) via External Secrets Operator; per-tenant isolation &amp; rotation.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Audit logging capability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Immutable audit trail for all financial operations, GL postings and approvals.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HTTP request logging with user/role/timestamp/entity-change context.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Property-level change tracking (before/after); soft-deletion preserves history.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Session management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Token-based sessions (JWT) with configurable access/refresh lifetimes.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Session state externalised to Redis; stateless application tier.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CORS and CSRF protections with configurable trusted origins.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Vulnerability protection mechanisms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Secure SDLC: SAST, DAST, SCA and secrets scanning in CI/CD.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Input/schema validation; output field masking (PAN, Aadhaar, account numbers).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Rate limiting, default-deny network policies, private data tier, non-root/read-only containers.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Independent assurance: </w:t>
      </w:r>
      <w:r>
        <w:t xml:space="preserve">third-party VAPT and source-code review (Audit Level 2) for Omni and Flow.</w:t>
      </w:r>
    </w:p>
    <w:p>
      <w:pPr>
        <w:spacing w:after="40" w:before="60" w:line="276"/>
      </w:pPr>
      <w:r>
        <w:rPr>
          <w:b/>
          <w:bCs/>
        </w:rPr>
        <w:t xml:space="preserve">Compliance / certification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VAPT (Vulnerability Assessment &amp; Penetration Testing)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In place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ISO/IEC 27001 (Information Security Management)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Certified — in place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line="248"/>
            </w:pPr>
            <w:r>
              <w:rPr>
                <w:b/>
                <w:bCs/>
                <w:color w:val="B26A00"/>
                <w:sz w:val="18"/>
                <w:szCs w:val="18"/>
              </w:rPr>
              <w:t xml:space="preserve">Under process</w:t>
            </w:r>
          </w:p>
        </w:tc>
      </w:tr>
    </w:tbl>
    <w:p>
      <w:pPr>
        <w:spacing w:after="110" w:before="40" w:line="276"/>
      </w:pPr>
      <w:r>
        <w:rPr>
          <w:color w:val="595959"/>
          <w:sz w:val="19"/>
          <w:szCs w:val="19"/>
        </w:rPr>
        <w:t xml:space="preserve">Third-party VAPT and source-code security review (Audit Level 2) have been completed for both Omni and Flow; ISO 27001 is in place; SOC 2 Type II is in progress.</w:t>
      </w:r>
    </w:p>
    <w:p>
      <w:r>
        <w:br w:type="page"/>
      </w:r>
    </w:p>
    <w:p>
      <w:pPr>
        <w:pStyle w:val="Heading1"/>
      </w:pPr>
      <w:r>
        <w:t xml:space="preserve">Availability &amp; Scalability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High availability capability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Multi-zone Kubernetes cluster with pod anti-affinity and topology spread.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Stateless pods, multiple replicas; zero-downtime rolling deployments.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Managed PostgreSQL primary–replica; Redis replication.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Note: </w:t>
      </w:r>
      <w:r>
        <w:t xml:space="preserve">RabbitMQ is single-instance today; clustered HA broker recommended for the client deployment.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Load balancing support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L7 load balancing at the edge (managed LB / NGINX / Gateway API) with health checks.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Container-native load balancing across healthy pods and zones.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Clustering capability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Kubernetes-managed clustering across nodes/zones; cluster autoscaler.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Database/cache clustering via managed services (read replicas, replication).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Scalability approach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Horizontal: </w:t>
      </w:r>
      <w:r>
        <w:t xml:space="preserve">HPA scales API pods (CPU/memory); KEDA scales workers (queue depth).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Vertical: </w:t>
      </w:r>
      <w:r>
        <w:t xml:space="preserve">node pools and managed-DB tiers resizable for headroom.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Multi-tenant: </w:t>
      </w:r>
      <w:r>
        <w:t xml:space="preserve">per-tenant worker/queue isolation; namespace-per-tenant for dedicated scaling.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Performance optimization methods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Redis caching; DB read replicas for read-heavy paths.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Async offloading of heavy operations to Celery.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Connection pooling; query profiling (pg_stat_statements, auto_explain, Mongo profiler).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CDN-ready static assets; tuned worker concurrency and timeouts.</w:t>
      </w:r>
    </w:p>
    <w:p>
      <w:r>
        <w:br w:type="page"/>
      </w:r>
    </w:p>
    <w:p>
      <w:pPr>
        <w:pStyle w:val="Heading1"/>
      </w:pPr>
      <w:r>
        <w:t xml:space="preserve">Database Requirements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Supported database platforms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Deployment options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Core transactional system of record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Cloud SQL / RDS / self-managed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Workflow definitions &amp; execution history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Atlas / self-managed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Cache, session, rate limiting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Memorystore / ElastiCache / self-managed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Database sizing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rPr>
          <w:color w:val="595959"/>
          <w:sz w:val="19"/>
          <w:szCs w:val="19"/>
        </w:rPr>
        <w:t xml:space="preserve">Indicative starting sizes for 500–2,000 users; finalised after load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3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vCPU / RAM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 (primary)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4–8 vCPU / 16–32 GB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200–500 GB SSD, auto-grow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+1 read replica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 (replica)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4–8 vCPU / 16–32 GB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matches primary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Read scaling / HA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2–4 vCPU / 8–16 GB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100–250 GB SSD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Per-tenant DBs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1–2 vCPU / 4–8 GB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in-memory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Replicated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Backup/recovery capability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Automated daily backups with Point-in-Time Recovery (PITR) on PostgreSQL.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Continuous backups on MongoDB; Redis snapshots to object storage.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Infrastructure-as-code in Git enables full environment reconstruction.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Replication support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PostgreSQL primary–replica (read replicas, cross-region capable).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Redis replication; MongoDB Atlas replica sets.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Database maintenance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Managed-service maintenance windows for patching/upgrades.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Query Insights/profiling for tuning; routine index &amp; vacuum maintenance.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Backup verification and periodic restore drills.</w:t>
      </w:r>
    </w:p>
    <w:p>
      <w:r>
        <w:br w:type="page"/>
      </w:r>
    </w:p>
    <w:p>
      <w:pPr>
        <w:pStyle w:val="Heading1"/>
      </w:pPr>
      <w:r>
        <w:t xml:space="preserve">Customization &amp; Configuration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Areas requiring customization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Integrations to Core Banking, ERP and HR systems (per-engagement adapters).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Statutory / regulatory report formats.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Bespoke screens, branding and client-specific UI flows.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Complex business rules beyond supplied templates.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Configuration flexibility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Environment- and tenant-level configuration via externalised settings.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Products, accounts, COA, limits and approval matrices configured without code changes.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Notification templates, channels and rules configured per tenant.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Workflow configurability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Node-based, configurable processes — changed without code changes.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Configurable forms, rules and content; per-node permissions.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Tenant-specific workflow variants.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Report customization capability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Template-driven generation (ReportLab / WeasyPrint / Mako).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Custom layouts and data sets as scoped work; scheduled or on-demand.</w:t>
      </w:r>
    </w:p>
    <w:p>
      <w:r>
        <w:br w:type="page"/>
      </w:r>
    </w:p>
    <w:p>
      <w:pPr>
        <w:pStyle w:val="Heading1"/>
      </w:pPr>
      <w:r>
        <w:t xml:space="preserve">Assumptions &amp; Limitations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Technical assumptions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Deployment on Kubernetes (GKE/EKS) or compatible private cloud.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Client provides target-system interface specs/sandboxes (CBS, ERP, HR).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Authentication via an OIDC-compliant IdP (for AD/LDAP and MFA).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Sizing assumes the medium-scale profile (500–2,000 users), confirmed by load testing.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Known limitations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Production RabbitMQ is single-instance today; HA broker to be enabled.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API horizontal-scaling limits set conservatively in baseline; raised during sizing.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pre-built native CBS/ERP/HR connectors — delivered as integration work.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Formal SLOs and RTO/RPO to be finalised with the client.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Dependencies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Managed cloud services (Kubernetes, PostgreSQL, Redis, object storage) or equivalents.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Third-party gateways (email, SMS, push) and an OIDC identity provider.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Reliable network connectivity to integrated systems.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Third-party licensing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Built on open-source frameworks (Django, FastAPI, React, PostgreSQL, MongoDB, Redis, RabbitMQ, Kubernetes). Commercial licences may apply to client-selected services (SMS/email gateway, managed cloud, optional document-AI, MongoDB Atlas tier); confirmed with the client based on chosen providers.</w:t>
      </w:r>
    </w:p>
    <w:p>
      <w:r>
        <w:br w:type="page"/>
      </w:r>
    </w:p>
    <w:p>
      <w:pPr>
        <w:pStyle w:val="Heading1"/>
      </w:pPr>
      <w:r>
        <w:t xml:space="preserve">1.  Infrastructure Proposal</w:t>
      </w:r>
    </w:p>
    <w:p>
      <w:pPr>
        <w:spacing w:after="110" w:before="0" w:line="276"/>
      </w:pPr>
      <w:r>
        <w:t xml:space="preserve">The following sections provide infrastructure sizing and deployment requirements for the proposed solution at the medium-scale profile (500–2,000 users). Figures are indicative starting points based on the platform's current architecture, finalised through a load-testing exercise against the client's actual volumes. Sizing assumes a containerised Kubernetes deployment with managed data services.</w:t>
      </w:r>
    </w:p>
    <w:p>
      <w:pPr>
        <w:pStyle w:val="Heading2"/>
      </w:pPr>
      <w:r>
        <w:t xml:space="preserve">Hardware Requirements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Application servers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 (medium scale)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Node type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4 vCPU / 16 GB RAM class (e.g. e2-standard-4)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Node count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3–6 nodes, cluster autoscaling enabled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App pods (Omni/Flow API)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vCPU / 1–2 GB per pod, HPA 2→6 replicas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Database servers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860"/>
        <w:gridCol w:w="13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CPU / RAM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Disk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IOPS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Bandwidth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 primary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4–8 vCPU / 16–32 GB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200–500 GB SSD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3,000–6,000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Gbps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 replica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4–8 vCPU / 16–32 GB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= primary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3,000–6,000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Gbps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2–4 vCPU / 8–16 GB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100–250 GB SSD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1,500–3,000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Gbps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1–2 vCPU / 4–8 GB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in-memory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Gbps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Web servers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t xml:space="preserve">Web is served by NGINX-backed pods within the same node pool (0.1 vCPU / 128 MB per pod). No separate web-server tier is required — the edge gateway terminates TLS and routes to web/API pods.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Storage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Object storage for documents: 500 GB–2 TB, scaling with usage (S3/GCS/Azure Blob).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Persistent volumes for stateful components (broker, monitoring): 5–20 GB each.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Database storage auto-grows; provision 12 months headroom at onboarding.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Backup infrastructure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Managed automated backups (PITR) — no dedicated backup servers required.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Backup retention storage sized to policy (e.g. 2–4× DB size for 30-day retention).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Cross-region backup copy for DR.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CPU / RAM / Disk sizing / IOPS requirement / Network bandwidth (summary)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Production (medium scale) — indicative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Total vCPU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~24–40 vCPU across app nodes + databases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Total RAM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~96–160 GB across app nodes + databases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Disk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~1–3 TB (DB + object storage + node disks)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IOPS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3,000–6,000 provisioned on primary DB volume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Network bandwidth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1 Gbps internal; sized public egress at edge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Software Requirements</w:t>
      </w:r>
    </w:p>
    <w:p>
      <w:pPr>
        <w:spacing w:after="110" w:before="0" w:line="276"/>
      </w:pPr>
      <w:r>
        <w:rPr>
          <w:color w:val="595959"/>
          <w:sz w:val="19"/>
          <w:szCs w:val="19"/>
        </w:rPr>
        <w:t xml:space="preserve">Specified required software: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Operating systems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Linux container base images; nodes on Container-Optimized OS / Amazon Linux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Database software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 14+, MongoDB 6+/Atlas, Redis 6+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Middleware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Celery (async), RabbitMQ 3.x (AMQP broker), External Secrets Operator, KEDA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Web servers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NGINX (web serving / reverse proxy); Gunicorn (Omni), Uvicorn (Flow)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Application frameworks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Django 5.2 + DRF, FastAPI; React 19 + Vite; React Native/Expo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Supporting software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Kubernetes 1.27+, ArgoCD, Kustomize, Terraform, cert-manager, Prometheus, Grafana, Sentry; Python 3.13, Node.js LTS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Environment Requirement</w:t>
      </w:r>
    </w:p>
    <w:p>
      <w:pPr>
        <w:spacing w:after="110" w:before="0" w:line="276"/>
      </w:pPr>
      <w:r>
        <w:rPr>
          <w:color w:val="595959"/>
          <w:sz w:val="19"/>
          <w:szCs w:val="19"/>
        </w:rPr>
        <w:t xml:space="preserve">Separate sizing per environment (namespace-isolated; non-production sized smaller than production):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Indicative sizing (vs prod)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Live workloads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Full sizing (HA, autoscaling, backups)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Disaster Recovery (DR)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Failover of production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Warm standby — DB replica + scalable app tier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UAT / Test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QA &amp; user acceptance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~30–50% of prod; single replicas, no HA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Engineering &amp; integration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~20–30% of prod; minimal, shared namespace</w:t>
            </w:r>
          </w:p>
        </w:tc>
      </w:tr>
    </w:tbl>
    <w:p>
      <w:pPr>
        <w:spacing w:after="110" w:before="40" w:line="276"/>
      </w:pPr>
      <w:r>
        <w:rPr>
          <w:i/>
          <w:iCs/>
          <w:color w:val="595959"/>
        </w:rPr>
        <w:t xml:space="preserve">Non-production environments can share a lower-cost cluster with namespace isolation to control cost.</w:t>
      </w:r>
    </w:p>
    <w:p>
      <w:r>
        <w:br w:type="page"/>
      </w:r>
    </w:p>
    <w:p>
      <w:pPr>
        <w:pStyle w:val="Heading2"/>
      </w:pPr>
      <w:r>
        <w:t xml:space="preserve">High Availability &amp; DR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HA architecture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Multi-zone cluster; pods spread across zones with anti-affinity.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Managed PostgreSQL HA (primary + standby/replica); Redis replication.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Zero-downtime rolling deployments; health checks and automatic rescheduling.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Clustered RabbitMQ recommended for the client deployment.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DR architecture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Cross-region DR: DB backups and read replica(s) replicated to a secondary region.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Infrastructure reproducible from Git (IaC); DR cluster recreated via ArgoCD.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Object storage with cross-region replication; DNS-based failover.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Replication method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PostgreSQL managed streaming replication + PITR logs to secondary region.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MongoDB replica set with continuous backup; object-storage cross-region replication.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Recovery Time Objective (RTO)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rPr>
          <w:b/>
          <w:bCs/>
          <w:color w:val="1F3864"/>
        </w:rPr>
        <w:t xml:space="preserve">RTO: 4 hours.</w:t>
      </w:r>
    </w:p>
    <w:p>
      <w:pPr>
        <w:spacing w:after="110" w:before="0" w:line="276"/>
      </w:pPr>
      <w:r>
        <w:t xml:space="preserve">Aligned with industry standards for financial-services platforms. Achieved through warm-standby databases and IaC-driven cluster reconstruction (ArgoCD), enabling failover to the secondary region within the target window.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Recovery Point Objective (RPO)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rPr>
          <w:b/>
          <w:bCs/>
          <w:color w:val="1F3864"/>
        </w:rPr>
        <w:t xml:space="preserve">RPO: 15 minutes.</w:t>
      </w:r>
    </w:p>
    <w:p>
      <w:pPr>
        <w:spacing w:after="110" w:before="0" w:line="276"/>
      </w:pPr>
      <w:r>
        <w:t xml:space="preserve">Achieved through PostgreSQL Point-in-Time Recovery and continuous replication to a secondary region, limiting maximum data loss to ≤15 minutes.</w:t>
      </w:r>
    </w:p>
    <w:p>
      <w:r>
        <w:br w:type="page"/>
      </w:r>
    </w:p>
    <w:p>
      <w:pPr>
        <w:pStyle w:val="Heading2"/>
      </w:pPr>
      <w:r>
        <w:t xml:space="preserve">Network Requirements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Required ports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00"/>
        <w:gridCol w:w="3660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Exposure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HTTPS (public ingress)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443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Public (edge only)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HTTP (redirect)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Public (redirect)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Application services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Internal (cluster)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Flower (monitoring)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5555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Internal / restricted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Private (data tier)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27017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Private (data tier)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6379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Private (cluster)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RabbitMQ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5672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Private (cluster)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Kubernetes API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6443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Restricted (authorized networks)</w:t>
            </w:r>
          </w:p>
        </w:tc>
      </w:tr>
    </w:tbl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Bandwidth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Internal cluster networking: 1 Gbps (cloud default).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Public ingress/egress: ~50–100 Mbps for medium scale, burst-capable.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Branch-to-platform: 2–10 Mbps per branch depending on users/document traffic.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Firewall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Default-deny network policies; only the edge gateway holds public endpoints.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Data tier reachable only from application pods over private networking.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Kubernetes API restricted to authorized networks; egress via NAT with known static IPs.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VPN/connectivity requirements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Site-to-site VPN or private interconnect between platform VPC and CBS/ERP/HR networks.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VPN/authorized-network access for administrative cluster access.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Branch connectivity considerations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Branch users access over HTTPS (web/mobile) — no per-branch server footprint.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Static branch egress IPs can be allow-listed where required.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Responsive web and mobile apps tolerate moderate-latency branch links.</w:t>
      </w:r>
    </w:p>
    <w:p>
      <w:r>
        <w:br w:type="page"/>
      </w:r>
    </w:p>
    <w:p>
      <w:pPr>
        <w:pStyle w:val="Heading2"/>
      </w:pPr>
      <w:r>
        <w:t xml:space="preserve">Performance Sizing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Expected concurrent users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Named users: 500–2,000 (medium-scale profile).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Concurrent active: ~10–20% of named (≈100–400) as a planning assumption.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Validated load-test baseline: 100 concurrent users, zero 5xx, sub-2-second responses; horizontal scaling extends beyond this.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Transaction volume assumptions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spacing w:after="110" w:before="0" w:line="276"/>
      </w:pPr>
      <w:r>
        <w:rPr>
          <w:color w:val="595959"/>
          <w:sz w:val="19"/>
          <w:szCs w:val="19"/>
        </w:rPr>
        <w:t xml:space="preserve">Derived from the medium-scale user profile (500–2,000 named users). Each active user is assumed to perform ~30–50 business actions per working day (applications, approvals, postings, document and contact operations).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Assumption (derived from user base)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Named users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500 – 2,000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Concurrent active users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~100 – 400 (10–20% of named)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Business transactions / day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~50,000 – 100,000 (≈ 30–50 per active user)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Peak-hour transactions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~10,000 – 15,000 (≈ 15–20% of daily in peak hour)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Sustained throughput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~4 – 6 TPS, with burst headroom for spikes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Ledger / GL postings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~2 – 4× business transactions (double-entry + GL)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Document &amp; notification events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Scale proportionally with transactions</w:t>
            </w:r>
          </w:p>
        </w:tc>
      </w:tr>
    </w:tbl>
    <w:p>
      <w:pPr>
        <w:spacing w:after="110" w:before="40" w:line="276"/>
      </w:pPr>
      <w:r>
        <w:rPr>
          <w:i/>
          <w:iCs/>
          <w:color w:val="595959"/>
        </w:rPr>
        <w:t xml:space="preserve">These assumptions drive worker concurrency, DB IOPS and autoscaling thresholds; they are validated and finalised against the client's actual volumes during load testing.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Growth projection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Architecture scales horizontally — adding pods/nodes and DB read replicas absorbs growth.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Provision 12 months storage headroom; review sizing semi-annually.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Multi-tenant model accommodates new business units/partners without re-platforming.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Performance benchmark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(baseline)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&lt; 2 seconds (P100) under 100 concurrent users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Error rate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Zero 5xx errors at target load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Stability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Zero pod restarts / no data corruption under test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Latency percentiles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46"/>
              <w:left w:type="dxa" w:w="110"/>
              <w:bottom w:type="dxa" w:w="46"/>
              <w:right w:type="dxa" w:w="110"/>
            </w:tcMar>
            <w:vAlign w:val="center"/>
          </w:tcPr>
          <w:p>
            <w:pPr>
              <w:spacing w:after="18" w:line="248"/>
            </w:pPr>
            <w:r>
              <w:rPr>
                <w:sz w:val="18"/>
                <w:szCs w:val="18"/>
              </w:rPr>
              <w:t xml:space="preserve">P50/P95/P99 baselined per endpoint during load testing</w:t>
            </w:r>
          </w:p>
        </w:tc>
      </w:tr>
    </w:tbl>
    <w:p>
      <w:pPr>
        <w:spacing w:after="110" w:before="40" w:line="276"/>
      </w:pPr>
      <w:r>
        <w:rPr>
          <w:i/>
          <w:iCs/>
          <w:color w:val="595959"/>
        </w:rPr>
        <w:t xml:space="preserve">Final benchmarks established via a Locust-based load test on a dedicated test cluster prior to go-live.</w:t>
      </w:r>
    </w:p>
    <w:p>
      <w:r>
        <w:br w:type="page"/>
      </w:r>
    </w:p>
    <w:p>
      <w:pPr>
        <w:pStyle w:val="Heading2"/>
      </w:pPr>
      <w:r>
        <w:t xml:space="preserve">Infrastructure Dependency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Third-party software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Open-source frameworks/data stores: Django, FastAPI, Celery, React, PostgreSQL, MongoDB, Redis, RabbitMQ, Kubernetes.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Platform tooling: ArgoCD, Kustomize, Terraform, cert-manager, External Secrets Operator, KEDA, Prometheus, Grafana, Sentry.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Cloud services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Managed Kubernetes (GKE/EKS) or compatible private-cloud Kubernetes.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Managed databases (Cloud SQL/RDS, MongoDB Atlas), cache (Memorystore/ElastiCache).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Object storage (GCS/S3/Azure Blob), secret manager, DNS, managed certificates.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Internet connectivity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Outbound for third-party gateways (email/SMS/push) and optional AI services.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Inbound HTTPS for user/API access; restrictable to private/VPN access.</w:t>
      </w:r>
    </w:p>
    <w:p>
      <w:pPr>
        <w:pBdr>
          <w:left w:val="single" w:color="2E5496" w:sz="18" w:space="6"/>
        </w:pBdr>
        <w:shd w:fill="EAF0F8" w:val="clear"/>
        <w:spacing w:after="70" w:before="150"/>
      </w:pPr>
      <w:r>
        <w:rPr>
          <w:b/>
          <w:bCs/>
          <w:color w:val="1F3864"/>
          <w:sz w:val="21"/>
          <w:szCs w:val="21"/>
        </w:rPr>
        <w:t xml:space="preserve">▸ External systems</w:t>
      </w:r>
    </w:p>
    <w:p>
      <w:pPr>
        <w:spacing w:after="30"/>
      </w:pPr>
      <w:r>
        <w:rPr>
          <w:b/>
          <w:bCs/>
          <w:i/>
          <w:iCs/>
          <w:color w:val="2E7D32"/>
          <w:sz w:val="18"/>
          <w:szCs w:val="18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OIDC identity provider (authentication, AD/LDAP federation, MFA).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Client Core Banking, ERP and HR systems (integration endpoints).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Email, SMS and push notification providers.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jc w:val="center"/>
    </w:pPr>
    <w:r>
      <w:rPr>
        <w:color w:val="595959"/>
        <w:sz w:val="16"/>
        <w:szCs w:val="16"/>
      </w:rPr>
      <w:t xml:space="preserve">Confidential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6"/>
        <w:szCs w:val="16"/>
      </w:rPr>
      <w:t xml:space="preserve">Vayana Requirements — Crego Response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2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2026-06-27T15:39:26.285Z</dcterms:created>
  <dcterms:modified xsi:type="dcterms:W3CDTF">2026-06-27T15:39:26.286Z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