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" w:before="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DevOps Engineer</w:t>
      </w:r>
    </w:p>
    <w:p>
      <w:pPr>
        <w:spacing w:after="16" w:before="0"/>
      </w:pPr>
      <w:r>
        <w:rPr>
          <w:rFonts w:ascii="Arial" w:cs="Arial" w:eastAsia="Arial" w:hAnsi="Arial"/>
          <w:color w:val="1A7A8A"/>
          <w:sz w:val="22"/>
          <w:szCs w:val="22"/>
        </w:rPr>
        <w:t xml:space="preserve">Technical Assessment  —  SaaS Infrastructure (Multi-Tenancy &amp; Security)</w:t>
      </w:r>
    </w:p>
    <w:p>
      <w:pPr>
        <w:pBdr>
          <w:bottom w:val="single" w:color="1A7A8A" w:sz="3" w:space="1"/>
        </w:pBdr>
        <w:spacing w:after="12" w:before="12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F6E"/>
                <w:sz w:val="19"/>
                <w:szCs w:val="19"/>
              </w:rPr>
              <w:t xml:space="preserve">Duration: 1-2 Days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F6E"/>
                <w:sz w:val="19"/>
                <w:szCs w:val="19"/>
              </w:rPr>
              <w:t xml:space="preserve">Score: 100 pts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F6E"/>
                <w:sz w:val="19"/>
                <w:szCs w:val="19"/>
              </w:rPr>
              <w:t xml:space="preserve">Format: Take-Home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F6E"/>
                <w:sz w:val="19"/>
                <w:szCs w:val="19"/>
              </w:rPr>
              <w:t xml:space="preserve">Level: Mid-Senior</w:t>
            </w:r>
          </w:p>
        </w:tc>
      </w:tr>
    </w:tbl>
    <w:p>
      <w:pPr>
        <w:pBdr>
          <w:bottom w:val="single" w:color="1A7A8A" w:sz="3" w:space="1"/>
        </w:pBdr>
        <w:spacing w:after="12" w:before="12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Scenario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 are the first Platform Engineer at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TenantHub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a fintech SaaS company. The product serves multiple enterprise clients (tenants) on a shared Kubernetes cluster. Each tenant processes sensitive financial data and must be strictly isolated. You have been given a running GKE cluster with no meaningful infra automation. Your task is to design and implement the three foundational pillars the platform is missing.</w:t>
      </w:r>
    </w:p>
    <w:p>
      <w:pPr>
        <w:pStyle w:val="Heading1"/>
        <w:spacing w:after="80" w:before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Tasks</w:t>
      </w:r>
    </w:p>
    <w:p>
      <w:pPr>
        <w:pStyle w:val="Heading2"/>
        <w:spacing w:after="60" w:before="120"/>
      </w:pPr>
      <w:r>
        <w:rPr>
          <w:rFonts w:ascii="Arial" w:cs="Arial" w:eastAsia="Arial" w:hAnsi="Arial"/>
          <w:b/>
          <w:bCs/>
          <w:color w:val="1A7A8A"/>
          <w:sz w:val="23"/>
          <w:szCs w:val="23"/>
        </w:rPr>
        <w:t xml:space="preserve">Task 1 — Tenant Provisioning (35 pts)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new tenant </w:t>
      </w:r>
      <w:r>
        <w:rPr>
          <w:rFonts w:ascii="Courier New" w:cs="Courier New" w:eastAsia="Courier New" w:hAnsi="Courier New"/>
          <w:color w:val="1A7A8A"/>
          <w:sz w:val="19"/>
          <w:szCs w:val="19"/>
        </w:rPr>
        <w:t xml:space="preserve">acme-corp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needs to be onboarded. Automate the full provisioning flow: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Terraform module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provision a dedicated PostgreSQL database and user for the tenant within an existing Cloud SQL instance. Must be idempotent.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Kubernetes manifests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create a namespace </w:t>
      </w:r>
      <w:r>
        <w:rPr>
          <w:rFonts w:ascii="Courier New" w:cs="Courier New" w:eastAsia="Courier New" w:hAnsi="Courier New"/>
          <w:color w:val="1A7A8A"/>
          <w:sz w:val="19"/>
          <w:szCs w:val="19"/>
        </w:rPr>
        <w:t xml:space="preserve">acme-corp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 ServiceAccount, a Role granting read-only access to the tenant's own secrets only, and a RoleBinding.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GitHub Actions workflow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triggered by adding a row to </w:t>
      </w:r>
      <w:r>
        <w:rPr>
          <w:rFonts w:ascii="Courier New" w:cs="Courier New" w:eastAsia="Courier New" w:hAnsi="Courier New"/>
          <w:color w:val="1A7A8A"/>
          <w:sz w:val="19"/>
          <w:szCs w:val="19"/>
        </w:rPr>
        <w:t xml:space="preserve">tenants.yaml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 the repo. The workflow must run the Terraform module, create the K8s namespace + RBAC, and open a PR with the changes. It must be safe to re-run.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README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explain what happens if the workflow is run twice for the same tenant (idempotency), and how you would extend this to 50 tenants without editing the workflow.</w:t>
      </w:r>
    </w:p>
    <w:p>
      <w:pPr>
        <w:pStyle w:val="Heading2"/>
        <w:spacing w:after="60" w:before="120"/>
      </w:pPr>
      <w:r>
        <w:rPr>
          <w:rFonts w:ascii="Arial" w:cs="Arial" w:eastAsia="Arial" w:hAnsi="Arial"/>
          <w:b/>
          <w:bCs/>
          <w:color w:val="1A7A8A"/>
          <w:sz w:val="23"/>
          <w:szCs w:val="23"/>
        </w:rPr>
        <w:t xml:space="preserve">Task 2 — Secret Isolation &amp; Security (35 pts)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Today all tenants share one Kubernetes Secret </w:t>
      </w:r>
      <w:r>
        <w:rPr>
          <w:rFonts w:ascii="Courier New" w:cs="Courier New" w:eastAsia="Courier New" w:hAnsi="Courier New"/>
          <w:color w:val="1A7A8A"/>
          <w:sz w:val="19"/>
          <w:szCs w:val="19"/>
        </w:rPr>
        <w:t xml:space="preserve">app-env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Any pod can read any tenant's credentials. Fix this: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Per-tenant secrets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store each tenant's DB credentials in a separate GCP Secret Manager secret (e.g., </w:t>
      </w:r>
      <w:r>
        <w:rPr>
          <w:rFonts w:ascii="Courier New" w:cs="Courier New" w:eastAsia="Courier New" w:hAnsi="Courier New"/>
          <w:color w:val="1A7A8A"/>
          <w:sz w:val="19"/>
          <w:szCs w:val="19"/>
        </w:rPr>
        <w:t xml:space="preserve">tenant-acme-corp-credentials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). Write the Terraform resource.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Workload Identity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bind the tenant's Kubernetes ServiceAccount to a GCP service account that has </w:t>
      </w:r>
      <w:r>
        <w:rPr>
          <w:rFonts w:ascii="Courier New" w:cs="Courier New" w:eastAsia="Courier New" w:hAnsi="Courier New"/>
          <w:color w:val="1A7A8A"/>
          <w:sz w:val="19"/>
          <w:szCs w:val="19"/>
        </w:rPr>
        <w:t xml:space="preserve">roles/secretmanager.secretAccessor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scoped only to that tenant's secret (not project-wide). Write both the Terraform IAM binding and the K8s annotation.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ExternalSecret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write an </w:t>
      </w:r>
      <w:r>
        <w:rPr>
          <w:rFonts w:ascii="Courier New" w:cs="Courier New" w:eastAsia="Courier New" w:hAnsi="Courier New"/>
          <w:color w:val="1A7A8A"/>
          <w:sz w:val="19"/>
          <w:szCs w:val="19"/>
        </w:rPr>
        <w:t xml:space="preserve">ExternalSecret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manifest that syncs the tenant secret into the namespace via External Secrets Operator.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Network Policy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write a </w:t>
      </w:r>
      <w:r>
        <w:rPr>
          <w:rFonts w:ascii="Courier New" w:cs="Courier New" w:eastAsia="Courier New" w:hAnsi="Courier New"/>
          <w:color w:val="1A7A8A"/>
          <w:sz w:val="19"/>
          <w:szCs w:val="19"/>
        </w:rPr>
        <w:t xml:space="preserve">NetworkPolicy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that allows a tenant pod to reach only the cluster DNS and its own database. Deny all other egress.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README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in two paragraphs: (1) what attack is prevented by scoping the IAM binding to a single secret instead of the whole project, and (2) why a NetworkPolicy alone is not sufficient for tenant isolation in a shared-cluster SaaS model.</w:t>
      </w:r>
    </w:p>
    <w:p>
      <w:pPr>
        <w:pStyle w:val="Heading2"/>
        <w:spacing w:after="60" w:before="120"/>
      </w:pPr>
      <w:r>
        <w:rPr>
          <w:rFonts w:ascii="Arial" w:cs="Arial" w:eastAsia="Arial" w:hAnsi="Arial"/>
          <w:b/>
          <w:bCs/>
          <w:color w:val="1A7A8A"/>
          <w:sz w:val="23"/>
          <w:szCs w:val="23"/>
        </w:rPr>
        <w:t xml:space="preserve">Task 3 — Infra Change Visibility (30 pts)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team merges infra PRs without knowing what Kubernetes resources will actually change, and has no alerting when deployments break.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 diff workflow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GitHub Actions workflow that runs on every PR to the infra repo. It must run </w:t>
      </w:r>
      <w:r>
        <w:rPr>
          <w:rFonts w:ascii="Courier New" w:cs="Courier New" w:eastAsia="Courier New" w:hAnsi="Courier New"/>
          <w:color w:val="1A7A8A"/>
          <w:sz w:val="19"/>
          <w:szCs w:val="19"/>
        </w:rPr>
        <w:t xml:space="preserve">kustomize build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both the PR branch and </w:t>
      </w:r>
      <w:r>
        <w:rPr>
          <w:rFonts w:ascii="Courier New" w:cs="Courier New" w:eastAsia="Courier New" w:hAnsi="Courier New"/>
          <w:color w:val="1A7A8A"/>
          <w:sz w:val="19"/>
          <w:szCs w:val="19"/>
        </w:rPr>
        <w:t xml:space="preserve">main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diff the output, and post the result as a PR comment.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ArgoCD health alert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write the ArgoCD </w:t>
      </w:r>
      <w:r>
        <w:rPr>
          <w:rFonts w:ascii="Courier New" w:cs="Courier New" w:eastAsia="Courier New" w:hAnsi="Courier New"/>
          <w:color w:val="1A7A8A"/>
          <w:sz w:val="19"/>
          <w:szCs w:val="19"/>
        </w:rPr>
        <w:t xml:space="preserve">argocd-notifications-cm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ConfigMap entry that sends a Slack message whenever any Application transitions to </w:t>
      </w:r>
      <w:r>
        <w:rPr>
          <w:rFonts w:ascii="Courier New" w:cs="Courier New" w:eastAsia="Courier New" w:hAnsi="Courier New"/>
          <w:color w:val="1A7A8A"/>
          <w:sz w:val="19"/>
          <w:szCs w:val="19"/>
        </w:rPr>
        <w:t xml:space="preserve">Degraded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or </w:t>
      </w:r>
      <w:r>
        <w:rPr>
          <w:rFonts w:ascii="Courier New" w:cs="Courier New" w:eastAsia="Courier New" w:hAnsi="Courier New"/>
          <w:color w:val="1A7A8A"/>
          <w:sz w:val="19"/>
          <w:szCs w:val="19"/>
        </w:rPr>
        <w:t xml:space="preserve">OutOfSync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The message must include the app name, environment, and a link to the ArgoCD UI.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README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describe one real scenario where the PR diff workflow would have caught a mistake before it reached production.</w:t>
      </w:r>
    </w:p>
    <w:p>
      <w:pPr>
        <w:pStyle w:val="Heading1"/>
        <w:spacing w:after="80" w:before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Deliverables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Submit a GitHub repo (private is fine; add reviewer as collaborator) with the structure below. Include a </w:t>
      </w:r>
      <w:r>
        <w:rPr>
          <w:rFonts w:ascii="Courier New" w:cs="Courier New" w:eastAsia="Courier New" w:hAnsi="Courier New"/>
          <w:color w:val="1A7A8A"/>
          <w:sz w:val="19"/>
          <w:szCs w:val="19"/>
        </w:rPr>
        <w:t xml:space="preserve">terraform plan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output as </w:t>
      </w:r>
      <w:r>
        <w:rPr>
          <w:rFonts w:ascii="Courier New" w:cs="Courier New" w:eastAsia="Courier New" w:hAnsi="Courier New"/>
          <w:color w:val="1A7A8A"/>
          <w:sz w:val="19"/>
          <w:szCs w:val="19"/>
        </w:rPr>
        <w:t xml:space="preserve">task1/plan.txt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a </w:t>
      </w:r>
      <w:r>
        <w:rPr>
          <w:rFonts w:ascii="Courier New" w:cs="Courier New" w:eastAsia="Courier New" w:hAnsi="Courier New"/>
          <w:color w:val="1A7A8A"/>
          <w:sz w:val="19"/>
          <w:szCs w:val="19"/>
        </w:rPr>
        <w:t xml:space="preserve">kustomize build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output as </w:t>
      </w:r>
      <w:r>
        <w:rPr>
          <w:rFonts w:ascii="Courier New" w:cs="Courier New" w:eastAsia="Courier New" w:hAnsi="Courier New"/>
          <w:color w:val="1A7A8A"/>
          <w:sz w:val="19"/>
          <w:szCs w:val="19"/>
        </w:rPr>
        <w:t xml:space="preserve">task3/kustomize-output.txt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No live cloud account required — code quality is assessed, not deployed infra.</w:t>
      </w:r>
    </w:p>
    <w:p>
      <w:pPr>
        <w:pStyle w:val="Heading1"/>
        <w:spacing w:after="80" w:before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Scoring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2160"/>
      </w:tblGrid>
      <w:tr>
        <w:trPr>
          <w:tblHeader/>
        </w:trPr>
        <w:tc>
          <w:tcPr>
            <w:tcW w:type="dxa" w:w="144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Task</w:t>
            </w:r>
          </w:p>
        </w:tc>
        <w:tc>
          <w:tcPr>
            <w:tcW w:type="dxa" w:w="648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Focus</w:t>
            </w:r>
          </w:p>
        </w:tc>
        <w:tc>
          <w:tcPr>
            <w:tcW w:type="dxa" w:w="21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E8EEF4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Points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Task 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Tenant provisioning — Terraform, K8s RBAC, GitHub Actions workflow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1"/>
                <w:szCs w:val="21"/>
              </w:rPr>
              <w:t xml:space="preserve">35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55"/>
              <w:left w:type="dxa" w:w="14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Task 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55"/>
              <w:left w:type="dxa" w:w="14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Secret isolation — Workload Identity, scoped IAM, ESO, NetworkPolicy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55"/>
              <w:left w:type="dxa" w:w="14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1"/>
                <w:szCs w:val="21"/>
              </w:rPr>
              <w:t xml:space="preserve">35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Task 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Infra change visibility — PR diff, ArgoCD Slack alert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1"/>
                <w:szCs w:val="21"/>
              </w:rPr>
              <w:t xml:space="preserve">30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55"/>
              <w:left w:type="dxa" w:w="14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Total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55"/>
              <w:left w:type="dxa" w:w="14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55"/>
              <w:left w:type="dxa" w:w="14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0"/>
                <w:sz w:val="21"/>
                <w:szCs w:val="21"/>
              </w:rPr>
              <w:t xml:space="preserve">100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555F6E"/>
          <w:sz w:val="19"/>
          <w:szCs w:val="19"/>
        </w:rPr>
        <w:t xml:space="preserve">We assess: correctness, idempotency, least-privilege security, and honest trade-off documentation in your READMEs. Incomplete solutions with clear reasoning score better than complete solutions with no explanation.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8A" w:sz="3" w:space="1"/>
      </w:pBdr>
      <w:tabs>
        <w:tab w:val="right" w:pos="10080"/>
      </w:tabs>
      <w:spacing w:after="0" w:before="80"/>
    </w:pPr>
    <w:r>
      <w:rPr>
        <w:rFonts w:ascii="Arial" w:cs="Arial" w:eastAsia="Arial" w:hAnsi="Arial"/>
        <w:color w:val="7A8899"/>
        <w:sz w:val="17"/>
        <w:szCs w:val="17"/>
      </w:rPr>
      <w:t xml:space="preserve">1-2 Day Take-Home</w:t>
    </w:r>
    <w:r>
      <w:rPr>
        <w:rFonts w:ascii="Arial" w:cs="Arial" w:eastAsia="Arial" w:hAnsi="Arial"/>
        <w:color w:val="1A1A1A"/>
        <w:sz w:val="21"/>
        <w:szCs w:val="21"/>
      </w:rPr>
      <w:t xml:space="preserve">	</w:t>
    </w:r>
    <w:r>
      <w:rPr>
        <w:rFonts w:ascii="Arial" w:cs="Arial" w:eastAsia="Arial" w:hAnsi="Arial"/>
        <w:color w:val="7A8899"/>
        <w:sz w:val="17"/>
        <w:szCs w:val="17"/>
      </w:rPr>
      <w:t xml:space="preserve">Page </w:t>
    </w:r>
    <w:r>
      <w:rPr>
        <w:rFonts w:ascii="Arial" w:cs="Arial" w:eastAsia="Arial" w:hAnsi="Arial"/>
        <w:color w:val="7A88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8A" w:sz="3" w:space="1"/>
      </w:pBdr>
      <w:tabs>
        <w:tab w:val="right" w:pos="10080"/>
      </w:tabs>
      <w:spacing w:after="80" w:before="0"/>
    </w:pPr>
    <w:r>
      <w:rPr>
        <w:rFonts w:ascii="Arial" w:cs="Arial" w:eastAsia="Arial" w:hAnsi="Arial"/>
        <w:color w:val="7A8899"/>
        <w:sz w:val="17"/>
        <w:szCs w:val="17"/>
      </w:rPr>
      <w:t xml:space="preserve">DevOps Engineer - Technical Assignment</w:t>
    </w:r>
    <w:r>
      <w:rPr>
        <w:rFonts w:ascii="Arial" w:cs="Arial" w:eastAsia="Arial" w:hAnsi="Arial"/>
        <w:color w:val="1A1A1A"/>
        <w:sz w:val="21"/>
        <w:szCs w:val="21"/>
      </w:rPr>
      <w:t xml:space="preserve">	</w:t>
    </w:r>
    <w:r>
      <w:rPr>
        <w:rFonts w:ascii="Arial" w:cs="Arial" w:eastAsia="Arial" w:hAnsi="Arial"/>
        <w:b/>
        <w:bCs/>
        <w:color w:val="1A7A8A"/>
        <w:sz w:val="17"/>
        <w:szCs w:val="17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A7A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2026-05-14T10:03:39.499Z</dcterms:created>
  <dcterms:modified xsi:type="dcterms:W3CDTF">2026-05-14T10:03:39.499Z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