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3864"/>
          <w:sz w:val="60"/>
          <w:szCs w:val="60"/>
        </w:rPr>
        <w:t xml:space="preserve">CREGO PLATFORM</w:t>
      </w:r>
    </w:p>
    <w:p>
      <w:pPr>
        <w:spacing w:after="40"/>
        <w:jc w:val="center"/>
      </w:pPr>
      <w:r>
        <w:rPr>
          <w:color w:val="2E5496"/>
          <w:sz w:val="36"/>
          <w:szCs w:val="36"/>
        </w:rPr>
        <w:t xml:space="preserve">Technical Proposal Response</w:t>
      </w:r>
    </w:p>
    <w:p>
      <w:pPr>
        <w:spacing w:after="300"/>
        <w:jc w:val="center"/>
      </w:pPr>
      <w:r>
        <w:rPr>
          <w:i/>
          <w:iCs/>
          <w:color w:val="595959"/>
          <w:sz w:val="26"/>
          <w:szCs w:val="26"/>
        </w:rPr>
        <w:t xml:space="preserve">Solution, Architecture &amp; Infrastructure</w:t>
      </w:r>
    </w:p>
    <w:p>
      <w:pPr>
        <w:pBdr>
          <w:top w:val="single" w:color="1F3864" w:sz="8" w:space="6"/>
          <w:bottom w:val="single" w:color="1F3864" w:sz="8" w:space="6"/>
        </w:pBdr>
        <w:spacing w:after="200" w:before="200"/>
        <w:jc w:val="center"/>
      </w:pPr>
      <w:r>
        <w:rPr>
          <w:b/>
          <w:bCs/>
          <w:color w:val="1F3864"/>
          <w:sz w:val="24"/>
          <w:szCs w:val="24"/>
        </w:rPr>
        <w:t xml:space="preserve">Cloud-Native, Multi-Tenant Lending &amp; Workflow Automation Platform</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Document</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Detail</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Prepared by</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Crego Engineering</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Response type</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Technical compliance &amp; infrastructure proposal</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Platform version referenced</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v2.3.0 (current production baseline)</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Target deployment scale</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Medium — 500 to 2,000 named users</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Document scope</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Technical content only (no commercial terms)</w:t>
            </w:r>
          </w:p>
        </w:tc>
      </w:tr>
    </w:tbl>
    <w:p>
      <w:pPr>
        <w:spacing w:before="300"/>
        <w:jc w:val="center"/>
      </w:pPr>
      <w:r>
        <w:rPr>
          <w:i/>
          <w:iCs/>
          <w:color w:val="595959"/>
          <w:sz w:val="18"/>
          <w:szCs w:val="18"/>
        </w:rPr>
        <w:t xml:space="preserve">Confidential — prepared for client technical evaluation</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Read This Response</w:t>
      </w:r>
    </w:p>
    <w:p>
      <w:pPr>
        <w:spacing w:after="120" w:before="0" w:line="276"/>
      </w:pPr>
      <w:r>
        <w:t xml:space="preserve">This document responds to each requirement in the client RFP. Functional requirements are answered using a compliance rating so the evaluator can scan capability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Rating</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Meaning</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line="250"/>
            </w:pPr>
            <w:r>
              <w:rPr>
                <w:b/>
                <w:bCs/>
                <w:color w:val="2E7D32"/>
                <w:sz w:val="19"/>
                <w:szCs w:val="19"/>
              </w:rPr>
              <w:t xml:space="preserve">Supported</w:t>
            </w:r>
          </w:p>
        </w:tc>
        <w:tc>
          <w:tcPr>
            <w:tcW w:type="dxa" w:w="69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Available out-of-the-box in the current platform; enabled by configuration.</w:t>
            </w:r>
          </w:p>
        </w:tc>
      </w:tr>
      <w:tr>
        <w:tc>
          <w:tcPr>
            <w:tcW w:type="dxa" w:w="24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line="250"/>
            </w:pPr>
            <w:r>
              <w:rPr>
                <w:b/>
                <w:bCs/>
                <w:color w:val="2E5496"/>
                <w:sz w:val="19"/>
                <w:szCs w:val="19"/>
              </w:rPr>
              <w:t xml:space="preserve">Configurable</w:t>
            </w:r>
          </w:p>
        </w:tc>
        <w:tc>
          <w:tcPr>
            <w:tcW w:type="dxa" w:w="69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Available; behaviour is set through configuration (no source change).</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line="250"/>
            </w:pPr>
            <w:r>
              <w:rPr>
                <w:b/>
                <w:bCs/>
                <w:color w:val="B26A00"/>
                <w:sz w:val="19"/>
                <w:szCs w:val="19"/>
              </w:rPr>
              <w:t xml:space="preserve">Customization</w:t>
            </w:r>
          </w:p>
        </w:tc>
        <w:tc>
          <w:tcPr>
            <w:tcW w:type="dxa" w:w="69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Delivered as scoped engagement work on the platform's extension framework.</w:t>
            </w:r>
          </w:p>
        </w:tc>
      </w:tr>
    </w:tbl>
    <w:p>
      <w:pPr>
        <w:spacing w:after="120" w:before="80" w:line="276"/>
      </w:pPr>
      <w:r>
        <w:rPr>
          <w:i/>
          <w:iCs/>
          <w:color w:val="595959"/>
        </w:rPr>
        <w:t xml:space="preserve">Items shown as highlighted placeholders are figures Crego will confirm during finalisation (e.g. RTO/RPO commitments, certification status, exact instance sizing).</w:t>
      </w:r>
    </w:p>
    <w:p>
      <w:r>
        <w:br w:type="page"/>
      </w:r>
    </w:p>
    <w:p>
      <w:pPr>
        <w:pStyle w:val="Heading1"/>
      </w:pPr>
      <w:r>
        <w:t xml:space="preserve">1. Solution Overview</w:t>
      </w:r>
    </w:p>
    <w:p>
      <w:pPr>
        <w:pStyle w:val="Heading2"/>
      </w:pPr>
      <w:r>
        <w:t xml:space="preserve">1.1 Overall Description of the Solution</w:t>
      </w:r>
    </w:p>
    <w:p>
      <w:pPr>
        <w:spacing w:after="120" w:before="0" w:line="276"/>
      </w:pPr>
      <w:r>
        <w:t xml:space="preserve">Crego is a cloud-native, multi-tenant platform for digital lending and financial-process automation. It combines a core transaction and account-management system with a configurable, graph-based workflow engine, exposed through modern web and mobile front-ends. The platform is built API-first, so every capability is available over REST and can be embedded into the client's existing channels and systems.</w:t>
      </w:r>
    </w:p>
    <w:p>
      <w:pPr>
        <w:spacing w:after="120" w:before="0" w:line="276"/>
      </w:pPr>
      <w:r>
        <w:t xml:space="preserve">The solution is composed of two backend services and two client applications, deployed together as one integrated product:</w:t>
      </w:r>
    </w:p>
    <w:p>
      <w:pPr>
        <w:pStyle w:val="ListParagraph"/>
        <w:numPr>
          <w:ilvl w:val="0"/>
          <w:numId w:val="2"/>
        </w:numPr>
        <w:spacing w:after="70" w:line="270"/>
      </w:pPr>
      <w:r>
        <w:rPr>
          <w:b/>
          <w:bCs/>
        </w:rPr>
        <w:t xml:space="preserve">Omni (Core Platform API): </w:t>
      </w:r>
      <w:r>
        <w:t xml:space="preserve">double-entry core transaction module (CTM), chart of accounts, product/account management, payment schedules, maker-checker approvals, document management, contacts, notifications and a full audit subsystem.</w:t>
      </w:r>
    </w:p>
    <w:p>
      <w:pPr>
        <w:pStyle w:val="ListParagraph"/>
        <w:numPr>
          <w:ilvl w:val="0"/>
          <w:numId w:val="2"/>
        </w:numPr>
        <w:spacing w:after="70" w:line="270"/>
      </w:pPr>
      <w:r>
        <w:rPr>
          <w:b/>
          <w:bCs/>
        </w:rPr>
        <w:t xml:space="preserve">Flow (Workflow Engine API): </w:t>
      </w:r>
      <w:r>
        <w:t xml:space="preserve">a graph-based execution engine for business processes — web forms, API-request nodes and custom task nodes, with conditional branching, templating and per-node access control.</w:t>
      </w:r>
    </w:p>
    <w:p>
      <w:pPr>
        <w:pStyle w:val="ListParagraph"/>
        <w:numPr>
          <w:ilvl w:val="0"/>
          <w:numId w:val="2"/>
        </w:numPr>
        <w:spacing w:after="70" w:line="270"/>
      </w:pPr>
      <w:r>
        <w:rPr>
          <w:b/>
          <w:bCs/>
        </w:rPr>
        <w:t xml:space="preserve">Web application: </w:t>
      </w:r>
      <w:r>
        <w:t xml:space="preserve">a single-page application for operations, lending and back-office users.</w:t>
      </w:r>
    </w:p>
    <w:p>
      <w:pPr>
        <w:pStyle w:val="ListParagraph"/>
        <w:numPr>
          <w:ilvl w:val="0"/>
          <w:numId w:val="2"/>
        </w:numPr>
        <w:spacing w:after="70" w:line="270"/>
      </w:pPr>
      <w:r>
        <w:rPr>
          <w:b/>
          <w:bCs/>
        </w:rPr>
        <w:t xml:space="preserve">Mobile application: </w:t>
      </w:r>
      <w:r>
        <w:t xml:space="preserve">a cross-platform mobile app for field and on-the-go users.</w:t>
      </w:r>
    </w:p>
    <w:p>
      <w:pPr>
        <w:spacing w:after="120" w:before="40" w:line="276"/>
      </w:pPr>
      <w:r>
        <w:t xml:space="preserve">The platform supports strict multi-tenancy, allowing the client to run isolated environments per business unit, subsidiary or partner on shared infrastructure.</w:t>
      </w:r>
    </w:p>
    <w:p>
      <w:pPr>
        <w:pStyle w:val="Heading2"/>
      </w:pPr>
      <w:r>
        <w:t xml:space="preserve">1.2 Proposed Deployment Architecture</w:t>
      </w:r>
    </w:p>
    <w:p>
      <w:pPr>
        <w:spacing w:after="120" w:before="0" w:line="276"/>
      </w:pPr>
      <w:r>
        <w:t xml:space="preserve">The recommended deployment is a containerised, Kubernetes-based topology managed through GitOps. The platform is cloud-portable and is proven on both Google Cloud (GKE) and AWS (EKS); it can equally be deployed to the bank's private cloud where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Layer</w:t>
            </w:r>
          </w:p>
        </w:tc>
        <w:tc>
          <w:tcPr>
            <w:tcW w:type="dxa" w:w="5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Component</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Deployment</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Edge / Routing</w:t>
            </w:r>
          </w:p>
        </w:tc>
        <w:tc>
          <w:tcPr>
            <w:tcW w:type="dxa" w:w="5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L7 load balancer + ingress gateway (managed LB / NGINX), TLS termination, host &amp; path routing</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1 shared entry point, per-tenant hostnames</w:t>
            </w:r>
          </w:p>
        </w:tc>
      </w:tr>
      <w:tr>
        <w:tc>
          <w:tcPr>
            <w:tcW w:type="dxa" w:w="2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Application tier</w:t>
            </w:r>
          </w:p>
        </w:tc>
        <w:tc>
          <w:tcPr>
            <w:tcW w:type="dxa" w:w="51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Omni API (Django), Flow API (FastAPI), Web app, Mobile API endpoints</w:t>
            </w:r>
          </w:p>
        </w:tc>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Stateless pods, horizontally autoscaled</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Async / processing</w:t>
            </w:r>
          </w:p>
        </w:tc>
        <w:tc>
          <w:tcPr>
            <w:tcW w:type="dxa" w:w="5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Celery workers, Celery Beat scheduler, Flower monitor, RabbitMQ broker</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Queue-driven, autoscaled (KEDA)</w:t>
            </w:r>
          </w:p>
        </w:tc>
      </w:tr>
      <w:tr>
        <w:tc>
          <w:tcPr>
            <w:tcW w:type="dxa" w:w="2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Data tier</w:t>
            </w:r>
          </w:p>
        </w:tc>
        <w:tc>
          <w:tcPr>
            <w:tcW w:type="dxa" w:w="51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PostgreSQL (core), MongoDB (workflow), Redis (cache/session)</w:t>
            </w:r>
          </w:p>
        </w:tc>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Managed services, private network only</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Platform services</w:t>
            </w:r>
          </w:p>
        </w:tc>
        <w:tc>
          <w:tcPr>
            <w:tcW w:type="dxa" w:w="5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Secret manager, certificate manager, DNS, object storage</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Cloud-managed, integrated via operators</w:t>
            </w:r>
          </w:p>
        </w:tc>
      </w:tr>
    </w:tbl>
    <w:p>
      <w:pPr>
        <w:spacing w:after="120" w:before="80" w:line="276"/>
      </w:pPr>
      <w:r>
        <w:t xml:space="preserve">Tenancy model: the platform runs a shared application tier today with per-tenant data isolation, and supports a hardened namespace-per-tenant model (dedicated namespace, secrets, network policies, RBAC and resource quotas per tenant) for clients requiring strong isolation.</w:t>
      </w:r>
    </w:p>
    <w:p>
      <w:pPr>
        <w:pStyle w:val="Heading2"/>
      </w:pPr>
      <w:r>
        <w:t xml:space="preserve">1.3 System Modules and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Module</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Functionality</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Core Transaction Module (CTM)</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Double-entry bookkeeping, transaction posting &amp; validation, ledger integrity.</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Chart of Accounts (COA)</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Configurable account hierarchy and GL structure.</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Product &amp; Account</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Product definition, account lifecycle and limit management.</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Schedule</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Payment/repayment schedule generation and demand management.</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Review (Maker-Checker)</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Multi-stage approval workflows for sensitive operations.</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Workflow / Flow Engine</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Graph-based process automation with forms, API calls and tasks.</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Documents</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Secure document storage, sharing with expiry, encryption.</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Contact</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Customer/partner contact and address management with field masking.</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Notifications</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Multi-channel — email, SMS and push — with templating and rules.</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Audit</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Immutable audit trail of all financial and entity changes.</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Authz</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OIDC authentication, JWT issuance, RBAC, tenant context.</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Connectors</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Webhook / integration framework for external systems.</w:t>
            </w:r>
          </w:p>
        </w:tc>
      </w:tr>
    </w:tbl>
    <w:p>
      <w:pPr>
        <w:pStyle w:val="Heading2"/>
      </w:pPr>
      <w:r>
        <w:t xml:space="preserve">1.4 Licensing Model</w:t>
      </w:r>
    </w:p>
    <w:p>
      <w:pPr>
        <w:spacing w:after="120" w:before="0" w:line="276"/>
      </w:pPr>
      <w:r>
        <w:t xml:space="preserve">The platform is architected for flexible licensing — its multi-tenant design supports per-tenant, per-module and per-user packaging, and the cloud-portable deployment supports both managed-subscription and client-hosted models. Commercial licensing terms are addressed separately from this technical response.</w:t>
      </w:r>
    </w:p>
    <w:p>
      <w:pPr>
        <w:pStyle w:val="Heading2"/>
      </w:pPr>
      <w:r>
        <w:t xml:space="preserve">1.5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Tier</w:t>
            </w:r>
          </w:p>
        </w:tc>
        <w:tc>
          <w:tcPr>
            <w:tcW w:type="dxa" w:w="4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Technology</w:t>
            </w:r>
          </w:p>
        </w:tc>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Version / Notes</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Core API (Omni)</w:t>
            </w:r>
          </w:p>
        </w:tc>
        <w:tc>
          <w:tcPr>
            <w:tcW w:type="dxa" w:w="40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Python · Django · Django REST Framework</w:t>
            </w:r>
          </w:p>
        </w:tc>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Python 3.13, Django 5.2.x, DRF</w:t>
            </w:r>
          </w:p>
        </w:tc>
      </w:tr>
      <w:tr>
        <w:tc>
          <w:tcPr>
            <w:tcW w:type="dxa" w:w="2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Workflow API (Flow)</w:t>
            </w:r>
          </w:p>
        </w:tc>
        <w:tc>
          <w:tcPr>
            <w:tcW w:type="dxa" w:w="40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Python · FastAPI · Uvicorn</w:t>
            </w:r>
          </w:p>
        </w:tc>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Python 3.13, async REST</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Web</w:t>
            </w:r>
          </w:p>
        </w:tc>
        <w:tc>
          <w:tcPr>
            <w:tcW w:type="dxa" w:w="40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React · TypeScript · Vite · Tailwind CSS</w:t>
            </w:r>
          </w:p>
        </w:tc>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React 19, TS 5.9, Tailwind 4</w:t>
            </w:r>
          </w:p>
        </w:tc>
      </w:tr>
      <w:tr>
        <w:tc>
          <w:tcPr>
            <w:tcW w:type="dxa" w:w="2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Mobile</w:t>
            </w:r>
          </w:p>
        </w:tc>
        <w:tc>
          <w:tcPr>
            <w:tcW w:type="dxa" w:w="40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React Native · Expo</w:t>
            </w:r>
          </w:p>
        </w:tc>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RN 0.81 / Expo 54 (iOS &amp; Android)</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Core database</w:t>
            </w:r>
          </w:p>
        </w:tc>
        <w:tc>
          <w:tcPr>
            <w:tcW w:type="dxa" w:w="40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PostgreSQL</w:t>
            </w:r>
          </w:p>
        </w:tc>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Primary–replica, SSL enforced</w:t>
            </w:r>
          </w:p>
        </w:tc>
      </w:tr>
      <w:tr>
        <w:tc>
          <w:tcPr>
            <w:tcW w:type="dxa" w:w="2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Workflow database</w:t>
            </w:r>
          </w:p>
        </w:tc>
        <w:tc>
          <w:tcPr>
            <w:tcW w:type="dxa" w:w="40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MongoDB</w:t>
            </w:r>
          </w:p>
        </w:tc>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Per-tenant databases</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Cache / session / broker</w:t>
            </w:r>
          </w:p>
        </w:tc>
        <w:tc>
          <w:tcPr>
            <w:tcW w:type="dxa" w:w="40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Redis · RabbitMQ</w:t>
            </w:r>
          </w:p>
        </w:tc>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Redis (cache/session), RabbitMQ (queue)</w:t>
            </w:r>
          </w:p>
        </w:tc>
      </w:tr>
      <w:tr>
        <w:tc>
          <w:tcPr>
            <w:tcW w:type="dxa" w:w="2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Async processing</w:t>
            </w:r>
          </w:p>
        </w:tc>
        <w:tc>
          <w:tcPr>
            <w:tcW w:type="dxa" w:w="40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Celery · Celery Beat · Flower · KEDA</w:t>
            </w:r>
          </w:p>
        </w:tc>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Distributed task processing &amp; autoscaling</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Orchestration</w:t>
            </w:r>
          </w:p>
        </w:tc>
        <w:tc>
          <w:tcPr>
            <w:tcW w:type="dxa" w:w="40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Kubernetes · ArgoCD · Kustomize · Terraform</w:t>
            </w:r>
          </w:p>
        </w:tc>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GitOps, IaC, multi-cloud (GKE/EKS)</w:t>
            </w:r>
          </w:p>
        </w:tc>
      </w:tr>
      <w:tr>
        <w:tc>
          <w:tcPr>
            <w:tcW w:type="dxa" w:w="2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Observability</w:t>
            </w:r>
          </w:p>
        </w:tc>
        <w:tc>
          <w:tcPr>
            <w:tcW w:type="dxa" w:w="40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Sentry · Prometheus · Grafana</w:t>
            </w:r>
          </w:p>
        </w:tc>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Errors, metrics, dashboards</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Auth</w:t>
            </w:r>
          </w:p>
        </w:tc>
        <w:tc>
          <w:tcPr>
            <w:tcW w:type="dxa" w:w="40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OIDC · JWT</w:t>
            </w:r>
          </w:p>
        </w:tc>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OpenID Connect, signed JWT</w:t>
            </w:r>
          </w:p>
        </w:tc>
      </w:tr>
    </w:tbl>
    <w:p>
      <w:r>
        <w:br w:type="page"/>
      </w:r>
    </w:p>
    <w:p>
      <w:pPr>
        <w:pStyle w:val="Heading1"/>
      </w:pPr>
      <w:r>
        <w:t xml:space="preserve">2. Functional Compliance</w:t>
      </w:r>
    </w:p>
    <w:p>
      <w:pPr>
        <w:spacing w:after="120" w:before="0" w:line="276"/>
      </w:pPr>
      <w:r>
        <w:t xml:space="preserve">Detailed response against each functional requirement area.</w:t>
      </w:r>
    </w:p>
    <w:p>
      <w:pPr>
        <w:pStyle w:val="Heading2"/>
      </w:pPr>
      <w:r>
        <w:t xml:space="preserve">2.1 Fully Supported Features (out-of-the-box)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Capability</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Compliance</w:t>
            </w:r>
          </w:p>
        </w:tc>
        <w:tc>
          <w:tcPr>
            <w:tcW w:type="dxa" w:w="3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Notes</w:t>
            </w:r>
          </w:p>
        </w:tc>
      </w:tr>
      <w:tr>
        <w:tc>
          <w:tcPr>
            <w:tcW w:type="dxa" w:w="3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Double-entry transaction processing</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line="250"/>
            </w:pPr>
            <w:r>
              <w:rPr>
                <w:b/>
                <w:bCs/>
                <w:color w:val="2E7D32"/>
                <w:sz w:val="19"/>
                <w:szCs w:val="19"/>
              </w:rPr>
              <w:t xml:space="preserve">Supported</w:t>
            </w:r>
          </w:p>
        </w:tc>
        <w:tc>
          <w:tcPr>
            <w:tcW w:type="dxa" w:w="35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Core Transaction Module with ledger validation.</w:t>
            </w:r>
          </w:p>
        </w:tc>
      </w:tr>
      <w:tr>
        <w:tc>
          <w:tcPr>
            <w:tcW w:type="dxa" w:w="36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Account &amp; product management</w:t>
            </w:r>
          </w:p>
        </w:tc>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line="250"/>
            </w:pPr>
            <w:r>
              <w:rPr>
                <w:b/>
                <w:bCs/>
                <w:color w:val="2E7D32"/>
                <w:sz w:val="19"/>
                <w:szCs w:val="19"/>
              </w:rPr>
              <w:t xml:space="preserve">Supported</w:t>
            </w:r>
          </w:p>
        </w:tc>
        <w:tc>
          <w:tcPr>
            <w:tcW w:type="dxa" w:w="35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Product, account and limit lifecycle.</w:t>
            </w:r>
          </w:p>
        </w:tc>
      </w:tr>
      <w:tr>
        <w:tc>
          <w:tcPr>
            <w:tcW w:type="dxa" w:w="3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Payment schedule generation</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line="250"/>
            </w:pPr>
            <w:r>
              <w:rPr>
                <w:b/>
                <w:bCs/>
                <w:color w:val="2E7D32"/>
                <w:sz w:val="19"/>
                <w:szCs w:val="19"/>
              </w:rPr>
              <w:t xml:space="preserve">Supported</w:t>
            </w:r>
          </w:p>
        </w:tc>
        <w:tc>
          <w:tcPr>
            <w:tcW w:type="dxa" w:w="35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Schedule and demand management.</w:t>
            </w:r>
          </w:p>
        </w:tc>
      </w:tr>
      <w:tr>
        <w:tc>
          <w:tcPr>
            <w:tcW w:type="dxa" w:w="36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Maker-checker approvals</w:t>
            </w:r>
          </w:p>
        </w:tc>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line="250"/>
            </w:pPr>
            <w:r>
              <w:rPr>
                <w:b/>
                <w:bCs/>
                <w:color w:val="2E7D32"/>
                <w:sz w:val="19"/>
                <w:szCs w:val="19"/>
              </w:rPr>
              <w:t xml:space="preserve">Supported</w:t>
            </w:r>
          </w:p>
        </w:tc>
        <w:tc>
          <w:tcPr>
            <w:tcW w:type="dxa" w:w="35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Multi-stage review workflows.</w:t>
            </w:r>
          </w:p>
        </w:tc>
      </w:tr>
      <w:tr>
        <w:tc>
          <w:tcPr>
            <w:tcW w:type="dxa" w:w="3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Document management</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line="250"/>
            </w:pPr>
            <w:r>
              <w:rPr>
                <w:b/>
                <w:bCs/>
                <w:color w:val="2E7D32"/>
                <w:sz w:val="19"/>
                <w:szCs w:val="19"/>
              </w:rPr>
              <w:t xml:space="preserve">Supported</w:t>
            </w:r>
          </w:p>
        </w:tc>
        <w:tc>
          <w:tcPr>
            <w:tcW w:type="dxa" w:w="35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Encrypted storage, controlled sharing.</w:t>
            </w:r>
          </w:p>
        </w:tc>
      </w:tr>
      <w:tr>
        <w:tc>
          <w:tcPr>
            <w:tcW w:type="dxa" w:w="36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Multi-channel notifications</w:t>
            </w:r>
          </w:p>
        </w:tc>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line="250"/>
            </w:pPr>
            <w:r>
              <w:rPr>
                <w:b/>
                <w:bCs/>
                <w:color w:val="2E7D32"/>
                <w:sz w:val="19"/>
                <w:szCs w:val="19"/>
              </w:rPr>
              <w:t xml:space="preserve">Supported</w:t>
            </w:r>
          </w:p>
        </w:tc>
        <w:tc>
          <w:tcPr>
            <w:tcW w:type="dxa" w:w="35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Email, SMS, push with templates.</w:t>
            </w:r>
          </w:p>
        </w:tc>
      </w:tr>
      <w:tr>
        <w:tc>
          <w:tcPr>
            <w:tcW w:type="dxa" w:w="3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Audit trail</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line="250"/>
            </w:pPr>
            <w:r>
              <w:rPr>
                <w:b/>
                <w:bCs/>
                <w:color w:val="2E7D32"/>
                <w:sz w:val="19"/>
                <w:szCs w:val="19"/>
              </w:rPr>
              <w:t xml:space="preserve">Supported</w:t>
            </w:r>
          </w:p>
        </w:tc>
        <w:tc>
          <w:tcPr>
            <w:tcW w:type="dxa" w:w="35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Immutable, API- and dashboard-accessible.</w:t>
            </w:r>
          </w:p>
        </w:tc>
      </w:tr>
      <w:tr>
        <w:tc>
          <w:tcPr>
            <w:tcW w:type="dxa" w:w="36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RBAC &amp; multi-tenancy</w:t>
            </w:r>
          </w:p>
        </w:tc>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line="250"/>
            </w:pPr>
            <w:r>
              <w:rPr>
                <w:b/>
                <w:bCs/>
                <w:color w:val="2E7D32"/>
                <w:sz w:val="19"/>
                <w:szCs w:val="19"/>
              </w:rPr>
              <w:t xml:space="preserve">Supported</w:t>
            </w:r>
          </w:p>
        </w:tc>
        <w:tc>
          <w:tcPr>
            <w:tcW w:type="dxa" w:w="35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Role/profile-based, tenant-isolated.</w:t>
            </w:r>
          </w:p>
        </w:tc>
      </w:tr>
      <w:tr>
        <w:tc>
          <w:tcPr>
            <w:tcW w:type="dxa" w:w="3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Workflow automation</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line="250"/>
            </w:pPr>
            <w:r>
              <w:rPr>
                <w:b/>
                <w:bCs/>
                <w:color w:val="2E7D32"/>
                <w:sz w:val="19"/>
                <w:szCs w:val="19"/>
              </w:rPr>
              <w:t xml:space="preserve">Supported</w:t>
            </w:r>
          </w:p>
        </w:tc>
        <w:tc>
          <w:tcPr>
            <w:tcW w:type="dxa" w:w="35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Configurable graph-based engine.</w:t>
            </w:r>
          </w:p>
        </w:tc>
      </w:tr>
    </w:tbl>
    <w:p>
      <w:pPr>
        <w:pStyle w:val="Heading2"/>
      </w:pPr>
      <w:r>
        <w:t xml:space="preserve">2.2 Customization Requirements</w:t>
      </w:r>
    </w:p>
    <w:p>
      <w:pPr>
        <w:spacing w:after="120" w:before="0" w:line="276"/>
      </w:pPr>
      <w:r>
        <w:t xml:space="preserve">The platform is configuration-first; the following are typically delivered as scoped engagement work on the platform's extension points:</w:t>
      </w:r>
    </w:p>
    <w:p>
      <w:pPr>
        <w:pStyle w:val="ListParagraph"/>
        <w:numPr>
          <w:ilvl w:val="0"/>
          <w:numId w:val="2"/>
        </w:numPr>
        <w:spacing w:after="70" w:line="270"/>
      </w:pPr>
      <w:r>
        <w:t xml:space="preserve">Client-specific product, GL and account-hierarchy setup (configuration).</w:t>
      </w:r>
    </w:p>
    <w:p>
      <w:pPr>
        <w:pStyle w:val="ListParagraph"/>
        <w:numPr>
          <w:ilvl w:val="0"/>
          <w:numId w:val="2"/>
        </w:numPr>
        <w:spacing w:after="70" w:line="270"/>
      </w:pPr>
      <w:r>
        <w:t xml:space="preserve">Bespoke approval matrices and business rules beyond the supplied templates (configuration of the workflow engine).</w:t>
      </w:r>
    </w:p>
    <w:p>
      <w:pPr>
        <w:pStyle w:val="ListParagraph"/>
        <w:numPr>
          <w:ilvl w:val="0"/>
          <w:numId w:val="2"/>
        </w:numPr>
        <w:spacing w:after="70" w:line="270"/>
      </w:pPr>
      <w:r>
        <w:t xml:space="preserve">Integrations to the client's Core Banking, ERP, HR and identity systems (built per engagement — see Section 4).</w:t>
      </w:r>
    </w:p>
    <w:p>
      <w:pPr>
        <w:pStyle w:val="ListParagraph"/>
        <w:numPr>
          <w:ilvl w:val="0"/>
          <w:numId w:val="2"/>
        </w:numPr>
        <w:spacing w:after="70" w:line="270"/>
      </w:pPr>
      <w:r>
        <w:t xml:space="preserve">Custom report layouts and statutory/regulatory report formats (customization).</w:t>
      </w:r>
    </w:p>
    <w:p>
      <w:pPr>
        <w:pStyle w:val="ListParagraph"/>
        <w:numPr>
          <w:ilvl w:val="0"/>
          <w:numId w:val="2"/>
        </w:numPr>
        <w:spacing w:after="70" w:line="270"/>
      </w:pPr>
      <w:r>
        <w:t xml:space="preserve">Branded UI themes and client-specific screens where required (customization).</w:t>
      </w:r>
    </w:p>
    <w:p>
      <w:pPr>
        <w:pStyle w:val="Heading2"/>
      </w:pPr>
      <w:r>
        <w:t xml:space="preserve">2.3 Third-Party Dependency Requirements</w:t>
      </w:r>
    </w:p>
    <w:p>
      <w:pPr>
        <w:spacing w:after="120" w:before="0" w:line="276"/>
      </w:pPr>
      <w:r>
        <w:t xml:space="preserve">The platform relies on the following categories of third-party services. All are pluggable and can be substituted with the client's preferred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Dependency</w:t>
            </w:r>
          </w:p>
        </w:tc>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Purpose</w:t>
            </w:r>
          </w:p>
        </w:tc>
        <w:tc>
          <w:tcPr>
            <w:tcW w:type="dxa" w:w="3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Default / Options</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Email gateway</w:t>
            </w:r>
          </w:p>
        </w:tc>
        <w:tc>
          <w:tcPr>
            <w:tcW w:type="dxa" w:w="35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Transactional email</w:t>
            </w:r>
          </w:p>
        </w:tc>
        <w:tc>
          <w:tcPr>
            <w:tcW w:type="dxa" w:w="35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SMTP / SendGrid (configurable)</w:t>
            </w:r>
          </w:p>
        </w:tc>
      </w:tr>
      <w:tr>
        <w:tc>
          <w:tcPr>
            <w:tcW w:type="dxa" w:w="2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SMS gateway</w:t>
            </w:r>
          </w:p>
        </w:tc>
        <w:tc>
          <w:tcPr>
            <w:tcW w:type="dxa" w:w="35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OTP &amp; alerts</w:t>
            </w:r>
          </w:p>
        </w:tc>
        <w:tc>
          <w:tcPr>
            <w:tcW w:type="dxa" w:w="35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Kaleyra (DLT-ready); pluggable</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Push notifications</w:t>
            </w:r>
          </w:p>
        </w:tc>
        <w:tc>
          <w:tcPr>
            <w:tcW w:type="dxa" w:w="35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Mobile alerts</w:t>
            </w:r>
          </w:p>
        </w:tc>
        <w:tc>
          <w:tcPr>
            <w:tcW w:type="dxa" w:w="35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Firebase Cloud Messaging</w:t>
            </w:r>
          </w:p>
        </w:tc>
      </w:tr>
      <w:tr>
        <w:tc>
          <w:tcPr>
            <w:tcW w:type="dxa" w:w="2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Object storage</w:t>
            </w:r>
          </w:p>
        </w:tc>
        <w:tc>
          <w:tcPr>
            <w:tcW w:type="dxa" w:w="35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Document storage</w:t>
            </w:r>
          </w:p>
        </w:tc>
        <w:tc>
          <w:tcPr>
            <w:tcW w:type="dxa" w:w="35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S3 / Azure Blob / GCS</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Identity provider</w:t>
            </w:r>
          </w:p>
        </w:tc>
        <w:tc>
          <w:tcPr>
            <w:tcW w:type="dxa" w:w="35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Authentication (OIDC)</w:t>
            </w:r>
          </w:p>
        </w:tc>
        <w:tc>
          <w:tcPr>
            <w:tcW w:type="dxa" w:w="35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Any OIDC-compliant IdP / AD federation</w:t>
            </w:r>
          </w:p>
        </w:tc>
      </w:tr>
      <w:tr>
        <w:tc>
          <w:tcPr>
            <w:tcW w:type="dxa" w:w="2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Document AI (optional)</w:t>
            </w:r>
          </w:p>
        </w:tc>
        <w:tc>
          <w:tcPr>
            <w:tcW w:type="dxa" w:w="35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Data extraction</w:t>
            </w:r>
          </w:p>
        </w:tc>
        <w:tc>
          <w:tcPr>
            <w:tcW w:type="dxa" w:w="35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LLM service (optional, mockable)</w:t>
            </w:r>
          </w:p>
        </w:tc>
      </w:tr>
    </w:tbl>
    <w:p>
      <w:pPr>
        <w:pStyle w:val="Heading2"/>
      </w:pPr>
      <w:r>
        <w:t xml:space="preserve">2.4 Workflow Capabilities</w:t>
      </w:r>
    </w:p>
    <w:p>
      <w:pPr>
        <w:spacing w:after="120" w:before="0" w:line="276"/>
      </w:pPr>
      <w:r>
        <w:t xml:space="preserve">The Flow engine is a configurable, graph-based process engine:</w:t>
      </w:r>
    </w:p>
    <w:p>
      <w:pPr>
        <w:pStyle w:val="ListParagraph"/>
        <w:numPr>
          <w:ilvl w:val="0"/>
          <w:numId w:val="2"/>
        </w:numPr>
        <w:spacing w:after="70" w:line="270"/>
      </w:pPr>
      <w:r>
        <w:t xml:space="preserve">Node types: web forms (JSON-schema driven), API-request nodes (external calls) and task nodes (custom logic).</w:t>
      </w:r>
    </w:p>
    <w:p>
      <w:pPr>
        <w:pStyle w:val="ListParagraph"/>
        <w:numPr>
          <w:ilvl w:val="0"/>
          <w:numId w:val="2"/>
        </w:numPr>
        <w:spacing w:after="70" w:line="270"/>
      </w:pPr>
      <w:r>
        <w:t xml:space="preserve">Conditional branching using rule expressions (JSONLogic); templating via Mako / JMESPath.</w:t>
      </w:r>
    </w:p>
    <w:p>
      <w:pPr>
        <w:pStyle w:val="ListParagraph"/>
        <w:numPr>
          <w:ilvl w:val="0"/>
          <w:numId w:val="2"/>
        </w:numPr>
        <w:spacing w:after="70" w:line="270"/>
      </w:pPr>
      <w:r>
        <w:t xml:space="preserve">Per-node role-based permissions and access control.</w:t>
      </w:r>
    </w:p>
    <w:p>
      <w:pPr>
        <w:pStyle w:val="ListParagraph"/>
        <w:numPr>
          <w:ilvl w:val="0"/>
          <w:numId w:val="2"/>
        </w:numPr>
        <w:spacing w:after="70" w:line="270"/>
      </w:pPr>
      <w:r>
        <w:t xml:space="preserve">Asynchronous long-running steps via Celery; full execution history and activity logging.</w:t>
      </w:r>
    </w:p>
    <w:p>
      <w:pPr>
        <w:pStyle w:val="ListParagraph"/>
        <w:numPr>
          <w:ilvl w:val="0"/>
          <w:numId w:val="2"/>
        </w:numPr>
        <w:spacing w:after="70" w:line="270"/>
      </w:pPr>
      <w:r>
        <w:t xml:space="preserve">Maker-checker approval flows in Omni for financial operations.</w:t>
      </w:r>
    </w:p>
    <w:p>
      <w:pPr>
        <w:pStyle w:val="ListParagraph"/>
        <w:numPr>
          <w:ilvl w:val="0"/>
          <w:numId w:val="2"/>
        </w:numPr>
        <w:spacing w:after="70" w:line="270"/>
      </w:pPr>
      <w:r>
        <w:t xml:space="preserve">Multi-tenant, tenant-isolated execution with per-tenant configuration.</w:t>
      </w:r>
    </w:p>
    <w:p>
      <w:pPr>
        <w:pStyle w:val="Heading2"/>
      </w:pPr>
      <w:r>
        <w:t xml:space="preserve">2.5 Reporting and Dashboard Features</w:t>
      </w:r>
    </w:p>
    <w:p>
      <w:pPr>
        <w:pStyle w:val="ListParagraph"/>
        <w:numPr>
          <w:ilvl w:val="0"/>
          <w:numId w:val="2"/>
        </w:numPr>
        <w:spacing w:after="70" w:line="270"/>
      </w:pPr>
      <w:r>
        <w:t xml:space="preserve">Operational dashboards in the web application built on live API data.</w:t>
      </w:r>
    </w:p>
    <w:p>
      <w:pPr>
        <w:pStyle w:val="ListParagraph"/>
        <w:numPr>
          <w:ilvl w:val="0"/>
          <w:numId w:val="2"/>
        </w:numPr>
        <w:spacing w:after="70" w:line="270"/>
      </w:pPr>
      <w:r>
        <w:t xml:space="preserve">On-demand and scheduled report generation (PDF/document output via ReportLab / WeasyPrint).</w:t>
      </w:r>
    </w:p>
    <w:p>
      <w:pPr>
        <w:pStyle w:val="ListParagraph"/>
        <w:numPr>
          <w:ilvl w:val="0"/>
          <w:numId w:val="2"/>
        </w:numPr>
        <w:spacing w:after="70" w:line="270"/>
      </w:pPr>
      <w:r>
        <w:t xml:space="preserve">Audit and approval reporting with full traceability.</w:t>
      </w:r>
    </w:p>
    <w:p>
      <w:pPr>
        <w:pStyle w:val="ListParagraph"/>
        <w:numPr>
          <w:ilvl w:val="0"/>
          <w:numId w:val="2"/>
        </w:numPr>
        <w:spacing w:after="70" w:line="270"/>
      </w:pPr>
      <w:r>
        <w:t xml:space="preserve">Platform observability dashboards (Grafana) for performance, queues and infrastructure.</w:t>
      </w:r>
    </w:p>
    <w:p>
      <w:pPr>
        <w:pStyle w:val="ListParagraph"/>
        <w:numPr>
          <w:ilvl w:val="0"/>
          <w:numId w:val="2"/>
        </w:numPr>
        <w:spacing w:after="70" w:line="270"/>
      </w:pPr>
      <w:r>
        <w:rPr>
          <w:b/>
          <w:bCs/>
        </w:rPr>
        <w:t xml:space="preserve">Custom regulatory/statutory reports: </w:t>
      </w:r>
      <w:r>
        <w:t xml:space="preserve">delivered as scoped customization to the client's required formats.</w:t>
      </w:r>
    </w:p>
    <w:p>
      <w:pPr>
        <w:pStyle w:val="Heading2"/>
      </w:pPr>
      <w:r>
        <w:t xml:space="preserve">2.6 Mobile / Web Access Capability</w:t>
      </w:r>
    </w:p>
    <w:p>
      <w:pPr>
        <w:pStyle w:val="ListParagraph"/>
        <w:numPr>
          <w:ilvl w:val="0"/>
          <w:numId w:val="2"/>
        </w:numPr>
        <w:spacing w:after="70" w:line="270"/>
      </w:pPr>
      <w:r>
        <w:rPr>
          <w:b/>
          <w:bCs/>
        </w:rPr>
        <w:t xml:space="preserve">Web: </w:t>
      </w:r>
      <w:r>
        <w:t xml:space="preserve">responsive single-page application (React 19) for desktop and tablet, accessible over standard browsers.</w:t>
      </w:r>
    </w:p>
    <w:p>
      <w:pPr>
        <w:pStyle w:val="ListParagraph"/>
        <w:numPr>
          <w:ilvl w:val="0"/>
          <w:numId w:val="2"/>
        </w:numPr>
        <w:spacing w:after="70" w:line="270"/>
      </w:pPr>
      <w:r>
        <w:rPr>
          <w:b/>
          <w:bCs/>
        </w:rPr>
        <w:t xml:space="preserve">Mobile: </w:t>
      </w:r>
      <w:r>
        <w:t xml:space="preserve">native cross-platform application (React Native / Expo) for iOS and Android, with push notifications and device registration.</w:t>
      </w:r>
    </w:p>
    <w:p>
      <w:pPr>
        <w:pStyle w:val="ListParagraph"/>
        <w:numPr>
          <w:ilvl w:val="0"/>
          <w:numId w:val="2"/>
        </w:numPr>
        <w:spacing w:after="70" w:line="270"/>
      </w:pPr>
      <w:r>
        <w:rPr>
          <w:b/>
          <w:bCs/>
        </w:rPr>
        <w:t xml:space="preserve">API access: </w:t>
      </w:r>
      <w:r>
        <w:t xml:space="preserve">all functionality is exposed over REST for integration into the client's own channels.</w:t>
      </w:r>
    </w:p>
    <w:p>
      <w:r>
        <w:br w:type="page"/>
      </w:r>
    </w:p>
    <w:p>
      <w:pPr>
        <w:pStyle w:val="Heading1"/>
      </w:pPr>
      <w:r>
        <w:t xml:space="preserve">3. System Architecture</w:t>
      </w:r>
    </w:p>
    <w:p>
      <w:pPr>
        <w:pStyle w:val="Heading2"/>
      </w:pPr>
      <w:r>
        <w:t xml:space="preserve">3.1 High-Level Architecture</w:t>
      </w:r>
    </w:p>
    <w:p>
      <w:pPr>
        <w:spacing w:after="120" w:before="0" w:line="276"/>
      </w:pPr>
      <w:r>
        <w:t xml:space="preserve">The platform follows a layered, service-oriented architecture. Client requests enter through a single L7 gateway and are routed by path and host to the appropriate service; stateless application services scale horizontally; data and async processing are isolated in dedicated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Tier</w:t>
            </w:r>
          </w:p>
        </w:tc>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Responsibility</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Key Components</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1 — Client</w:t>
            </w:r>
          </w:p>
        </w:tc>
        <w:tc>
          <w:tcPr>
            <w:tcW w:type="dxa" w:w="35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User interaction</w:t>
            </w:r>
          </w:p>
        </w:tc>
        <w:tc>
          <w:tcPr>
            <w:tcW w:type="dxa" w:w="4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Web SPA, Mobile app, external API consumers</w:t>
            </w:r>
          </w:p>
        </w:tc>
      </w:tr>
      <w:tr>
        <w:tc>
          <w:tcPr>
            <w:tcW w:type="dxa" w:w="15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2 — Edge</w:t>
            </w:r>
          </w:p>
        </w:tc>
        <w:tc>
          <w:tcPr>
            <w:tcW w:type="dxa" w:w="35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Routing, TLS, security</w:t>
            </w:r>
          </w:p>
        </w:tc>
        <w:tc>
          <w:tcPr>
            <w:tcW w:type="dxa" w:w="4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L7 gateway / ingress, WAF-ready, cert manager</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3 — Application</w:t>
            </w:r>
          </w:p>
        </w:tc>
        <w:tc>
          <w:tcPr>
            <w:tcW w:type="dxa" w:w="35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Business logic, APIs</w:t>
            </w:r>
          </w:p>
        </w:tc>
        <w:tc>
          <w:tcPr>
            <w:tcW w:type="dxa" w:w="4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Omni API (Django/DRF), Flow API (FastAPI)</w:t>
            </w:r>
          </w:p>
        </w:tc>
      </w:tr>
      <w:tr>
        <w:tc>
          <w:tcPr>
            <w:tcW w:type="dxa" w:w="15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4 — Processing</w:t>
            </w:r>
          </w:p>
        </w:tc>
        <w:tc>
          <w:tcPr>
            <w:tcW w:type="dxa" w:w="35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Async &amp; scheduled work</w:t>
            </w:r>
          </w:p>
        </w:tc>
        <w:tc>
          <w:tcPr>
            <w:tcW w:type="dxa" w:w="4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Celery workers, Beat scheduler, RabbitMQ</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5 — Data</w:t>
            </w:r>
          </w:p>
        </w:tc>
        <w:tc>
          <w:tcPr>
            <w:tcW w:type="dxa" w:w="35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Persistence &amp; cache</w:t>
            </w:r>
          </w:p>
        </w:tc>
        <w:tc>
          <w:tcPr>
            <w:tcW w:type="dxa" w:w="4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PostgreSQL, MongoDB, Redis, object storage</w:t>
            </w:r>
          </w:p>
        </w:tc>
      </w:tr>
    </w:tbl>
    <w:p>
      <w:pPr>
        <w:spacing w:after="40" w:before="80" w:line="276"/>
      </w:pPr>
      <w:r>
        <w:rPr>
          <w:b/>
          <w:bCs/>
        </w:rPr>
        <w:t xml:space="preserve">Request routing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Path</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Routed to</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/api/*</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Omni API (core platform)</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/flow/api/*</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Flow API (workflow engine)</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/flow/*</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Flow web application</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 (default)</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Omni web application</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/flower/*</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Celery monitoring (restricted)</w:t>
            </w:r>
          </w:p>
        </w:tc>
      </w:tr>
    </w:tbl>
    <w:p>
      <w:pPr>
        <w:pStyle w:val="Heading2"/>
      </w:pPr>
      <w:r>
        <w:t xml:space="preserve">3.2 Application Architecture</w:t>
      </w:r>
    </w:p>
    <w:p>
      <w:pPr>
        <w:pStyle w:val="ListParagraph"/>
        <w:numPr>
          <w:ilvl w:val="0"/>
          <w:numId w:val="2"/>
        </w:numPr>
        <w:spacing w:after="70" w:line="270"/>
      </w:pPr>
      <w:r>
        <w:t xml:space="preserve">Modular monolith per service: Omni is built as pluggable Django apps (CTM, COA, Schedule, Review, Docs, Contact, Audit, Authz, etc.); Flow is an async FastAPI service.</w:t>
      </w:r>
    </w:p>
    <w:p>
      <w:pPr>
        <w:pStyle w:val="ListParagraph"/>
        <w:numPr>
          <w:ilvl w:val="0"/>
          <w:numId w:val="2"/>
        </w:numPr>
        <w:spacing w:after="70" w:line="270"/>
      </w:pPr>
      <w:r>
        <w:t xml:space="preserve">Stateless application pods — all session state is externalised to Redis, enabling free horizontal scaling.</w:t>
      </w:r>
    </w:p>
    <w:p>
      <w:pPr>
        <w:pStyle w:val="ListParagraph"/>
        <w:numPr>
          <w:ilvl w:val="0"/>
          <w:numId w:val="2"/>
        </w:numPr>
        <w:spacing w:after="70" w:line="270"/>
      </w:pPr>
      <w:r>
        <w:t xml:space="preserve">API-first: REST for all functionality; FastAPI auto-publishes OpenAPI specifications.</w:t>
      </w:r>
    </w:p>
    <w:p>
      <w:pPr>
        <w:pStyle w:val="ListParagraph"/>
        <w:numPr>
          <w:ilvl w:val="0"/>
          <w:numId w:val="2"/>
        </w:numPr>
        <w:spacing w:after="70" w:line="270"/>
      </w:pPr>
      <w:r>
        <w:t xml:space="preserve">Event-driven background processing decouples long-running work (reports, bulk operations, notifications) from request handling.</w:t>
      </w:r>
    </w:p>
    <w:p>
      <w:pPr>
        <w:pStyle w:val="Heading2"/>
      </w:pPr>
      <w:r>
        <w:t xml:space="preserve">3.3 Database Architecture</w:t>
      </w:r>
    </w:p>
    <w:p>
      <w:pPr>
        <w:pStyle w:val="ListParagraph"/>
        <w:numPr>
          <w:ilvl w:val="0"/>
          <w:numId w:val="2"/>
        </w:numPr>
        <w:spacing w:after="70" w:line="270"/>
      </w:pPr>
      <w:r>
        <w:rPr>
          <w:b/>
          <w:bCs/>
        </w:rPr>
        <w:t xml:space="preserve">PostgreSQL </w:t>
      </w:r>
      <w:r>
        <w:t xml:space="preserve">(core/Omni): transactional system of record, primary–replica configuration, SSL enforced, per-tenant logical separation.</w:t>
      </w:r>
    </w:p>
    <w:p>
      <w:pPr>
        <w:pStyle w:val="ListParagraph"/>
        <w:numPr>
          <w:ilvl w:val="0"/>
          <w:numId w:val="2"/>
        </w:numPr>
        <w:spacing w:after="70" w:line="270"/>
      </w:pPr>
      <w:r>
        <w:rPr>
          <w:b/>
          <w:bCs/>
        </w:rPr>
        <w:t xml:space="preserve">MongoDB </w:t>
      </w:r>
      <w:r>
        <w:t xml:space="preserve">(Flow): workflow definitions and execution history, per-tenant databases.</w:t>
      </w:r>
    </w:p>
    <w:p>
      <w:pPr>
        <w:pStyle w:val="ListParagraph"/>
        <w:numPr>
          <w:ilvl w:val="0"/>
          <w:numId w:val="2"/>
        </w:numPr>
        <w:spacing w:after="70" w:line="270"/>
      </w:pPr>
      <w:r>
        <w:rPr>
          <w:b/>
          <w:bCs/>
        </w:rPr>
        <w:t xml:space="preserve">Redis: </w:t>
      </w:r>
      <w:r>
        <w:t xml:space="preserve">caching, session store and rate-limiting backend.</w:t>
      </w:r>
    </w:p>
    <w:p>
      <w:pPr>
        <w:pStyle w:val="ListParagraph"/>
        <w:numPr>
          <w:ilvl w:val="0"/>
          <w:numId w:val="2"/>
        </w:numPr>
        <w:spacing w:after="70" w:line="270"/>
      </w:pPr>
      <w:r>
        <w:t xml:space="preserve">Sensitive fields encrypted at the application layer; soft-deletion preserves audit integrity.</w:t>
      </w:r>
    </w:p>
    <w:p>
      <w:pPr>
        <w:pStyle w:val="Heading2"/>
      </w:pPr>
      <w:r>
        <w:t xml:space="preserve">3.4 Integration Architecture</w:t>
      </w:r>
    </w:p>
    <w:p>
      <w:pPr>
        <w:spacing w:after="120" w:before="0" w:line="276"/>
      </w:pPr>
      <w:r>
        <w:t xml:space="preserve">Integration follows an API-first, loosely-coupled pattern. The platform exposes REST APIs and consumes external systems through API-request workflow nodes, a webhook/connector framework, and standard provider adapters (email, SMS, storage, identity). See Section 4 for supported methods.</w:t>
      </w:r>
    </w:p>
    <w:p>
      <w:pPr>
        <w:pStyle w:val="Heading2"/>
      </w:pPr>
      <w:r>
        <w:t xml:space="preserve">3.5 Multi-Tier Architecture Details</w:t>
      </w:r>
    </w:p>
    <w:p>
      <w:pPr>
        <w:spacing w:after="120" w:before="0" w:line="276"/>
      </w:pPr>
      <w:r>
        <w:t xml:space="preserve">The platform is a strict N-tier system with clear separation between presentation, application, processing and data tiers. Each tier scales independently, communicates over well-defined interfaces, and is deployed as isolated, independently-upgradable Kubernetes workloads. The data tier is never exposed to the public network; only the edge tier holds public endpoints.</w:t>
      </w:r>
    </w:p>
    <w:p>
      <w:r>
        <w:br w:type="page"/>
      </w:r>
    </w:p>
    <w:p>
      <w:pPr>
        <w:pStyle w:val="Heading1"/>
      </w:pPr>
      <w:r>
        <w:t xml:space="preserve">4. Integration Capability</w:t>
      </w:r>
    </w:p>
    <w:p>
      <w:pPr>
        <w:spacing w:after="120" w:before="0" w:line="276"/>
      </w:pPr>
      <w:r>
        <w:t xml:space="preserve">Crego is an API-first platform. Integrations to enterprise systems are delivered through standards-based methods — REST/SOAP web services, webhooks, file-based exchange and the workflow engine's API-request nodes — and are scoped and built per engagement against the target system's published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Target System</w:t>
            </w:r>
          </w:p>
        </w:tc>
        <w:tc>
          <w:tcPr>
            <w:tcW w:type="dxa" w:w="2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Approach</w:t>
            </w:r>
          </w:p>
        </w:tc>
        <w:tc>
          <w:tcPr>
            <w:tcW w:type="dxa" w:w="4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Supported Methods</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Core Banking System (CBS)</w:t>
            </w:r>
          </w:p>
        </w:tc>
        <w:tc>
          <w:tcPr>
            <w:tcW w:type="dxa" w:w="2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line="250"/>
            </w:pPr>
            <w:r>
              <w:rPr>
                <w:sz w:val="19"/>
                <w:szCs w:val="19"/>
              </w:rPr>
              <w:t xml:space="preserve">API-based, built per engagement</w:t>
            </w:r>
          </w:p>
        </w:tc>
        <w:tc>
          <w:tcPr>
            <w:tcW w:type="dxa" w:w="4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REST / SOAP web services, file/batch exchange, webhooks</w:t>
            </w:r>
          </w:p>
        </w:tc>
      </w:tr>
      <w:tr>
        <w:tc>
          <w:tcPr>
            <w:tcW w:type="dxa" w:w="2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ERP / Finance system</w:t>
            </w:r>
          </w:p>
        </w:tc>
        <w:tc>
          <w:tcPr>
            <w:tcW w:type="dxa" w:w="29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API-based, built per engagement</w:t>
            </w:r>
          </w:p>
        </w:tc>
        <w:tc>
          <w:tcPr>
            <w:tcW w:type="dxa" w:w="41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REST / SOAP, scheduled file exchange, GL posting APIs</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HR system</w:t>
            </w:r>
          </w:p>
        </w:tc>
        <w:tc>
          <w:tcPr>
            <w:tcW w:type="dxa" w:w="2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API-based, built per engagement</w:t>
            </w:r>
          </w:p>
        </w:tc>
        <w:tc>
          <w:tcPr>
            <w:tcW w:type="dxa" w:w="4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REST APIs, file-based import/export</w:t>
            </w:r>
          </w:p>
        </w:tc>
      </w:tr>
      <w:tr>
        <w:tc>
          <w:tcPr>
            <w:tcW w:type="dxa" w:w="2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Active Directory / LDAP</w:t>
            </w:r>
          </w:p>
        </w:tc>
        <w:tc>
          <w:tcPr>
            <w:tcW w:type="dxa" w:w="29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Federated via OIDC</w:t>
            </w:r>
          </w:p>
        </w:tc>
        <w:tc>
          <w:tcPr>
            <w:tcW w:type="dxa" w:w="41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OIDC federation to AD/LDAP-backed IdP; SSO</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Email gateway</w:t>
            </w:r>
          </w:p>
        </w:tc>
        <w:tc>
          <w:tcPr>
            <w:tcW w:type="dxa" w:w="2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Native adapter</w:t>
            </w:r>
          </w:p>
        </w:tc>
        <w:tc>
          <w:tcPr>
            <w:tcW w:type="dxa" w:w="4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SMTP / SendGrid</w:t>
            </w:r>
          </w:p>
        </w:tc>
      </w:tr>
      <w:tr>
        <w:tc>
          <w:tcPr>
            <w:tcW w:type="dxa" w:w="2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SMS gateway</w:t>
            </w:r>
          </w:p>
        </w:tc>
        <w:tc>
          <w:tcPr>
            <w:tcW w:type="dxa" w:w="29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Native adapter</w:t>
            </w:r>
          </w:p>
        </w:tc>
        <w:tc>
          <w:tcPr>
            <w:tcW w:type="dxa" w:w="41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Kaleyra (DLT-ready), pluggable provider</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Digital channels</w:t>
            </w:r>
          </w:p>
        </w:tc>
        <w:tc>
          <w:tcPr>
            <w:tcW w:type="dxa" w:w="2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API-first</w:t>
            </w:r>
          </w:p>
        </w:tc>
        <w:tc>
          <w:tcPr>
            <w:tcW w:type="dxa" w:w="4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REST APIs, webhooks for portals/apps/aggregators</w:t>
            </w:r>
          </w:p>
        </w:tc>
      </w:tr>
    </w:tbl>
    <w:p>
      <w:pPr>
        <w:pStyle w:val="Heading2"/>
      </w:pPr>
      <w:r>
        <w:t xml:space="preserve">4.1 API Capability</w:t>
      </w:r>
    </w:p>
    <w:p>
      <w:pPr>
        <w:pStyle w:val="ListParagraph"/>
        <w:numPr>
          <w:ilvl w:val="0"/>
          <w:numId w:val="2"/>
        </w:numPr>
        <w:spacing w:after="70" w:line="270"/>
      </w:pPr>
      <w:r>
        <w:t xml:space="preserve">Comprehensive REST API covering all platform functionality (Django REST Framework + FastAPI).</w:t>
      </w:r>
    </w:p>
    <w:p>
      <w:pPr>
        <w:pStyle w:val="ListParagraph"/>
        <w:numPr>
          <w:ilvl w:val="0"/>
          <w:numId w:val="2"/>
        </w:numPr>
        <w:spacing w:after="70" w:line="270"/>
      </w:pPr>
      <w:r>
        <w:t xml:space="preserve">OpenAPI/Swagger specifications auto-generated for the Flow service; documented endpoints for Omni.</w:t>
      </w:r>
    </w:p>
    <w:p>
      <w:pPr>
        <w:pStyle w:val="ListParagraph"/>
        <w:numPr>
          <w:ilvl w:val="0"/>
          <w:numId w:val="2"/>
        </w:numPr>
        <w:spacing w:after="70" w:line="270"/>
      </w:pPr>
      <w:r>
        <w:t xml:space="preserve">JWT/OIDC-secured, tenant-aware, with configurable rate limiting.</w:t>
      </w:r>
    </w:p>
    <w:p>
      <w:pPr>
        <w:pStyle w:val="Heading2"/>
      </w:pPr>
      <w:r>
        <w:t xml:space="preserve">4.2 Web Services Support (REST / SOAP)</w:t>
      </w:r>
    </w:p>
    <w:p>
      <w:pPr>
        <w:pStyle w:val="ListParagraph"/>
        <w:numPr>
          <w:ilvl w:val="0"/>
          <w:numId w:val="2"/>
        </w:numPr>
        <w:spacing w:after="70" w:line="270"/>
      </w:pPr>
      <w:r>
        <w:rPr>
          <w:b/>
          <w:bCs/>
        </w:rPr>
        <w:t xml:space="preserve">REST: </w:t>
      </w:r>
      <w:r>
        <w:t xml:space="preserve">native, primary interface (JSON over HTTPS).</w:t>
      </w:r>
    </w:p>
    <w:p>
      <w:pPr>
        <w:pStyle w:val="ListParagraph"/>
        <w:numPr>
          <w:ilvl w:val="0"/>
          <w:numId w:val="2"/>
        </w:numPr>
        <w:spacing w:after="70" w:line="270"/>
      </w:pPr>
      <w:r>
        <w:rPr>
          <w:b/>
          <w:bCs/>
        </w:rPr>
        <w:t xml:space="preserve">SOAP: </w:t>
      </w:r>
      <w:r>
        <w:t xml:space="preserve">supported for legacy enterprise systems (e.g. CBS) via an integration adapter built per engagement.</w:t>
      </w:r>
    </w:p>
    <w:p>
      <w:pPr>
        <w:pStyle w:val="Heading2"/>
      </w:pPr>
      <w:r>
        <w:t xml:space="preserve">4.3 Active Directory / LDAP</w:t>
      </w:r>
    </w:p>
    <w:p>
      <w:pPr>
        <w:spacing w:after="120" w:before="0" w:line="276"/>
      </w:pPr>
      <w:r>
        <w:t xml:space="preserve">The platform authenticates via OpenID Connect. It integrates with the client's Active Directory or LDAP through any OIDC-compliant identity provider (e.g. Azure AD/Entra ID, Keycloak, ADFS), giving single sign-on and centralised user management without the platform storing directory credentials.</w:t>
      </w:r>
    </w:p>
    <w:p>
      <w:pPr>
        <w:pStyle w:val="Heading2"/>
      </w:pPr>
      <w:r>
        <w:t xml:space="preserve">4.4 Digital Channels</w:t>
      </w:r>
    </w:p>
    <w:p>
      <w:pPr>
        <w:spacing w:after="120" w:before="0" w:line="276"/>
      </w:pPr>
      <w:r>
        <w:t xml:space="preserve">Because every capability is API-exposed, the platform integrates cleanly with customer portals, partner systems, mobile apps and aggregators through REST APIs and webhooks.</w:t>
      </w:r>
    </w:p>
    <w:p>
      <w:r>
        <w:br w:type="page"/>
      </w:r>
    </w:p>
    <w:p>
      <w:pPr>
        <w:pStyle w:val="Heading1"/>
      </w:pPr>
      <w:r>
        <w:t xml:space="preserve">5. Security Features</w:t>
      </w:r>
    </w:p>
    <w:p>
      <w:pPr>
        <w:pStyle w:val="Heading2"/>
      </w:pPr>
      <w:r>
        <w:t xml:space="preserve">5.1 Authentication Mechanisms</w:t>
      </w:r>
    </w:p>
    <w:p>
      <w:pPr>
        <w:pStyle w:val="ListParagraph"/>
        <w:numPr>
          <w:ilvl w:val="0"/>
          <w:numId w:val="2"/>
        </w:numPr>
        <w:spacing w:after="70" w:line="270"/>
      </w:pPr>
      <w:r>
        <w:t xml:space="preserve">OpenID Connect (OIDC) with signed JWT access and refresh tokens.</w:t>
      </w:r>
    </w:p>
    <w:p>
      <w:pPr>
        <w:pStyle w:val="ListParagraph"/>
        <w:numPr>
          <w:ilvl w:val="0"/>
          <w:numId w:val="2"/>
        </w:numPr>
        <w:spacing w:after="70" w:line="270"/>
      </w:pPr>
      <w:r>
        <w:t xml:space="preserve">Dynamic JWKS-based token validation (no hardcoded keys); issuer/audience verified.</w:t>
      </w:r>
    </w:p>
    <w:p>
      <w:pPr>
        <w:pStyle w:val="ListParagraph"/>
        <w:numPr>
          <w:ilvl w:val="0"/>
          <w:numId w:val="2"/>
        </w:numPr>
        <w:spacing w:after="70" w:line="270"/>
      </w:pPr>
      <w:r>
        <w:t xml:space="preserve">Email-based user resolution; authentication delegable to the client's enterprise IdP.</w:t>
      </w:r>
    </w:p>
    <w:p>
      <w:pPr>
        <w:pStyle w:val="Heading2"/>
      </w:pPr>
      <w:r>
        <w:t xml:space="preserve">5.2 Role-Based Access Control (RBAC)</w:t>
      </w:r>
    </w:p>
    <w:p>
      <w:pPr>
        <w:pStyle w:val="ListParagraph"/>
        <w:numPr>
          <w:ilvl w:val="0"/>
          <w:numId w:val="2"/>
        </w:numPr>
        <w:spacing w:after="70" w:line="270"/>
      </w:pPr>
      <w:r>
        <w:t xml:space="preserve">Granular roles mapped to profile types (staff, partner, customer, agent).</w:t>
      </w:r>
    </w:p>
    <w:p>
      <w:pPr>
        <w:pStyle w:val="ListParagraph"/>
        <w:numPr>
          <w:ilvl w:val="0"/>
          <w:numId w:val="2"/>
        </w:numPr>
        <w:spacing w:after="70" w:line="270"/>
      </w:pPr>
      <w:r>
        <w:t xml:space="preserve">Role codes drive permissions; group-based authorization via the Authz module.</w:t>
      </w:r>
    </w:p>
    <w:p>
      <w:pPr>
        <w:pStyle w:val="ListParagraph"/>
        <w:numPr>
          <w:ilvl w:val="0"/>
          <w:numId w:val="2"/>
        </w:numPr>
        <w:spacing w:after="70" w:line="270"/>
      </w:pPr>
      <w:r>
        <w:t xml:space="preserve">Maker-checker enforcement on sensitive financial operations.</w:t>
      </w:r>
    </w:p>
    <w:p>
      <w:pPr>
        <w:pStyle w:val="ListParagraph"/>
        <w:numPr>
          <w:ilvl w:val="0"/>
          <w:numId w:val="2"/>
        </w:numPr>
        <w:spacing w:after="70" w:line="270"/>
      </w:pPr>
      <w:r>
        <w:t xml:space="preserve">Tenant-scoped access — cross-tenant access prevented by data routing.</w:t>
      </w:r>
    </w:p>
    <w:p>
      <w:pPr>
        <w:pStyle w:val="Heading2"/>
      </w:pPr>
      <w:r>
        <w:t xml:space="preserve">5.3 Multi-Factor Authentication (MFA)</w:t>
      </w:r>
    </w:p>
    <w:p>
      <w:pPr>
        <w:spacing w:after="120" w:before="0" w:line="276"/>
      </w:pPr>
      <w:r>
        <w:t xml:space="preserve">MFA is supported through the federated OIDC identity provider — the platform inherits the IdP's MFA policy (OTP, authenticator app, biometric, etc.). This lets the client enforce its existing MFA standard centrally. The platform additionally supports OTP delivery via the integrated SMS/email gateways and CAPTCHA on web entry points.</w:t>
      </w:r>
    </w:p>
    <w:p>
      <w:pPr>
        <w:pStyle w:val="Heading2"/>
      </w:pPr>
      <w:r>
        <w:t xml:space="preserve">5.4 Encryption Standards</w:t>
      </w:r>
    </w:p>
    <w:p>
      <w:pPr>
        <w:pStyle w:val="ListParagraph"/>
        <w:numPr>
          <w:ilvl w:val="0"/>
          <w:numId w:val="2"/>
        </w:numPr>
        <w:spacing w:after="70" w:line="270"/>
      </w:pPr>
      <w:r>
        <w:rPr>
          <w:b/>
          <w:bCs/>
        </w:rPr>
        <w:t xml:space="preserve">In transit: </w:t>
      </w:r>
      <w:r>
        <w:t xml:space="preserve">TLS 1.2+ enforced on all external and inter-service connections; database connections use SSL (require / verify-full).</w:t>
      </w:r>
    </w:p>
    <w:p>
      <w:pPr>
        <w:pStyle w:val="ListParagraph"/>
        <w:numPr>
          <w:ilvl w:val="0"/>
          <w:numId w:val="2"/>
        </w:numPr>
        <w:spacing w:after="70" w:line="270"/>
      </w:pPr>
      <w:r>
        <w:rPr>
          <w:b/>
          <w:bCs/>
        </w:rPr>
        <w:t xml:space="preserve">At rest: </w:t>
      </w:r>
      <w:r>
        <w:t xml:space="preserve">sensitive fields encrypted at the application layer; documents encrypted before storage; managed databases and object storage provide storage-level encryption.</w:t>
      </w:r>
    </w:p>
    <w:p>
      <w:pPr>
        <w:pStyle w:val="ListParagraph"/>
        <w:numPr>
          <w:ilvl w:val="0"/>
          <w:numId w:val="2"/>
        </w:numPr>
        <w:spacing w:after="70" w:line="270"/>
      </w:pPr>
      <w:r>
        <w:rPr>
          <w:b/>
          <w:bCs/>
        </w:rPr>
        <w:t xml:space="preserve">Secrets: </w:t>
      </w:r>
      <w:r>
        <w:t xml:space="preserve">managed in a dedicated secret manager (e.g. GCP Secret Manager) and synced via the External Secrets Operator; per-tenant secret isolation and rotation support.</w:t>
      </w:r>
    </w:p>
    <w:p>
      <w:pPr>
        <w:pStyle w:val="Heading2"/>
      </w:pPr>
      <w:r>
        <w:t xml:space="preserve">5.5 Audit Logging Capability</w:t>
      </w:r>
    </w:p>
    <w:p>
      <w:pPr>
        <w:pStyle w:val="ListParagraph"/>
        <w:numPr>
          <w:ilvl w:val="0"/>
          <w:numId w:val="2"/>
        </w:numPr>
        <w:spacing w:after="70" w:line="270"/>
      </w:pPr>
      <w:r>
        <w:t xml:space="preserve">Immutable audit trail for all financial operations, GL postings and approvals.</w:t>
      </w:r>
    </w:p>
    <w:p>
      <w:pPr>
        <w:pStyle w:val="ListParagraph"/>
        <w:numPr>
          <w:ilvl w:val="0"/>
          <w:numId w:val="2"/>
        </w:numPr>
        <w:spacing w:after="70" w:line="270"/>
      </w:pPr>
      <w:r>
        <w:t xml:space="preserve">HTTP request logging with user, role, timestamp and entity-change context.</w:t>
      </w:r>
    </w:p>
    <w:p>
      <w:pPr>
        <w:pStyle w:val="ListParagraph"/>
        <w:numPr>
          <w:ilvl w:val="0"/>
          <w:numId w:val="2"/>
        </w:numPr>
        <w:spacing w:after="70" w:line="270"/>
      </w:pPr>
      <w:r>
        <w:t xml:space="preserve">Property-level change tracking (before/after values); approval decisions recorded with identity and rationale.</w:t>
      </w:r>
    </w:p>
    <w:p>
      <w:pPr>
        <w:pStyle w:val="ListParagraph"/>
        <w:numPr>
          <w:ilvl w:val="0"/>
          <w:numId w:val="2"/>
        </w:numPr>
        <w:spacing w:after="70" w:line="270"/>
      </w:pPr>
      <w:r>
        <w:t xml:space="preserve">Soft-deletion to preserve history; audit accessible via API and dashboard.</w:t>
      </w:r>
    </w:p>
    <w:p>
      <w:pPr>
        <w:pStyle w:val="Heading2"/>
      </w:pPr>
      <w:r>
        <w:t xml:space="preserve">5.6 Session Management</w:t>
      </w:r>
    </w:p>
    <w:p>
      <w:pPr>
        <w:pStyle w:val="ListParagraph"/>
        <w:numPr>
          <w:ilvl w:val="0"/>
          <w:numId w:val="2"/>
        </w:numPr>
        <w:spacing w:after="70" w:line="270"/>
      </w:pPr>
      <w:r>
        <w:t xml:space="preserve">Token-based sessions (JWT) with configurable access/refresh token lifetimes.</w:t>
      </w:r>
    </w:p>
    <w:p>
      <w:pPr>
        <w:pStyle w:val="ListParagraph"/>
        <w:numPr>
          <w:ilvl w:val="0"/>
          <w:numId w:val="2"/>
        </w:numPr>
        <w:spacing w:after="70" w:line="270"/>
      </w:pPr>
      <w:r>
        <w:t xml:space="preserve">Session/token state externalised to Redis; stateless application tier.</w:t>
      </w:r>
    </w:p>
    <w:p>
      <w:pPr>
        <w:pStyle w:val="ListParagraph"/>
        <w:numPr>
          <w:ilvl w:val="0"/>
          <w:numId w:val="2"/>
        </w:numPr>
        <w:spacing w:after="70" w:line="270"/>
      </w:pPr>
      <w:r>
        <w:t xml:space="preserve">CORS and CSRF protections with configurable trusted origins.</w:t>
      </w:r>
    </w:p>
    <w:p>
      <w:pPr>
        <w:pStyle w:val="Heading2"/>
      </w:pPr>
      <w:r>
        <w:t xml:space="preserve">5.7 Vulnerability Protection Mechanisms</w:t>
      </w:r>
    </w:p>
    <w:p>
      <w:pPr>
        <w:pStyle w:val="ListParagraph"/>
        <w:numPr>
          <w:ilvl w:val="0"/>
          <w:numId w:val="2"/>
        </w:numPr>
        <w:spacing w:after="70" w:line="270"/>
      </w:pPr>
      <w:r>
        <w:t xml:space="preserve">Secure SDLC: SAST (SonarQube/CodeQL), DAST (OWASP ZAP/Burp), SCA (Snyk/Dependency-Check), secrets scanning (GitGuardian/Gitleaks) in CI/CD.</w:t>
      </w:r>
    </w:p>
    <w:p>
      <w:pPr>
        <w:pStyle w:val="ListParagraph"/>
        <w:numPr>
          <w:ilvl w:val="0"/>
          <w:numId w:val="2"/>
        </w:numPr>
        <w:spacing w:after="70" w:line="270"/>
      </w:pPr>
      <w:r>
        <w:t xml:space="preserve">Input validation and schema-based config validation; output field masking (PAN, Aadhaar, account numbers).</w:t>
      </w:r>
    </w:p>
    <w:p>
      <w:pPr>
        <w:pStyle w:val="ListParagraph"/>
        <w:numPr>
          <w:ilvl w:val="0"/>
          <w:numId w:val="2"/>
        </w:numPr>
        <w:spacing w:after="70" w:line="270"/>
      </w:pPr>
      <w:r>
        <w:t xml:space="preserve">Rate limiting, network policies (default-deny), private-only data tier, non-root/read-only containers.</w:t>
      </w:r>
    </w:p>
    <w:p>
      <w:pPr>
        <w:pStyle w:val="ListParagraph"/>
        <w:numPr>
          <w:ilvl w:val="0"/>
          <w:numId w:val="2"/>
        </w:numPr>
        <w:spacing w:after="70" w:line="270"/>
      </w:pPr>
      <w:r>
        <w:rPr>
          <w:b/>
          <w:bCs/>
        </w:rPr>
        <w:t xml:space="preserve">Independent assurance: </w:t>
      </w:r>
      <w:r>
        <w:t xml:space="preserve">the platform has undergone third-party VAPT and source-code security review (Audit Level 2) for both Omni and Flow.</w:t>
      </w:r>
    </w:p>
    <w:p>
      <w:pPr>
        <w:spacing w:after="40" w:before="80" w:line="276"/>
      </w:pPr>
      <w:r>
        <w:rPr>
          <w:b/>
          <w:bCs/>
        </w:rPr>
        <w:t xml:space="preserve">Compliance / certification status:</w:t>
      </w:r>
    </w:p>
    <w:p>
      <w:pPr>
        <w:spacing w:after="60" w:line="270"/>
      </w:pPr>
      <w:r>
        <w:rPr>
          <w:b/>
          <w:bCs/>
          <w:color w:val="B26A00"/>
          <w:sz w:val="20"/>
          <w:szCs w:val="20"/>
        </w:rPr>
        <w:t xml:space="preserve">[ Certification status — ISO 27001 / SOC 2 / PCI-DSS as applicable — to be provided by Crego ]</w:t>
      </w:r>
    </w:p>
    <w:p>
      <w:r>
        <w:br w:type="page"/>
      </w:r>
    </w:p>
    <w:p>
      <w:pPr>
        <w:pStyle w:val="Heading1"/>
      </w:pPr>
      <w:r>
        <w:t xml:space="preserve">6. Availability &amp; Scalability</w:t>
      </w:r>
    </w:p>
    <w:p>
      <w:pPr>
        <w:pStyle w:val="Heading2"/>
      </w:pPr>
      <w:r>
        <w:t xml:space="preserve">6.1 High Availability</w:t>
      </w:r>
    </w:p>
    <w:p>
      <w:pPr>
        <w:pStyle w:val="ListParagraph"/>
        <w:numPr>
          <w:ilvl w:val="0"/>
          <w:numId w:val="2"/>
        </w:numPr>
        <w:spacing w:after="70" w:line="270"/>
      </w:pPr>
      <w:r>
        <w:t xml:space="preserve">Multi-zone Kubernetes cluster with pod anti-affinity and topology spread across zones.</w:t>
      </w:r>
    </w:p>
    <w:p>
      <w:pPr>
        <w:pStyle w:val="ListParagraph"/>
        <w:numPr>
          <w:ilvl w:val="0"/>
          <w:numId w:val="2"/>
        </w:numPr>
        <w:spacing w:after="70" w:line="270"/>
      </w:pPr>
      <w:r>
        <w:t xml:space="preserve">Stateless application pods with multiple replicas; rolling updates with zero max-unavailable (zero-downtime deploys).</w:t>
      </w:r>
    </w:p>
    <w:p>
      <w:pPr>
        <w:pStyle w:val="ListParagraph"/>
        <w:numPr>
          <w:ilvl w:val="0"/>
          <w:numId w:val="2"/>
        </w:numPr>
        <w:spacing w:after="70" w:line="270"/>
      </w:pPr>
      <w:r>
        <w:t xml:space="preserve">Managed PostgreSQL in primary–replica configuration; Redis with replication.</w:t>
      </w:r>
    </w:p>
    <w:p>
      <w:pPr>
        <w:pStyle w:val="ListParagraph"/>
        <w:numPr>
          <w:ilvl w:val="0"/>
          <w:numId w:val="2"/>
        </w:numPr>
        <w:spacing w:after="70" w:line="270"/>
      </w:pPr>
      <w:r>
        <w:rPr>
          <w:b/>
          <w:bCs/>
        </w:rPr>
        <w:t xml:space="preserve">Note: </w:t>
      </w:r>
      <w:r>
        <w:t xml:space="preserve">RabbitMQ currently runs single-instance in production; an HA broker (clustered/quorum queues) is recommended and supported for the client deployment.</w:t>
      </w:r>
    </w:p>
    <w:p>
      <w:pPr>
        <w:pStyle w:val="Heading2"/>
      </w:pPr>
      <w:r>
        <w:t xml:space="preserve">6.2 Load Balancing</w:t>
      </w:r>
    </w:p>
    <w:p>
      <w:pPr>
        <w:pStyle w:val="ListParagraph"/>
        <w:numPr>
          <w:ilvl w:val="0"/>
          <w:numId w:val="2"/>
        </w:numPr>
        <w:spacing w:after="70" w:line="270"/>
      </w:pPr>
      <w:r>
        <w:t xml:space="preserve">L7 load balancing at the edge (managed LB / NGINX / Gateway API) with health-checked backends.</w:t>
      </w:r>
    </w:p>
    <w:p>
      <w:pPr>
        <w:pStyle w:val="ListParagraph"/>
        <w:numPr>
          <w:ilvl w:val="0"/>
          <w:numId w:val="2"/>
        </w:numPr>
        <w:spacing w:after="70" w:line="270"/>
      </w:pPr>
      <w:r>
        <w:t xml:space="preserve">Container-native load balancing distributes traffic directly to healthy pods across zones.</w:t>
      </w:r>
    </w:p>
    <w:p>
      <w:pPr>
        <w:pStyle w:val="Heading2"/>
      </w:pPr>
      <w:r>
        <w:t xml:space="preserve">6.3 Clustering</w:t>
      </w:r>
    </w:p>
    <w:p>
      <w:pPr>
        <w:pStyle w:val="ListParagraph"/>
        <w:numPr>
          <w:ilvl w:val="0"/>
          <w:numId w:val="2"/>
        </w:numPr>
        <w:spacing w:after="70" w:line="270"/>
      </w:pPr>
      <w:r>
        <w:t xml:space="preserve">Kubernetes-managed clustering across nodes and zones; cluster autoscaler adds/removes nodes.</w:t>
      </w:r>
    </w:p>
    <w:p>
      <w:pPr>
        <w:pStyle w:val="ListParagraph"/>
        <w:numPr>
          <w:ilvl w:val="0"/>
          <w:numId w:val="2"/>
        </w:numPr>
        <w:spacing w:after="70" w:line="270"/>
      </w:pPr>
      <w:r>
        <w:t xml:space="preserve">Database and cache clustering via managed services (read replicas, replication).</w:t>
      </w:r>
    </w:p>
    <w:p>
      <w:pPr>
        <w:pStyle w:val="Heading2"/>
      </w:pPr>
      <w:r>
        <w:t xml:space="preserve">6.4 Scalability Approach</w:t>
      </w:r>
    </w:p>
    <w:p>
      <w:pPr>
        <w:pStyle w:val="ListParagraph"/>
        <w:numPr>
          <w:ilvl w:val="0"/>
          <w:numId w:val="2"/>
        </w:numPr>
        <w:spacing w:after="70" w:line="270"/>
      </w:pPr>
      <w:r>
        <w:rPr>
          <w:b/>
          <w:bCs/>
        </w:rPr>
        <w:t xml:space="preserve">Horizontal: </w:t>
      </w:r>
      <w:r>
        <w:t xml:space="preserve">HPA scales API pods on CPU/memory; KEDA scales workers on queue depth.</w:t>
      </w:r>
    </w:p>
    <w:p>
      <w:pPr>
        <w:pStyle w:val="ListParagraph"/>
        <w:numPr>
          <w:ilvl w:val="0"/>
          <w:numId w:val="2"/>
        </w:numPr>
        <w:spacing w:after="70" w:line="270"/>
      </w:pPr>
      <w:r>
        <w:rPr>
          <w:b/>
          <w:bCs/>
        </w:rPr>
        <w:t xml:space="preserve">Vertical: </w:t>
      </w:r>
      <w:r>
        <w:t xml:space="preserve">node pools and managed-DB tiers can be resized for additional headroom.</w:t>
      </w:r>
    </w:p>
    <w:p>
      <w:pPr>
        <w:pStyle w:val="ListParagraph"/>
        <w:numPr>
          <w:ilvl w:val="0"/>
          <w:numId w:val="2"/>
        </w:numPr>
        <w:spacing w:after="70" w:line="270"/>
      </w:pPr>
      <w:r>
        <w:rPr>
          <w:b/>
          <w:bCs/>
        </w:rPr>
        <w:t xml:space="preserve">Multi-tenant: </w:t>
      </w:r>
      <w:r>
        <w:t xml:space="preserve">per-tenant worker/queue isolation; namespace-per-tenant model for dedicated scaling.</w:t>
      </w:r>
    </w:p>
    <w:p>
      <w:pPr>
        <w:spacing w:after="120" w:before="40" w:line="276"/>
      </w:pPr>
      <w:r>
        <w:rPr>
          <w:i/>
          <w:iCs/>
          <w:color w:val="595959"/>
        </w:rPr>
        <w:t xml:space="preserve">For the proposed medium scale (500–2,000 users), the application tier scales horizontally; production HPA limits should be raised from the current baseline as part of deployment sizing.</w:t>
      </w:r>
    </w:p>
    <w:p>
      <w:pPr>
        <w:pStyle w:val="Heading2"/>
      </w:pPr>
      <w:r>
        <w:t xml:space="preserve">6.5 Performance Optimization Methods</w:t>
      </w:r>
    </w:p>
    <w:p>
      <w:pPr>
        <w:pStyle w:val="ListParagraph"/>
        <w:numPr>
          <w:ilvl w:val="0"/>
          <w:numId w:val="2"/>
        </w:numPr>
        <w:spacing w:after="70" w:line="270"/>
      </w:pPr>
      <w:r>
        <w:t xml:space="preserve">Redis caching of hot data and sessions; database read replicas for read-heavy paths.</w:t>
      </w:r>
    </w:p>
    <w:p>
      <w:pPr>
        <w:pStyle w:val="ListParagraph"/>
        <w:numPr>
          <w:ilvl w:val="0"/>
          <w:numId w:val="2"/>
        </w:numPr>
        <w:spacing w:after="70" w:line="270"/>
      </w:pPr>
      <w:r>
        <w:t xml:space="preserve">Asynchronous offloading of heavy operations (reports, bulk jobs, AI extraction) to Celery.</w:t>
      </w:r>
    </w:p>
    <w:p>
      <w:pPr>
        <w:pStyle w:val="ListParagraph"/>
        <w:numPr>
          <w:ilvl w:val="0"/>
          <w:numId w:val="2"/>
        </w:numPr>
        <w:spacing w:after="70" w:line="270"/>
      </w:pPr>
      <w:r>
        <w:t xml:space="preserve">Connection pooling; query profiling (pg_stat_statements, auto_explain, Mongo profiler).</w:t>
      </w:r>
    </w:p>
    <w:p>
      <w:pPr>
        <w:pStyle w:val="ListParagraph"/>
        <w:numPr>
          <w:ilvl w:val="0"/>
          <w:numId w:val="2"/>
        </w:numPr>
        <w:spacing w:after="70" w:line="270"/>
      </w:pPr>
      <w:r>
        <w:t xml:space="preserve">CDN-ready static assets; tuned worker concurrency and request timeouts.</w:t>
      </w:r>
    </w:p>
    <w:p>
      <w:r>
        <w:br w:type="page"/>
      </w:r>
    </w:p>
    <w:p>
      <w:pPr>
        <w:pStyle w:val="Heading1"/>
      </w:pPr>
      <w:r>
        <w:t xml:space="preserve">7. Database Requirements</w:t>
      </w:r>
    </w:p>
    <w:p>
      <w:pPr>
        <w:pStyle w:val="Heading2"/>
      </w:pPr>
      <w:r>
        <w:t xml:space="preserve">7.1 Supported Database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Database</w:t>
            </w:r>
          </w:p>
        </w:tc>
        <w:tc>
          <w:tcPr>
            <w:tcW w:type="dxa" w:w="4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Deployment options</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PostgreSQL</w:t>
            </w:r>
          </w:p>
        </w:tc>
        <w:tc>
          <w:tcPr>
            <w:tcW w:type="dxa" w:w="4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Core transactional system of record</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Cloud SQL / Amazon RDS / self-managed</w:t>
            </w:r>
          </w:p>
        </w:tc>
      </w:tr>
      <w:tr>
        <w:tc>
          <w:tcPr>
            <w:tcW w:type="dxa" w:w="2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MongoDB</w:t>
            </w:r>
          </w:p>
        </w:tc>
        <w:tc>
          <w:tcPr>
            <w:tcW w:type="dxa" w:w="4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Workflow definitions &amp; execution history</w:t>
            </w:r>
          </w:p>
        </w:tc>
        <w:tc>
          <w:tcPr>
            <w:tcW w:type="dxa" w:w="3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MongoDB Atlas / self-managed</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Redis</w:t>
            </w:r>
          </w:p>
        </w:tc>
        <w:tc>
          <w:tcPr>
            <w:tcW w:type="dxa" w:w="4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Cache, session store, rate limiting</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Memorystore / ElastiCache / self-managed</w:t>
            </w:r>
          </w:p>
        </w:tc>
      </w:tr>
    </w:tbl>
    <w:p>
      <w:pPr>
        <w:pStyle w:val="Heading2"/>
      </w:pPr>
      <w:r>
        <w:t xml:space="preserve">7.2 Database Sizing (indicative, medium scale)</w:t>
      </w:r>
    </w:p>
    <w:p>
      <w:pPr>
        <w:spacing w:after="120" w:before="0" w:line="276"/>
      </w:pPr>
      <w:r>
        <w:t xml:space="preserve">Indicative starting sizes for 500–2,000 users; finalised after load testing against the client's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360"/>
        <w:gridCol w:w="20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Database</w:t>
            </w:r>
          </w:p>
        </w:tc>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vCPU / RAM</w:t>
            </w:r>
          </w:p>
        </w:tc>
        <w:tc>
          <w:tcPr>
            <w:tcW w:type="dxa" w:w="2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Storage</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PostgreSQL (primary)</w:t>
            </w:r>
          </w:p>
        </w:tc>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4–8 vCPU / 16–32 GB</w:t>
            </w:r>
          </w:p>
        </w:tc>
        <w:tc>
          <w:tcPr>
            <w:tcW w:type="dxa" w:w="2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200–500 GB SSD, auto-grow</w:t>
            </w:r>
          </w:p>
        </w:tc>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+1 read replica</w:t>
            </w:r>
          </w:p>
        </w:tc>
      </w:tr>
      <w:tr>
        <w:tc>
          <w:tcPr>
            <w:tcW w:type="dxa" w:w="24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PostgreSQL (replica)</w:t>
            </w:r>
          </w:p>
        </w:tc>
        <w:tc>
          <w:tcPr>
            <w:tcW w:type="dxa" w:w="26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4–8 vCPU / 16–32 GB</w:t>
            </w:r>
          </w:p>
        </w:tc>
        <w:tc>
          <w:tcPr>
            <w:tcW w:type="dxa" w:w="2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matches primary</w:t>
            </w:r>
          </w:p>
        </w:tc>
        <w:tc>
          <w:tcPr>
            <w:tcW w:type="dxa" w:w="2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Read scaling / HA</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MongoDB</w:t>
            </w:r>
          </w:p>
        </w:tc>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2–4 vCPU / 8–16 GB</w:t>
            </w:r>
          </w:p>
        </w:tc>
        <w:tc>
          <w:tcPr>
            <w:tcW w:type="dxa" w:w="2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100–250 GB SSD</w:t>
            </w:r>
          </w:p>
        </w:tc>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Per-tenant DBs</w:t>
            </w:r>
          </w:p>
        </w:tc>
      </w:tr>
      <w:tr>
        <w:tc>
          <w:tcPr>
            <w:tcW w:type="dxa" w:w="24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Redis</w:t>
            </w:r>
          </w:p>
        </w:tc>
        <w:tc>
          <w:tcPr>
            <w:tcW w:type="dxa" w:w="26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1–2 vCPU / 4–8 GB</w:t>
            </w:r>
          </w:p>
        </w:tc>
        <w:tc>
          <w:tcPr>
            <w:tcW w:type="dxa" w:w="2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n/a (in-memory)</w:t>
            </w:r>
          </w:p>
        </w:tc>
        <w:tc>
          <w:tcPr>
            <w:tcW w:type="dxa" w:w="2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Replicated</w:t>
            </w:r>
          </w:p>
        </w:tc>
      </w:tr>
    </w:tbl>
    <w:p>
      <w:pPr>
        <w:pStyle w:val="Heading2"/>
      </w:pPr>
      <w:r>
        <w:t xml:space="preserve">7.3 Backup / Recovery Capability</w:t>
      </w:r>
    </w:p>
    <w:p>
      <w:pPr>
        <w:pStyle w:val="ListParagraph"/>
        <w:numPr>
          <w:ilvl w:val="0"/>
          <w:numId w:val="2"/>
        </w:numPr>
        <w:spacing w:after="70" w:line="270"/>
      </w:pPr>
      <w:r>
        <w:t xml:space="preserve">Automated daily backups with Point-in-Time Recovery (PITR) on PostgreSQL; transaction-log retention configurable.</w:t>
      </w:r>
    </w:p>
    <w:p>
      <w:pPr>
        <w:pStyle w:val="ListParagraph"/>
        <w:numPr>
          <w:ilvl w:val="0"/>
          <w:numId w:val="2"/>
        </w:numPr>
        <w:spacing w:after="70" w:line="270"/>
      </w:pPr>
      <w:r>
        <w:t xml:space="preserve">Continuous/automated backups on MongoDB; Redis snapshots exported to object storage.</w:t>
      </w:r>
    </w:p>
    <w:p>
      <w:pPr>
        <w:pStyle w:val="ListParagraph"/>
        <w:numPr>
          <w:ilvl w:val="0"/>
          <w:numId w:val="2"/>
        </w:numPr>
        <w:spacing w:after="70" w:line="270"/>
      </w:pPr>
      <w:r>
        <w:t xml:space="preserve">Infrastructure-as-code in Git enables full environment reconstruction.</w:t>
      </w:r>
    </w:p>
    <w:p>
      <w:pPr>
        <w:pStyle w:val="Heading2"/>
      </w:pPr>
      <w:r>
        <w:t xml:space="preserve">7.4 Replication Support</w:t>
      </w:r>
    </w:p>
    <w:p>
      <w:pPr>
        <w:pStyle w:val="ListParagraph"/>
        <w:numPr>
          <w:ilvl w:val="0"/>
          <w:numId w:val="2"/>
        </w:numPr>
        <w:spacing w:after="70" w:line="270"/>
      </w:pPr>
      <w:r>
        <w:t xml:space="preserve">PostgreSQL primary–replica replication (read replicas, cross-region capable).</w:t>
      </w:r>
    </w:p>
    <w:p>
      <w:pPr>
        <w:pStyle w:val="ListParagraph"/>
        <w:numPr>
          <w:ilvl w:val="0"/>
          <w:numId w:val="2"/>
        </w:numPr>
        <w:spacing w:after="70" w:line="270"/>
      </w:pPr>
      <w:r>
        <w:t xml:space="preserve">Redis replication; MongoDB Atlas replica sets.</w:t>
      </w:r>
    </w:p>
    <w:p>
      <w:pPr>
        <w:pStyle w:val="Heading2"/>
      </w:pPr>
      <w:r>
        <w:t xml:space="preserve">7.5 Database Maintenance Requirements</w:t>
      </w:r>
    </w:p>
    <w:p>
      <w:pPr>
        <w:pStyle w:val="ListParagraph"/>
        <w:numPr>
          <w:ilvl w:val="0"/>
          <w:numId w:val="2"/>
        </w:numPr>
        <w:spacing w:after="70" w:line="270"/>
      </w:pPr>
      <w:r>
        <w:t xml:space="preserve">Managed-service maintenance windows for patching/upgrades (minimal operator effort).</w:t>
      </w:r>
    </w:p>
    <w:p>
      <w:pPr>
        <w:pStyle w:val="ListParagraph"/>
        <w:numPr>
          <w:ilvl w:val="0"/>
          <w:numId w:val="2"/>
        </w:numPr>
        <w:spacing w:after="70" w:line="270"/>
      </w:pPr>
      <w:r>
        <w:t xml:space="preserve">Query Insights / profiling enabled for ongoing tuning; routine index and vacuum maintenance.</w:t>
      </w:r>
    </w:p>
    <w:p>
      <w:pPr>
        <w:pStyle w:val="ListParagraph"/>
        <w:numPr>
          <w:ilvl w:val="0"/>
          <w:numId w:val="2"/>
        </w:numPr>
        <w:spacing w:after="70" w:line="270"/>
      </w:pPr>
      <w:r>
        <w:t xml:space="preserve">Backup verification and periodic restore drills.</w:t>
      </w:r>
    </w:p>
    <w:p>
      <w:r>
        <w:br w:type="page"/>
      </w:r>
    </w:p>
    <w:p>
      <w:pPr>
        <w:pStyle w:val="Heading1"/>
      </w:pPr>
      <w:r>
        <w:t xml:space="preserve">8. Customization &amp; Configuration</w:t>
      </w:r>
    </w:p>
    <w:p>
      <w:pPr>
        <w:pStyle w:val="Heading2"/>
      </w:pPr>
      <w:r>
        <w:t xml:space="preserve">8.1 Areas Requiring Customization</w:t>
      </w:r>
    </w:p>
    <w:p>
      <w:pPr>
        <w:pStyle w:val="ListParagraph"/>
        <w:numPr>
          <w:ilvl w:val="0"/>
          <w:numId w:val="2"/>
        </w:numPr>
        <w:spacing w:after="70" w:line="270"/>
      </w:pPr>
      <w:r>
        <w:t xml:space="preserve">Integrations to Core Banking, ERP and HR systems (per-engagement adapters).</w:t>
      </w:r>
    </w:p>
    <w:p>
      <w:pPr>
        <w:pStyle w:val="ListParagraph"/>
        <w:numPr>
          <w:ilvl w:val="0"/>
          <w:numId w:val="2"/>
        </w:numPr>
        <w:spacing w:after="70" w:line="270"/>
      </w:pPr>
      <w:r>
        <w:t xml:space="preserve">Statutory / regulatory report formats.</w:t>
      </w:r>
    </w:p>
    <w:p>
      <w:pPr>
        <w:pStyle w:val="ListParagraph"/>
        <w:numPr>
          <w:ilvl w:val="0"/>
          <w:numId w:val="2"/>
        </w:numPr>
        <w:spacing w:after="70" w:line="270"/>
      </w:pPr>
      <w:r>
        <w:t xml:space="preserve">Bespoke screens, branding and client-specific UI flows.</w:t>
      </w:r>
    </w:p>
    <w:p>
      <w:pPr>
        <w:pStyle w:val="ListParagraph"/>
        <w:numPr>
          <w:ilvl w:val="0"/>
          <w:numId w:val="2"/>
        </w:numPr>
        <w:spacing w:after="70" w:line="270"/>
      </w:pPr>
      <w:r>
        <w:t xml:space="preserve">Complex business rules beyond supplied templates.</w:t>
      </w:r>
    </w:p>
    <w:p>
      <w:pPr>
        <w:pStyle w:val="Heading2"/>
      </w:pPr>
      <w:r>
        <w:t xml:space="preserve">8.2 Configuration Flexibility</w:t>
      </w:r>
    </w:p>
    <w:p>
      <w:pPr>
        <w:pStyle w:val="ListParagraph"/>
        <w:numPr>
          <w:ilvl w:val="0"/>
          <w:numId w:val="2"/>
        </w:numPr>
        <w:spacing w:after="70" w:line="270"/>
      </w:pPr>
      <w:r>
        <w:t xml:space="preserve">Environment- and tenant-level configuration via externalised settings and per-tenant config.</w:t>
      </w:r>
    </w:p>
    <w:p>
      <w:pPr>
        <w:pStyle w:val="ListParagraph"/>
        <w:numPr>
          <w:ilvl w:val="0"/>
          <w:numId w:val="2"/>
        </w:numPr>
        <w:spacing w:after="70" w:line="270"/>
      </w:pPr>
      <w:r>
        <w:t xml:space="preserve">Products, accounts, chart of accounts, limits and approval matrices configured without code changes.</w:t>
      </w:r>
    </w:p>
    <w:p>
      <w:pPr>
        <w:pStyle w:val="ListParagraph"/>
        <w:numPr>
          <w:ilvl w:val="0"/>
          <w:numId w:val="2"/>
        </w:numPr>
        <w:spacing w:after="70" w:line="270"/>
      </w:pPr>
      <w:r>
        <w:t xml:space="preserve">Notification templates, channels and rules configured per tenant.</w:t>
      </w:r>
    </w:p>
    <w:p>
      <w:pPr>
        <w:pStyle w:val="Heading2"/>
      </w:pPr>
      <w:r>
        <w:t xml:space="preserve">8.3 Workflow Configurability</w:t>
      </w:r>
    </w:p>
    <w:p>
      <w:pPr>
        <w:pStyle w:val="ListParagraph"/>
        <w:numPr>
          <w:ilvl w:val="0"/>
          <w:numId w:val="2"/>
        </w:numPr>
        <w:spacing w:after="70" w:line="270"/>
      </w:pPr>
      <w:r>
        <w:t xml:space="preserve">Processes modelled as graphs (nodes + conditional edges) and changed through configuration.</w:t>
      </w:r>
    </w:p>
    <w:p>
      <w:pPr>
        <w:pStyle w:val="ListParagraph"/>
        <w:numPr>
          <w:ilvl w:val="0"/>
          <w:numId w:val="2"/>
        </w:numPr>
        <w:spacing w:after="70" w:line="270"/>
      </w:pPr>
      <w:r>
        <w:t xml:space="preserve">Forms defined by JSON schema; rules via JSONLogic; content via templates.</w:t>
      </w:r>
    </w:p>
    <w:p>
      <w:pPr>
        <w:pStyle w:val="ListParagraph"/>
        <w:numPr>
          <w:ilvl w:val="0"/>
          <w:numId w:val="2"/>
        </w:numPr>
        <w:spacing w:after="70" w:line="270"/>
      </w:pPr>
      <w:r>
        <w:t xml:space="preserve">Per-node permissions and tenant-specific workflow variants.</w:t>
      </w:r>
    </w:p>
    <w:p>
      <w:pPr>
        <w:pStyle w:val="Heading2"/>
      </w:pPr>
      <w:r>
        <w:t xml:space="preserve">8.4 Report Customization Capability</w:t>
      </w:r>
    </w:p>
    <w:p>
      <w:pPr>
        <w:pStyle w:val="ListParagraph"/>
        <w:numPr>
          <w:ilvl w:val="0"/>
          <w:numId w:val="2"/>
        </w:numPr>
        <w:spacing w:after="70" w:line="270"/>
      </w:pPr>
      <w:r>
        <w:t xml:space="preserve">Template-driven report generation (ReportLab / WeasyPrint / Mako).</w:t>
      </w:r>
    </w:p>
    <w:p>
      <w:pPr>
        <w:pStyle w:val="ListParagraph"/>
        <w:numPr>
          <w:ilvl w:val="0"/>
          <w:numId w:val="2"/>
        </w:numPr>
        <w:spacing w:after="70" w:line="270"/>
      </w:pPr>
      <w:r>
        <w:t xml:space="preserve">Custom layouts and data sets delivered as scoped work; scheduled or on-demand output.</w:t>
      </w:r>
    </w:p>
    <w:p>
      <w:r>
        <w:br w:type="page"/>
      </w:r>
    </w:p>
    <w:p>
      <w:pPr>
        <w:pStyle w:val="Heading1"/>
      </w:pPr>
      <w:r>
        <w:t xml:space="preserve">9. Assumptions &amp; Limitations</w:t>
      </w:r>
    </w:p>
    <w:p>
      <w:pPr>
        <w:pStyle w:val="Heading2"/>
      </w:pPr>
      <w:r>
        <w:t xml:space="preserve">9.1 Technical Assumptions</w:t>
      </w:r>
    </w:p>
    <w:p>
      <w:pPr>
        <w:pStyle w:val="ListParagraph"/>
        <w:numPr>
          <w:ilvl w:val="0"/>
          <w:numId w:val="2"/>
        </w:numPr>
        <w:spacing w:after="70" w:line="270"/>
      </w:pPr>
      <w:r>
        <w:t xml:space="preserve">Deployment on Kubernetes (GKE/EKS) or the client's compatible private cloud.</w:t>
      </w:r>
    </w:p>
    <w:p>
      <w:pPr>
        <w:pStyle w:val="ListParagraph"/>
        <w:numPr>
          <w:ilvl w:val="0"/>
          <w:numId w:val="2"/>
        </w:numPr>
        <w:spacing w:after="70" w:line="270"/>
      </w:pPr>
      <w:r>
        <w:t xml:space="preserve">Client provides target-system interface specifications/sandboxes for integrations (CBS, ERP, HR).</w:t>
      </w:r>
    </w:p>
    <w:p>
      <w:pPr>
        <w:pStyle w:val="ListParagraph"/>
        <w:numPr>
          <w:ilvl w:val="0"/>
          <w:numId w:val="2"/>
        </w:numPr>
        <w:spacing w:after="70" w:line="270"/>
      </w:pPr>
      <w:r>
        <w:t xml:space="preserve">Authentication via an OIDC-compliant identity provider (for AD/LDAP and MFA).</w:t>
      </w:r>
    </w:p>
    <w:p>
      <w:pPr>
        <w:pStyle w:val="ListParagraph"/>
        <w:numPr>
          <w:ilvl w:val="0"/>
          <w:numId w:val="2"/>
        </w:numPr>
        <w:spacing w:after="70" w:line="270"/>
      </w:pPr>
      <w:r>
        <w:t xml:space="preserve">Sizing assumes the medium-scale profile (500–2,000 users); confirmed by load testing.</w:t>
      </w:r>
    </w:p>
    <w:p>
      <w:pPr>
        <w:pStyle w:val="Heading2"/>
      </w:pPr>
      <w:r>
        <w:t xml:space="preserve">9.2 Known Limitations</w:t>
      </w:r>
    </w:p>
    <w:p>
      <w:pPr>
        <w:pStyle w:val="ListParagraph"/>
        <w:numPr>
          <w:ilvl w:val="0"/>
          <w:numId w:val="2"/>
        </w:numPr>
        <w:spacing w:after="70" w:line="270"/>
      </w:pPr>
      <w:r>
        <w:t xml:space="preserve">Production RabbitMQ is single-instance today; HA broker to be enabled for the client deployment.</w:t>
      </w:r>
    </w:p>
    <w:p>
      <w:pPr>
        <w:pStyle w:val="ListParagraph"/>
        <w:numPr>
          <w:ilvl w:val="0"/>
          <w:numId w:val="2"/>
        </w:numPr>
        <w:spacing w:after="70" w:line="270"/>
      </w:pPr>
      <w:r>
        <w:t xml:space="preserve">API horizontal-scaling limits are set conservatively in the current baseline and should be raised during sizing.</w:t>
      </w:r>
    </w:p>
    <w:p>
      <w:pPr>
        <w:pStyle w:val="ListParagraph"/>
        <w:numPr>
          <w:ilvl w:val="0"/>
          <w:numId w:val="2"/>
        </w:numPr>
        <w:spacing w:after="70" w:line="270"/>
      </w:pPr>
      <w:r>
        <w:t xml:space="preserve">No pre-built native CBS/ERP/HR connectors — these are delivered as integration work (Section 4).</w:t>
      </w:r>
    </w:p>
    <w:p>
      <w:pPr>
        <w:pStyle w:val="ListParagraph"/>
        <w:numPr>
          <w:ilvl w:val="0"/>
          <w:numId w:val="2"/>
        </w:numPr>
        <w:spacing w:after="70" w:line="270"/>
      </w:pPr>
      <w:r>
        <w:t xml:space="preserve">Formal SLOs and RTO/RPO are to be finalised with the client (placeholders below).</w:t>
      </w:r>
    </w:p>
    <w:p>
      <w:pPr>
        <w:pStyle w:val="Heading2"/>
      </w:pPr>
      <w:r>
        <w:t xml:space="preserve">9.3 Dependencies</w:t>
      </w:r>
    </w:p>
    <w:p>
      <w:pPr>
        <w:pStyle w:val="ListParagraph"/>
        <w:numPr>
          <w:ilvl w:val="0"/>
          <w:numId w:val="2"/>
        </w:numPr>
        <w:spacing w:after="70" w:line="270"/>
      </w:pPr>
      <w:r>
        <w:t xml:space="preserve">Managed cloud services (Kubernetes, PostgreSQL, Redis, object storage) or equivalents.</w:t>
      </w:r>
    </w:p>
    <w:p>
      <w:pPr>
        <w:pStyle w:val="ListParagraph"/>
        <w:numPr>
          <w:ilvl w:val="0"/>
          <w:numId w:val="2"/>
        </w:numPr>
        <w:spacing w:after="70" w:line="270"/>
      </w:pPr>
      <w:r>
        <w:t xml:space="preserve">Third-party gateways (email, SMS, push) and an OIDC identity provider.</w:t>
      </w:r>
    </w:p>
    <w:p>
      <w:pPr>
        <w:pStyle w:val="ListParagraph"/>
        <w:numPr>
          <w:ilvl w:val="0"/>
          <w:numId w:val="2"/>
        </w:numPr>
        <w:spacing w:after="70" w:line="270"/>
      </w:pPr>
      <w:r>
        <w:t xml:space="preserve">Reliable network connectivity between the platform and integrated systems.</w:t>
      </w:r>
    </w:p>
    <w:p>
      <w:pPr>
        <w:pStyle w:val="Heading2"/>
      </w:pPr>
      <w:r>
        <w:t xml:space="preserve">9.4 Third-Party Licensing Requirements</w:t>
      </w:r>
    </w:p>
    <w:p>
      <w:pPr>
        <w:spacing w:after="120" w:before="0" w:line="276"/>
      </w:pPr>
      <w:r>
        <w:t xml:space="preserve">The platform is built on open-source frameworks (Django, FastAPI, React, PostgreSQL, MongoDB Community/Atlas, Redis, RabbitMQ, Kubernetes). Commercial licences may apply to client-selected third-party services (e.g. SMS/email gateway, managed cloud services, optional document-AI service, MongoDB Atlas tier). These are confirmed with the client based on chosen providers.</w:t>
      </w:r>
    </w:p>
    <w:p>
      <w:r>
        <w:br w:type="page"/>
      </w:r>
    </w:p>
    <w:p>
      <w:pPr>
        <w:pStyle w:val="Heading1"/>
      </w:pPr>
      <w:r>
        <w:t xml:space="preserve">10. Infrastructure Proposal</w:t>
      </w:r>
    </w:p>
    <w:p>
      <w:pPr>
        <w:spacing w:after="120" w:before="0" w:line="276"/>
      </w:pPr>
      <w:r>
        <w:t xml:space="preserve">The following sections provide infrastructure sizing and deployment requirements for the proposed solution at the medium-scale profile (500–2,000 users). Figures are indicative starting points based on the platform's current architecture and are finalised through a load-testing exercise against the client's actual volumes. Sizing assumes a containerised Kubernetes deployment with managed data services.</w:t>
      </w:r>
    </w:p>
    <w:p>
      <w:pPr>
        <w:pStyle w:val="Heading1"/>
      </w:pPr>
      <w:r>
        <w:t xml:space="preserve">11. Hardware Requirements</w:t>
      </w:r>
    </w:p>
    <w:p>
      <w:pPr>
        <w:spacing w:after="120" w:before="0" w:line="276"/>
      </w:pPr>
      <w:r>
        <w:t xml:space="preserve">Sizing is expressed as Kubernetes node pools plus managed data services. The platform runs on commodity compute; the baseline node type is a 4 vCPU / 16 GB class instance with autoscaling.</w:t>
      </w:r>
    </w:p>
    <w:p>
      <w:pPr>
        <w:pStyle w:val="Heading2"/>
      </w:pPr>
      <w:r>
        <w:t xml:space="preserve">11.1 Application &amp; Web Servers (Kubernetes node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Resource</w:t>
            </w:r>
          </w:p>
        </w:tc>
        <w:tc>
          <w:tcPr>
            <w:tcW w:type="dxa" w:w="6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Specification (medium scale)</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Node type</w:t>
            </w:r>
          </w:p>
        </w:tc>
        <w:tc>
          <w:tcPr>
            <w:tcW w:type="dxa" w:w="6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4 vCPU / 16 GB RAM class (e.g. e2-standard-4)</w:t>
            </w:r>
          </w:p>
        </w:tc>
      </w:tr>
      <w:tr>
        <w:tc>
          <w:tcPr>
            <w:tcW w:type="dxa" w:w="3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Node count</w:t>
            </w:r>
          </w:p>
        </w:tc>
        <w:tc>
          <w:tcPr>
            <w:tcW w:type="dxa" w:w="61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3–6 nodes, cluster autoscaling enabled</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Node disk</w:t>
            </w:r>
          </w:p>
        </w:tc>
        <w:tc>
          <w:tcPr>
            <w:tcW w:type="dxa" w:w="6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100 GB SSD per node</w:t>
            </w:r>
          </w:p>
        </w:tc>
      </w:tr>
      <w:tr>
        <w:tc>
          <w:tcPr>
            <w:tcW w:type="dxa" w:w="3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App pods (Omni/Flow API)</w:t>
            </w:r>
          </w:p>
        </w:tc>
        <w:tc>
          <w:tcPr>
            <w:tcW w:type="dxa" w:w="61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1 vCPU / 1–2 GB per pod, HPA 2→6 replicas</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Web pods</w:t>
            </w:r>
          </w:p>
        </w:tc>
        <w:tc>
          <w:tcPr>
            <w:tcW w:type="dxa" w:w="6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0.1 vCPU / 128 MB per pod</w:t>
            </w:r>
          </w:p>
        </w:tc>
      </w:tr>
      <w:tr>
        <w:tc>
          <w:tcPr>
            <w:tcW w:type="dxa" w:w="3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Network bandwidth</w:t>
            </w:r>
          </w:p>
        </w:tc>
        <w:tc>
          <w:tcPr>
            <w:tcW w:type="dxa" w:w="61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1 Gbps cluster networking (cloud default)</w:t>
            </w:r>
          </w:p>
        </w:tc>
      </w:tr>
    </w:tbl>
    <w:p>
      <w:pPr>
        <w:pStyle w:val="Heading2"/>
      </w:pPr>
      <w:r>
        <w:t xml:space="preserve">11.2 Database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860"/>
        <w:gridCol w:w="13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Server</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CPU / RAM</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Disk</w:t>
            </w:r>
          </w:p>
        </w:tc>
        <w:tc>
          <w:tcPr>
            <w:tcW w:type="dxa" w:w="1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IOPS</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Bandwidth</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PostgreSQL primary</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4–8 vCPU / 16–32 GB</w:t>
            </w:r>
          </w:p>
        </w:tc>
        <w:tc>
          <w:tcPr>
            <w:tcW w:type="dxa" w:w="18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200–500 GB SSD</w:t>
            </w:r>
          </w:p>
        </w:tc>
        <w:tc>
          <w:tcPr>
            <w:tcW w:type="dxa" w:w="18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3,000–6,000 provisioned</w:t>
            </w:r>
          </w:p>
        </w:tc>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1 Gbps</w:t>
            </w:r>
          </w:p>
        </w:tc>
      </w:tr>
      <w:tr>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PostgreSQL replica</w:t>
            </w:r>
          </w:p>
        </w:tc>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4–8 vCPU / 16–32 GB</w:t>
            </w:r>
          </w:p>
        </w:tc>
        <w:tc>
          <w:tcPr>
            <w:tcW w:type="dxa" w:w="18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 primary</w:t>
            </w:r>
          </w:p>
        </w:tc>
        <w:tc>
          <w:tcPr>
            <w:tcW w:type="dxa" w:w="18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3,000–6,000</w:t>
            </w:r>
          </w:p>
        </w:tc>
        <w:tc>
          <w:tcPr>
            <w:tcW w:type="dxa" w:w="1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1 Gbps</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MongoDB</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2–4 vCPU / 8–16 GB</w:t>
            </w:r>
          </w:p>
        </w:tc>
        <w:tc>
          <w:tcPr>
            <w:tcW w:type="dxa" w:w="18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100–250 GB SSD</w:t>
            </w:r>
          </w:p>
        </w:tc>
        <w:tc>
          <w:tcPr>
            <w:tcW w:type="dxa" w:w="18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1,500–3,000</w:t>
            </w:r>
          </w:p>
        </w:tc>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1 Gbps</w:t>
            </w:r>
          </w:p>
        </w:tc>
      </w:tr>
      <w:tr>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Redis</w:t>
            </w:r>
          </w:p>
        </w:tc>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1–2 vCPU / 4–8 GB</w:t>
            </w:r>
          </w:p>
        </w:tc>
        <w:tc>
          <w:tcPr>
            <w:tcW w:type="dxa" w:w="18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in-memory</w:t>
            </w:r>
          </w:p>
        </w:tc>
        <w:tc>
          <w:tcPr>
            <w:tcW w:type="dxa" w:w="18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n/a</w:t>
            </w:r>
          </w:p>
        </w:tc>
        <w:tc>
          <w:tcPr>
            <w:tcW w:type="dxa" w:w="13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1 Gbps</w:t>
            </w:r>
          </w:p>
        </w:tc>
      </w:tr>
    </w:tbl>
    <w:p>
      <w:pPr>
        <w:pStyle w:val="Heading2"/>
      </w:pPr>
      <w:r>
        <w:t xml:space="preserve">11.3 Storage Requirements</w:t>
      </w:r>
    </w:p>
    <w:p>
      <w:pPr>
        <w:pStyle w:val="ListParagraph"/>
        <w:numPr>
          <w:ilvl w:val="0"/>
          <w:numId w:val="2"/>
        </w:numPr>
        <w:spacing w:after="70" w:line="270"/>
      </w:pPr>
      <w:r>
        <w:t xml:space="preserve">Object storage for documents: 500 GB–2 TB, scaling with usage (S3/GCS/Azure Blob).</w:t>
      </w:r>
    </w:p>
    <w:p>
      <w:pPr>
        <w:pStyle w:val="ListParagraph"/>
        <w:numPr>
          <w:ilvl w:val="0"/>
          <w:numId w:val="2"/>
        </w:numPr>
        <w:spacing w:after="70" w:line="270"/>
      </w:pPr>
      <w:r>
        <w:t xml:space="preserve">Persistent volumes for stateful in-cluster components (broker, monitoring): 5–20 GB each.</w:t>
      </w:r>
    </w:p>
    <w:p>
      <w:pPr>
        <w:pStyle w:val="ListParagraph"/>
        <w:numPr>
          <w:ilvl w:val="0"/>
          <w:numId w:val="2"/>
        </w:numPr>
        <w:spacing w:after="70" w:line="270"/>
      </w:pPr>
      <w:r>
        <w:t xml:space="preserve">Database storage auto-grows; provision 12 months of headroom at onboarding.</w:t>
      </w:r>
    </w:p>
    <w:p>
      <w:pPr>
        <w:pStyle w:val="Heading2"/>
      </w:pPr>
      <w:r>
        <w:t xml:space="preserve">11.4 Backup Infrastructure</w:t>
      </w:r>
    </w:p>
    <w:p>
      <w:pPr>
        <w:pStyle w:val="ListParagraph"/>
        <w:numPr>
          <w:ilvl w:val="0"/>
          <w:numId w:val="2"/>
        </w:numPr>
        <w:spacing w:after="70" w:line="270"/>
      </w:pPr>
      <w:r>
        <w:t xml:space="preserve">Managed automated backups (PITR) — no dedicated backup servers required.</w:t>
      </w:r>
    </w:p>
    <w:p>
      <w:pPr>
        <w:pStyle w:val="ListParagraph"/>
        <w:numPr>
          <w:ilvl w:val="0"/>
          <w:numId w:val="2"/>
        </w:numPr>
        <w:spacing w:after="70" w:line="270"/>
      </w:pPr>
      <w:r>
        <w:t xml:space="preserve">Backup retention storage: size to retention policy (e.g. 2–4× DB size for 30-day retention).</w:t>
      </w:r>
    </w:p>
    <w:p>
      <w:pPr>
        <w:pStyle w:val="ListParagraph"/>
        <w:numPr>
          <w:ilvl w:val="0"/>
          <w:numId w:val="2"/>
        </w:numPr>
        <w:spacing w:after="70" w:line="270"/>
      </w:pPr>
      <w:r>
        <w:t xml:space="preserve">Cross-region backup copy for DR (see Section 14).</w:t>
      </w:r>
    </w:p>
    <w:p>
      <w:pPr>
        <w:pStyle w:val="Heading2"/>
      </w:pPr>
      <w:r>
        <w:t xml:space="preserve">11.5 CPU / RAM / Disk / IOPS / Network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Dimension</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Production (medium scale) — indicative</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Total vCPU</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~24–40 vCPU across app nodes + databases</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Total RAM</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~96–160 GB across app nodes + databases</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Disk</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~1–3 TB (DB + object storage + node disks)</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IOPS</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3,000–6,000 provisioned on primary DB volume</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Network bandwidth</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1 Gbps internal; sized public egress at edge</w:t>
            </w:r>
          </w:p>
        </w:tc>
      </w:tr>
    </w:tbl>
    <w:p>
      <w:r>
        <w:br w:type="page"/>
      </w:r>
    </w:p>
    <w:p>
      <w:pPr>
        <w:pStyle w:val="Heading1"/>
      </w:pPr>
      <w:r>
        <w:t xml:space="preserve">12.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Category</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Requirement</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Operating system</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Linux (container base images); host nodes run cloud-managed Linux (Container-Optimized OS / Amazon Linux)</w:t>
            </w:r>
          </w:p>
        </w:tc>
      </w:tr>
      <w:tr>
        <w:tc>
          <w:tcPr>
            <w:tcW w:type="dxa" w:w="26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Container runtime</w:t>
            </w:r>
          </w:p>
        </w:tc>
        <w:tc>
          <w:tcPr>
            <w:tcW w:type="dxa" w:w="67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Kubernetes 1.27+ (GKE / EKS / compatible)</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Database software</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PostgreSQL 14+, MongoDB 6+/Atlas, Redis 6+</w:t>
            </w:r>
          </w:p>
        </w:tc>
      </w:tr>
      <w:tr>
        <w:tc>
          <w:tcPr>
            <w:tcW w:type="dxa" w:w="26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Message broker</w:t>
            </w:r>
          </w:p>
        </w:tc>
        <w:tc>
          <w:tcPr>
            <w:tcW w:type="dxa" w:w="67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RabbitMQ 3.x (AMQP)</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Middleware / app servers</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Gunicorn (Omni/Django), Uvicorn (Flow/FastAPI), NGINX (web serving/reverse proxy)</w:t>
            </w:r>
          </w:p>
        </w:tc>
      </w:tr>
      <w:tr>
        <w:tc>
          <w:tcPr>
            <w:tcW w:type="dxa" w:w="26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Application frameworks</w:t>
            </w:r>
          </w:p>
        </w:tc>
        <w:tc>
          <w:tcPr>
            <w:tcW w:type="dxa" w:w="67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Django 5.2 + DRF, FastAPI, Celery; React 19 + Vite (web), React Native/Expo (mobile)</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Runtime</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Python 3.13, Node.js LTS (build), modern browser for web app</w:t>
            </w:r>
          </w:p>
        </w:tc>
      </w:tr>
      <w:tr>
        <w:tc>
          <w:tcPr>
            <w:tcW w:type="dxa" w:w="26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Supporting software</w:t>
            </w:r>
          </w:p>
        </w:tc>
        <w:tc>
          <w:tcPr>
            <w:tcW w:type="dxa" w:w="67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ArgoCD, Kustomize, Terraform, cert-manager, External Secrets Operator, KEDA, Prometheus, Grafana, Sentry</w:t>
            </w:r>
          </w:p>
        </w:tc>
      </w:tr>
    </w:tbl>
    <w:p>
      <w:r>
        <w:br w:type="page"/>
      </w:r>
    </w:p>
    <w:p>
      <w:pPr>
        <w:pStyle w:val="Heading1"/>
      </w:pPr>
      <w:r>
        <w:t xml:space="preserve">13. Environment Requirement</w:t>
      </w:r>
    </w:p>
    <w:p>
      <w:pPr>
        <w:spacing w:after="120" w:before="0" w:line="276"/>
      </w:pPr>
      <w:r>
        <w:t xml:space="preserve">Separate environments are recommended, each isolated by namespace (and optionally cluster). Non-production environments are sized smaller than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Environment</w:t>
            </w:r>
          </w:p>
        </w:tc>
        <w:tc>
          <w:tcPr>
            <w:tcW w:type="dxa" w:w="2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Purpose</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Indicative sizing (relative to prod)</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Production</w:t>
            </w:r>
          </w:p>
        </w:tc>
        <w:tc>
          <w:tcPr>
            <w:tcW w:type="dxa" w:w="28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Live workloads</w:t>
            </w:r>
          </w:p>
        </w:tc>
        <w:tc>
          <w:tcPr>
            <w:tcW w:type="dxa" w:w="4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Full sizing per Section 11 (HA, autoscaling, backups)</w:t>
            </w:r>
          </w:p>
        </w:tc>
      </w:tr>
      <w:tr>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Disaster Recovery (DR)</w:t>
            </w:r>
          </w:p>
        </w:tc>
        <w:tc>
          <w:tcPr>
            <w:tcW w:type="dxa" w:w="28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Failover of production</w:t>
            </w:r>
          </w:p>
        </w:tc>
        <w:tc>
          <w:tcPr>
            <w:tcW w:type="dxa" w:w="4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Warm standby — DB replica + scalable app tier (see Section 14)</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UAT / Test</w:t>
            </w:r>
          </w:p>
        </w:tc>
        <w:tc>
          <w:tcPr>
            <w:tcW w:type="dxa" w:w="28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QA &amp; user acceptance</w:t>
            </w:r>
          </w:p>
        </w:tc>
        <w:tc>
          <w:tcPr>
            <w:tcW w:type="dxa" w:w="4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~30–50% of prod; single replicas, no HA required</w:t>
            </w:r>
          </w:p>
        </w:tc>
      </w:tr>
      <w:tr>
        <w:tc>
          <w:tcPr>
            <w:tcW w:type="dxa" w:w="22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Development</w:t>
            </w:r>
          </w:p>
        </w:tc>
        <w:tc>
          <w:tcPr>
            <w:tcW w:type="dxa" w:w="28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Engineering &amp; integration</w:t>
            </w:r>
          </w:p>
        </w:tc>
        <w:tc>
          <w:tcPr>
            <w:tcW w:type="dxa" w:w="4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~20–30% of prod; minimal resources, shared namespace</w:t>
            </w:r>
          </w:p>
        </w:tc>
      </w:tr>
    </w:tbl>
    <w:p>
      <w:pPr>
        <w:spacing w:after="120" w:before="40" w:line="276"/>
      </w:pPr>
      <w:r>
        <w:rPr>
          <w:i/>
          <w:iCs/>
          <w:color w:val="595959"/>
        </w:rPr>
        <w:t xml:space="preserve">Non-production environments can be co-located on a shared lower-cost cluster with namespace isolation to control cost.</w:t>
      </w:r>
    </w:p>
    <w:p>
      <w:r>
        <w:br w:type="page"/>
      </w:r>
    </w:p>
    <w:p>
      <w:pPr>
        <w:pStyle w:val="Heading1"/>
      </w:pPr>
      <w:r>
        <w:t xml:space="preserve">14. High Availability &amp; Disaster Recovery</w:t>
      </w:r>
    </w:p>
    <w:p>
      <w:pPr>
        <w:pStyle w:val="Heading2"/>
      </w:pPr>
      <w:r>
        <w:t xml:space="preserve">14.1 HA Architecture</w:t>
      </w:r>
    </w:p>
    <w:p>
      <w:pPr>
        <w:pStyle w:val="ListParagraph"/>
        <w:numPr>
          <w:ilvl w:val="0"/>
          <w:numId w:val="2"/>
        </w:numPr>
        <w:spacing w:after="70" w:line="270"/>
      </w:pPr>
      <w:r>
        <w:t xml:space="preserve">Multi-zone Kubernetes cluster; application pods spread across zones with anti-affinity.</w:t>
      </w:r>
    </w:p>
    <w:p>
      <w:pPr>
        <w:pStyle w:val="ListParagraph"/>
        <w:numPr>
          <w:ilvl w:val="0"/>
          <w:numId w:val="2"/>
        </w:numPr>
        <w:spacing w:after="70" w:line="270"/>
      </w:pPr>
      <w:r>
        <w:t xml:space="preserve">Managed PostgreSQL with high-availability (primary + standby/replica); Redis replication.</w:t>
      </w:r>
    </w:p>
    <w:p>
      <w:pPr>
        <w:pStyle w:val="ListParagraph"/>
        <w:numPr>
          <w:ilvl w:val="0"/>
          <w:numId w:val="2"/>
        </w:numPr>
        <w:spacing w:after="70" w:line="270"/>
      </w:pPr>
      <w:r>
        <w:t xml:space="preserve">Zero-downtime rolling deployments; health checks and automatic pod rescheduling.</w:t>
      </w:r>
    </w:p>
    <w:p>
      <w:pPr>
        <w:pStyle w:val="ListParagraph"/>
        <w:numPr>
          <w:ilvl w:val="0"/>
          <w:numId w:val="2"/>
        </w:numPr>
        <w:spacing w:after="70" w:line="270"/>
      </w:pPr>
      <w:r>
        <w:t xml:space="preserve">HA message broker (clustered RabbitMQ) recommended for the client deployment.</w:t>
      </w:r>
    </w:p>
    <w:p>
      <w:pPr>
        <w:pStyle w:val="Heading2"/>
      </w:pPr>
      <w:r>
        <w:t xml:space="preserve">14.2 DR Architecture</w:t>
      </w:r>
    </w:p>
    <w:p>
      <w:pPr>
        <w:pStyle w:val="ListParagraph"/>
        <w:numPr>
          <w:ilvl w:val="0"/>
          <w:numId w:val="2"/>
        </w:numPr>
        <w:spacing w:after="70" w:line="270"/>
      </w:pPr>
      <w:r>
        <w:t xml:space="preserve">Cross-region DR: database backups and read replica(s) replicated to a secondary region.</w:t>
      </w:r>
    </w:p>
    <w:p>
      <w:pPr>
        <w:pStyle w:val="ListParagraph"/>
        <w:numPr>
          <w:ilvl w:val="0"/>
          <w:numId w:val="2"/>
        </w:numPr>
        <w:spacing w:after="70" w:line="270"/>
      </w:pPr>
      <w:r>
        <w:t xml:space="preserve">Infrastructure reproducible from Git (IaC) — DR cluster recreated declaratively via ArgoCD.</w:t>
      </w:r>
    </w:p>
    <w:p>
      <w:pPr>
        <w:pStyle w:val="ListParagraph"/>
        <w:numPr>
          <w:ilvl w:val="0"/>
          <w:numId w:val="2"/>
        </w:numPr>
        <w:spacing w:after="70" w:line="270"/>
      </w:pPr>
      <w:r>
        <w:t xml:space="preserve">Object storage with cross-region replication for documents.</w:t>
      </w:r>
    </w:p>
    <w:p>
      <w:pPr>
        <w:pStyle w:val="ListParagraph"/>
        <w:numPr>
          <w:ilvl w:val="0"/>
          <w:numId w:val="2"/>
        </w:numPr>
        <w:spacing w:after="70" w:line="270"/>
      </w:pPr>
      <w:r>
        <w:t xml:space="preserve">DNS-based failover to the DR region.</w:t>
      </w:r>
    </w:p>
    <w:p>
      <w:pPr>
        <w:pStyle w:val="Heading2"/>
      </w:pPr>
      <w:r>
        <w:t xml:space="preserve">14.3 Replication Method</w:t>
      </w:r>
    </w:p>
    <w:p>
      <w:pPr>
        <w:pStyle w:val="ListParagraph"/>
        <w:numPr>
          <w:ilvl w:val="0"/>
          <w:numId w:val="2"/>
        </w:numPr>
        <w:spacing w:after="70" w:line="270"/>
      </w:pPr>
      <w:r>
        <w:t xml:space="preserve">PostgreSQL: managed primary–replica streaming replication + PITR logs to secondary region.</w:t>
      </w:r>
    </w:p>
    <w:p>
      <w:pPr>
        <w:pStyle w:val="ListParagraph"/>
        <w:numPr>
          <w:ilvl w:val="0"/>
          <w:numId w:val="2"/>
        </w:numPr>
        <w:spacing w:after="70" w:line="270"/>
      </w:pPr>
      <w:r>
        <w:t xml:space="preserve">MongoDB: replica set with continuous backup.</w:t>
      </w:r>
    </w:p>
    <w:p>
      <w:pPr>
        <w:pStyle w:val="ListParagraph"/>
        <w:numPr>
          <w:ilvl w:val="0"/>
          <w:numId w:val="2"/>
        </w:numPr>
        <w:spacing w:after="70" w:line="270"/>
      </w:pPr>
      <w:r>
        <w:t xml:space="preserve">Object storage: provider cross-region replication.</w:t>
      </w:r>
    </w:p>
    <w:p>
      <w:pPr>
        <w:pStyle w:val="Heading2"/>
      </w:pPr>
      <w:r>
        <w:t xml:space="preserve">14.4 Recovery Time Objective (RTO)</w:t>
      </w:r>
    </w:p>
    <w:p>
      <w:pPr>
        <w:spacing w:after="60" w:line="270"/>
      </w:pPr>
      <w:r>
        <w:rPr>
          <w:b/>
          <w:bCs/>
          <w:color w:val="B26A00"/>
          <w:sz w:val="20"/>
          <w:szCs w:val="20"/>
        </w:rPr>
        <w:t xml:space="preserve">[ RTO target (e.g. 4 hours) — to be confirmed by Crego — to be provided by Crego ]</w:t>
      </w:r>
    </w:p>
    <w:p>
      <w:pPr>
        <w:spacing w:after="120" w:before="0" w:line="276"/>
      </w:pPr>
      <w:r>
        <w:rPr>
          <w:i/>
          <w:iCs/>
          <w:color w:val="595959"/>
        </w:rPr>
        <w:t xml:space="preserve">Capability: with warm-standby DB and IaC-driven cluster recovery, the architecture supports a low-hours RTO; the committed figure will be confirmed with the client.</w:t>
      </w:r>
    </w:p>
    <w:p>
      <w:pPr>
        <w:pStyle w:val="Heading2"/>
      </w:pPr>
      <w:r>
        <w:t xml:space="preserve">14.5 Recovery Point Objective (RPO)</w:t>
      </w:r>
    </w:p>
    <w:p>
      <w:pPr>
        <w:spacing w:after="60" w:line="270"/>
      </w:pPr>
      <w:r>
        <w:rPr>
          <w:b/>
          <w:bCs/>
          <w:color w:val="B26A00"/>
          <w:sz w:val="20"/>
          <w:szCs w:val="20"/>
        </w:rPr>
        <w:t xml:space="preserve">[ RPO target (e.g. 15 minutes) — to be confirmed by Crego — to be provided by Crego ]</w:t>
      </w:r>
    </w:p>
    <w:p>
      <w:pPr>
        <w:spacing w:after="120" w:before="0" w:line="276"/>
      </w:pPr>
      <w:r>
        <w:rPr>
          <w:i/>
          <w:iCs/>
          <w:color w:val="595959"/>
        </w:rPr>
        <w:t xml:space="preserve">Capability: Point-in-Time Recovery and continuous replication support a short RPO (minutes); the committed figure will be confirmed with the client.</w:t>
      </w:r>
    </w:p>
    <w:p>
      <w:r>
        <w:br w:type="page"/>
      </w:r>
    </w:p>
    <w:p>
      <w:pPr>
        <w:pStyle w:val="Heading1"/>
      </w:pPr>
      <w:r>
        <w:t xml:space="preserve">15. Network Requirements</w:t>
      </w:r>
    </w:p>
    <w:p>
      <w:pPr>
        <w:pStyle w:val="Heading2"/>
      </w:pPr>
      <w:r>
        <w:t xml:space="preserve">15.1 Required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3660"/>
      </w:tblGrid>
      <w:tr>
        <w:trPr>
          <w:tblHeader/>
        </w:trPr>
        <w:tc>
          <w:tcPr>
            <w:tcW w:type="dxa" w:w="4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Service</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Port</w:t>
            </w:r>
          </w:p>
        </w:tc>
        <w:tc>
          <w:tcPr>
            <w:tcW w:type="dxa" w:w="3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Exposure</w:t>
            </w:r>
          </w:p>
        </w:tc>
      </w:tr>
      <w:tr>
        <w:tc>
          <w:tcPr>
            <w:tcW w:type="dxa" w:w="4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HTTPS (public ingress)</w:t>
            </w:r>
          </w:p>
        </w:tc>
        <w:tc>
          <w:tcPr>
            <w:tcW w:type="dxa" w:w="17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443</w:t>
            </w:r>
          </w:p>
        </w:tc>
        <w:tc>
          <w:tcPr>
            <w:tcW w:type="dxa" w:w="36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Public (edge only)</w:t>
            </w:r>
          </w:p>
        </w:tc>
      </w:tr>
      <w:tr>
        <w:tc>
          <w:tcPr>
            <w:tcW w:type="dxa" w:w="4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HTTP (redirect to HTTPS)</w:t>
            </w:r>
          </w:p>
        </w:tc>
        <w:tc>
          <w:tcPr>
            <w:tcW w:type="dxa" w:w="17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80</w:t>
            </w:r>
          </w:p>
        </w:tc>
        <w:tc>
          <w:tcPr>
            <w:tcW w:type="dxa" w:w="36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Public (redirect)</w:t>
            </w:r>
          </w:p>
        </w:tc>
      </w:tr>
      <w:tr>
        <w:tc>
          <w:tcPr>
            <w:tcW w:type="dxa" w:w="4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Application services</w:t>
            </w:r>
          </w:p>
        </w:tc>
        <w:tc>
          <w:tcPr>
            <w:tcW w:type="dxa" w:w="17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8000</w:t>
            </w:r>
          </w:p>
        </w:tc>
        <w:tc>
          <w:tcPr>
            <w:tcW w:type="dxa" w:w="36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Internal (cluster)</w:t>
            </w:r>
          </w:p>
        </w:tc>
      </w:tr>
      <w:tr>
        <w:tc>
          <w:tcPr>
            <w:tcW w:type="dxa" w:w="4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Flower (monitoring)</w:t>
            </w:r>
          </w:p>
        </w:tc>
        <w:tc>
          <w:tcPr>
            <w:tcW w:type="dxa" w:w="17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5555</w:t>
            </w:r>
          </w:p>
        </w:tc>
        <w:tc>
          <w:tcPr>
            <w:tcW w:type="dxa" w:w="36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Internal / restricted</w:t>
            </w:r>
          </w:p>
        </w:tc>
      </w:tr>
      <w:tr>
        <w:tc>
          <w:tcPr>
            <w:tcW w:type="dxa" w:w="4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PostgreSQL</w:t>
            </w:r>
          </w:p>
        </w:tc>
        <w:tc>
          <w:tcPr>
            <w:tcW w:type="dxa" w:w="17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5432</w:t>
            </w:r>
          </w:p>
        </w:tc>
        <w:tc>
          <w:tcPr>
            <w:tcW w:type="dxa" w:w="36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Private (data tier)</w:t>
            </w:r>
          </w:p>
        </w:tc>
      </w:tr>
      <w:tr>
        <w:tc>
          <w:tcPr>
            <w:tcW w:type="dxa" w:w="4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MongoDB</w:t>
            </w:r>
          </w:p>
        </w:tc>
        <w:tc>
          <w:tcPr>
            <w:tcW w:type="dxa" w:w="17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27017</w:t>
            </w:r>
          </w:p>
        </w:tc>
        <w:tc>
          <w:tcPr>
            <w:tcW w:type="dxa" w:w="36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Private (data tier)</w:t>
            </w:r>
          </w:p>
        </w:tc>
      </w:tr>
      <w:tr>
        <w:tc>
          <w:tcPr>
            <w:tcW w:type="dxa" w:w="4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Redis</w:t>
            </w:r>
          </w:p>
        </w:tc>
        <w:tc>
          <w:tcPr>
            <w:tcW w:type="dxa" w:w="17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6379</w:t>
            </w:r>
          </w:p>
        </w:tc>
        <w:tc>
          <w:tcPr>
            <w:tcW w:type="dxa" w:w="36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Private (cluster)</w:t>
            </w:r>
          </w:p>
        </w:tc>
      </w:tr>
      <w:tr>
        <w:tc>
          <w:tcPr>
            <w:tcW w:type="dxa" w:w="4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RabbitMQ</w:t>
            </w:r>
          </w:p>
        </w:tc>
        <w:tc>
          <w:tcPr>
            <w:tcW w:type="dxa" w:w="17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5672</w:t>
            </w:r>
          </w:p>
        </w:tc>
        <w:tc>
          <w:tcPr>
            <w:tcW w:type="dxa" w:w="36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Private (cluster)</w:t>
            </w:r>
          </w:p>
        </w:tc>
      </w:tr>
      <w:tr>
        <w:tc>
          <w:tcPr>
            <w:tcW w:type="dxa" w:w="4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Kubernetes API</w:t>
            </w:r>
          </w:p>
        </w:tc>
        <w:tc>
          <w:tcPr>
            <w:tcW w:type="dxa" w:w="17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6443</w:t>
            </w:r>
          </w:p>
        </w:tc>
        <w:tc>
          <w:tcPr>
            <w:tcW w:type="dxa" w:w="36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Restricted (authorized networks)</w:t>
            </w:r>
          </w:p>
        </w:tc>
      </w:tr>
    </w:tbl>
    <w:p>
      <w:pPr>
        <w:pStyle w:val="Heading2"/>
      </w:pPr>
      <w:r>
        <w:t xml:space="preserve">15.2 Bandwidth Requirements</w:t>
      </w:r>
    </w:p>
    <w:p>
      <w:pPr>
        <w:pStyle w:val="ListParagraph"/>
        <w:numPr>
          <w:ilvl w:val="0"/>
          <w:numId w:val="2"/>
        </w:numPr>
        <w:spacing w:after="70" w:line="270"/>
      </w:pPr>
      <w:r>
        <w:t xml:space="preserve">Internal cluster networking: 1 Gbps (cloud default).</w:t>
      </w:r>
    </w:p>
    <w:p>
      <w:pPr>
        <w:pStyle w:val="ListParagraph"/>
        <w:numPr>
          <w:ilvl w:val="0"/>
          <w:numId w:val="2"/>
        </w:numPr>
        <w:spacing w:after="70" w:line="270"/>
      </w:pPr>
      <w:r>
        <w:t xml:space="preserve">Public egress/ingress: sized to user load; ~50–100 Mbps sufficient for medium scale, burst-capable.</w:t>
      </w:r>
    </w:p>
    <w:p>
      <w:pPr>
        <w:pStyle w:val="ListParagraph"/>
        <w:numPr>
          <w:ilvl w:val="0"/>
          <w:numId w:val="2"/>
        </w:numPr>
        <w:spacing w:after="70" w:line="270"/>
      </w:pPr>
      <w:r>
        <w:t xml:space="preserve">Branch-to-platform: 2–10 Mbps per branch depending on user count and document traffic.</w:t>
      </w:r>
    </w:p>
    <w:p>
      <w:pPr>
        <w:pStyle w:val="Heading2"/>
      </w:pPr>
      <w:r>
        <w:t xml:space="preserve">15.3 Firewall Requirements</w:t>
      </w:r>
    </w:p>
    <w:p>
      <w:pPr>
        <w:pStyle w:val="ListParagraph"/>
        <w:numPr>
          <w:ilvl w:val="0"/>
          <w:numId w:val="2"/>
        </w:numPr>
        <w:spacing w:after="70" w:line="270"/>
      </w:pPr>
      <w:r>
        <w:t xml:space="preserve">Default-deny network policies; only the edge gateway holds public endpoints.</w:t>
      </w:r>
    </w:p>
    <w:p>
      <w:pPr>
        <w:pStyle w:val="ListParagraph"/>
        <w:numPr>
          <w:ilvl w:val="0"/>
          <w:numId w:val="2"/>
        </w:numPr>
        <w:spacing w:after="70" w:line="270"/>
      </w:pPr>
      <w:r>
        <w:t xml:space="preserve">Data tier (DB/cache/broker) reachable only from application pods over private networking.</w:t>
      </w:r>
    </w:p>
    <w:p>
      <w:pPr>
        <w:pStyle w:val="ListParagraph"/>
        <w:numPr>
          <w:ilvl w:val="0"/>
          <w:numId w:val="2"/>
        </w:numPr>
        <w:spacing w:after="70" w:line="270"/>
      </w:pPr>
      <w:r>
        <w:t xml:space="preserve">Kubernetes API restricted to authorized networks (office/VPN ranges).</w:t>
      </w:r>
    </w:p>
    <w:p>
      <w:pPr>
        <w:pStyle w:val="ListParagraph"/>
        <w:numPr>
          <w:ilvl w:val="0"/>
          <w:numId w:val="2"/>
        </w:numPr>
        <w:spacing w:after="70" w:line="270"/>
      </w:pPr>
      <w:r>
        <w:t xml:space="preserve">Egress through NAT with known static IPs for allow-listing on integrated systems.</w:t>
      </w:r>
    </w:p>
    <w:p>
      <w:pPr>
        <w:pStyle w:val="Heading2"/>
      </w:pPr>
      <w:r>
        <w:t xml:space="preserve">15.4 VPN / Connectivity Requirements</w:t>
      </w:r>
    </w:p>
    <w:p>
      <w:pPr>
        <w:pStyle w:val="ListParagraph"/>
        <w:numPr>
          <w:ilvl w:val="0"/>
          <w:numId w:val="2"/>
        </w:numPr>
        <w:spacing w:after="70" w:line="270"/>
      </w:pPr>
      <w:r>
        <w:t xml:space="preserve">Site-to-site VPN or private interconnect between the platform VPC and the bank's CBS/ERP/HR networks for integration traffic.</w:t>
      </w:r>
    </w:p>
    <w:p>
      <w:pPr>
        <w:pStyle w:val="ListParagraph"/>
        <w:numPr>
          <w:ilvl w:val="0"/>
          <w:numId w:val="2"/>
        </w:numPr>
        <w:spacing w:after="70" w:line="270"/>
      </w:pPr>
      <w:r>
        <w:t xml:space="preserve">VPN/authorized-network access for administrative access to the cluster control plane.</w:t>
      </w:r>
    </w:p>
    <w:p>
      <w:pPr>
        <w:pStyle w:val="Heading2"/>
      </w:pPr>
      <w:r>
        <w:t xml:space="preserve">15.5 Branch Connectivity Considerations</w:t>
      </w:r>
    </w:p>
    <w:p>
      <w:pPr>
        <w:pStyle w:val="ListParagraph"/>
        <w:numPr>
          <w:ilvl w:val="0"/>
          <w:numId w:val="2"/>
        </w:numPr>
        <w:spacing w:after="70" w:line="270"/>
      </w:pPr>
      <w:r>
        <w:t xml:space="preserve">Branch users access the platform over HTTPS (web/mobile) — no per-branch server footprint.</w:t>
      </w:r>
    </w:p>
    <w:p>
      <w:pPr>
        <w:pStyle w:val="ListParagraph"/>
        <w:numPr>
          <w:ilvl w:val="0"/>
          <w:numId w:val="2"/>
        </w:numPr>
        <w:spacing w:after="70" w:line="270"/>
      </w:pPr>
      <w:r>
        <w:t xml:space="preserve">Static egress IPs from branches can be allow-listed where required.</w:t>
      </w:r>
    </w:p>
    <w:p>
      <w:pPr>
        <w:pStyle w:val="ListParagraph"/>
        <w:numPr>
          <w:ilvl w:val="0"/>
          <w:numId w:val="2"/>
        </w:numPr>
        <w:spacing w:after="70" w:line="270"/>
      </w:pPr>
      <w:r>
        <w:t xml:space="preserve">The responsive web app and mobile app tolerate moderate-latency links typical of branch networks.</w:t>
      </w:r>
    </w:p>
    <w:p>
      <w:r>
        <w:br w:type="page"/>
      </w:r>
    </w:p>
    <w:p>
      <w:pPr>
        <w:pStyle w:val="Heading1"/>
      </w:pPr>
      <w:r>
        <w:t xml:space="preserve">16. Performance Sizing</w:t>
      </w:r>
    </w:p>
    <w:p>
      <w:pPr>
        <w:pStyle w:val="Heading2"/>
      </w:pPr>
      <w:r>
        <w:t xml:space="preserve">16.1 Expected Concurrent Users</w:t>
      </w:r>
    </w:p>
    <w:p>
      <w:pPr>
        <w:pStyle w:val="ListParagraph"/>
        <w:numPr>
          <w:ilvl w:val="0"/>
          <w:numId w:val="2"/>
        </w:numPr>
        <w:spacing w:after="70" w:line="270"/>
      </w:pPr>
      <w:r>
        <w:t xml:space="preserve">Named users: 500–2,000 (medium-scale profile).</w:t>
      </w:r>
    </w:p>
    <w:p>
      <w:pPr>
        <w:pStyle w:val="ListParagraph"/>
        <w:numPr>
          <w:ilvl w:val="0"/>
          <w:numId w:val="2"/>
        </w:numPr>
        <w:spacing w:after="70" w:line="270"/>
      </w:pPr>
      <w:r>
        <w:t xml:space="preserve">Concurrent active users: ~10–20% of named users (≈100–400 concurrent) as a planning assumption.</w:t>
      </w:r>
    </w:p>
    <w:p>
      <w:pPr>
        <w:pStyle w:val="ListParagraph"/>
        <w:numPr>
          <w:ilvl w:val="0"/>
          <w:numId w:val="2"/>
        </w:numPr>
        <w:spacing w:after="70" w:line="270"/>
      </w:pPr>
      <w:r>
        <w:t xml:space="preserve">Validated load-test baseline targets 100 concurrent users with zero 5xx errors and sub-2-second responses; horizontal scaling extends beyond this.</w:t>
      </w:r>
    </w:p>
    <w:p>
      <w:pPr>
        <w:pStyle w:val="Heading2"/>
      </w:pPr>
      <w:r>
        <w:t xml:space="preserve">16.2 Transaction Volume Assumptions</w:t>
      </w:r>
    </w:p>
    <w:p>
      <w:pPr>
        <w:spacing w:after="60" w:line="270"/>
      </w:pPr>
      <w:r>
        <w:rPr>
          <w:b/>
          <w:bCs/>
          <w:color w:val="B26A00"/>
          <w:sz w:val="20"/>
          <w:szCs w:val="20"/>
        </w:rPr>
        <w:t xml:space="preserve">[ Business transaction volumes (per day / peak per hour) — to be confirmed with client — to be provided by Crego ]</w:t>
      </w:r>
    </w:p>
    <w:p>
      <w:pPr>
        <w:spacing w:after="120" w:before="0" w:line="276"/>
      </w:pPr>
      <w:r>
        <w:rPr>
          <w:i/>
          <w:iCs/>
          <w:color w:val="595959"/>
        </w:rPr>
        <w:t xml:space="preserve">Sizing in this proposal assumes moderate transactional load consistent with the medium-user profile. Exact volumes from the client will be used to finalise worker concurrency, DB IOPS and autoscaling thresholds.</w:t>
      </w:r>
    </w:p>
    <w:p>
      <w:pPr>
        <w:pStyle w:val="Heading2"/>
      </w:pPr>
      <w:r>
        <w:t xml:space="preserve">16.3 Growth Projection</w:t>
      </w:r>
    </w:p>
    <w:p>
      <w:pPr>
        <w:pStyle w:val="ListParagraph"/>
        <w:numPr>
          <w:ilvl w:val="0"/>
          <w:numId w:val="2"/>
        </w:numPr>
        <w:spacing w:after="70" w:line="270"/>
      </w:pPr>
      <w:r>
        <w:t xml:space="preserve">Architecture scales horizontally — adding pods/nodes and DB read replicas absorbs growth.</w:t>
      </w:r>
    </w:p>
    <w:p>
      <w:pPr>
        <w:pStyle w:val="ListParagraph"/>
        <w:numPr>
          <w:ilvl w:val="0"/>
          <w:numId w:val="2"/>
        </w:numPr>
        <w:spacing w:after="70" w:line="270"/>
      </w:pPr>
      <w:r>
        <w:t xml:space="preserve">Recommend provisioning 12 months of storage headroom and reviewing sizing semi-annually.</w:t>
      </w:r>
    </w:p>
    <w:p>
      <w:pPr>
        <w:pStyle w:val="ListParagraph"/>
        <w:numPr>
          <w:ilvl w:val="0"/>
          <w:numId w:val="2"/>
        </w:numPr>
        <w:spacing w:after="70" w:line="270"/>
      </w:pPr>
      <w:r>
        <w:t xml:space="preserve">Multi-tenant model accommodates new business units/partners without re-platforming.</w:t>
      </w:r>
    </w:p>
    <w:p>
      <w:pPr>
        <w:pStyle w:val="Heading2"/>
      </w:pPr>
      <w:r>
        <w:t xml:space="preserve">16.4 Performance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Metric</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9"/>
                <w:szCs w:val="19"/>
              </w:rPr>
              <w:t xml:space="preserve">Target (baseline)</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Response time</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&lt; 2 seconds (P100) under 100 concurrent users</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Error rate</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Zero 5xx errors at target load</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Stability</w:t>
            </w:r>
          </w:p>
        </w:tc>
        <w:tc>
          <w:tcPr>
            <w:tcW w:type="dxa" w:w="6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spacing w:after="20" w:line="250"/>
            </w:pPr>
            <w:r>
              <w:rPr>
                <w:sz w:val="19"/>
                <w:szCs w:val="19"/>
              </w:rPr>
              <w:t xml:space="preserve">Zero pod restarts / no data corruption under test</w:t>
            </w:r>
          </w:p>
        </w:tc>
      </w:tr>
      <w:tr>
        <w:tc>
          <w:tcPr>
            <w:tcW w:type="dxa" w:w="300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Latency percentiles</w:t>
            </w:r>
          </w:p>
        </w:tc>
        <w:tc>
          <w:tcPr>
            <w:tcW w:type="dxa" w:w="6360"/>
            <w:tcBorders>
              <w:top w:val="single" w:color="BFBFBF" w:sz="1"/>
              <w:left w:val="single" w:color="BFBFBF" w:sz="1"/>
              <w:bottom w:val="single" w:color="BFBFBF" w:sz="1"/>
              <w:right w:val="single" w:color="BFBFBF" w:sz="1"/>
            </w:tcBorders>
            <w:shd w:fill="F2F5FA" w:val="clear"/>
            <w:tcMar>
              <w:top w:type="dxa" w:w="50"/>
              <w:left w:type="dxa" w:w="110"/>
              <w:bottom w:type="dxa" w:w="50"/>
              <w:right w:type="dxa" w:w="110"/>
            </w:tcMar>
            <w:vAlign w:val="center"/>
          </w:tcPr>
          <w:p>
            <w:pPr>
              <w:spacing w:after="20" w:line="250"/>
            </w:pPr>
            <w:r>
              <w:rPr>
                <w:sz w:val="19"/>
                <w:szCs w:val="19"/>
              </w:rPr>
              <w:t xml:space="preserve">P50/P95/P99 baselined per endpoint during load testing</w:t>
            </w:r>
          </w:p>
        </w:tc>
      </w:tr>
    </w:tbl>
    <w:p>
      <w:pPr>
        <w:spacing w:after="120" w:before="40" w:line="276"/>
      </w:pPr>
      <w:r>
        <w:rPr>
          <w:i/>
          <w:iCs/>
          <w:color w:val="595959"/>
        </w:rPr>
        <w:t xml:space="preserve">Final, environment-specific benchmarks are established through a load-testing exercise (Locust-based) on a dedicated test cluster prior to go-live.</w:t>
      </w:r>
    </w:p>
    <w:p>
      <w:r>
        <w:br w:type="page"/>
      </w:r>
    </w:p>
    <w:p>
      <w:pPr>
        <w:pStyle w:val="Heading1"/>
      </w:pPr>
      <w:r>
        <w:t xml:space="preserve">17. Infrastructure Dependency</w:t>
      </w:r>
    </w:p>
    <w:p>
      <w:pPr>
        <w:pStyle w:val="Heading2"/>
      </w:pPr>
      <w:r>
        <w:t xml:space="preserve">17.1 Third-Party Software</w:t>
      </w:r>
    </w:p>
    <w:p>
      <w:pPr>
        <w:pStyle w:val="ListParagraph"/>
        <w:numPr>
          <w:ilvl w:val="0"/>
          <w:numId w:val="2"/>
        </w:numPr>
        <w:spacing w:after="70" w:line="270"/>
      </w:pPr>
      <w:r>
        <w:t xml:space="preserve">Open-source frameworks/data stores: Django, FastAPI, Celery, React, PostgreSQL, MongoDB, Redis, RabbitMQ, Kubernetes.</w:t>
      </w:r>
    </w:p>
    <w:p>
      <w:pPr>
        <w:pStyle w:val="ListParagraph"/>
        <w:numPr>
          <w:ilvl w:val="0"/>
          <w:numId w:val="2"/>
        </w:numPr>
        <w:spacing w:after="70" w:line="270"/>
      </w:pPr>
      <w:r>
        <w:t xml:space="preserve">Platform tooling: ArgoCD, Kustomize, Terraform, cert-manager, External Secrets Operator, KEDA, Prometheus, Grafana, Sentry.</w:t>
      </w:r>
    </w:p>
    <w:p>
      <w:pPr>
        <w:pStyle w:val="Heading2"/>
      </w:pPr>
      <w:r>
        <w:t xml:space="preserve">17.2 Cloud Services</w:t>
      </w:r>
    </w:p>
    <w:p>
      <w:pPr>
        <w:pStyle w:val="ListParagraph"/>
        <w:numPr>
          <w:ilvl w:val="0"/>
          <w:numId w:val="2"/>
        </w:numPr>
        <w:spacing w:after="70" w:line="270"/>
      </w:pPr>
      <w:r>
        <w:t xml:space="preserve">Managed Kubernetes (GKE/EKS) or compatible private-cloud Kubernetes.</w:t>
      </w:r>
    </w:p>
    <w:p>
      <w:pPr>
        <w:pStyle w:val="ListParagraph"/>
        <w:numPr>
          <w:ilvl w:val="0"/>
          <w:numId w:val="2"/>
        </w:numPr>
        <w:spacing w:after="70" w:line="270"/>
      </w:pPr>
      <w:r>
        <w:t xml:space="preserve">Managed databases (Cloud SQL/RDS, MongoDB Atlas), cache (Memorystore/ElastiCache).</w:t>
      </w:r>
    </w:p>
    <w:p>
      <w:pPr>
        <w:pStyle w:val="ListParagraph"/>
        <w:numPr>
          <w:ilvl w:val="0"/>
          <w:numId w:val="2"/>
        </w:numPr>
        <w:spacing w:after="70" w:line="270"/>
      </w:pPr>
      <w:r>
        <w:t xml:space="preserve">Object storage (GCS/S3/Azure Blob), secret manager, DNS, managed certificates.</w:t>
      </w:r>
    </w:p>
    <w:p>
      <w:pPr>
        <w:pStyle w:val="Heading2"/>
      </w:pPr>
      <w:r>
        <w:t xml:space="preserve">17.3 Internet Connectivity</w:t>
      </w:r>
    </w:p>
    <w:p>
      <w:pPr>
        <w:pStyle w:val="ListParagraph"/>
        <w:numPr>
          <w:ilvl w:val="0"/>
          <w:numId w:val="2"/>
        </w:numPr>
        <w:spacing w:after="70" w:line="270"/>
      </w:pPr>
      <w:r>
        <w:t xml:space="preserve">Outbound connectivity for third-party gateways (email/SMS/push) and optional AI services.</w:t>
      </w:r>
    </w:p>
    <w:p>
      <w:pPr>
        <w:pStyle w:val="ListParagraph"/>
        <w:numPr>
          <w:ilvl w:val="0"/>
          <w:numId w:val="2"/>
        </w:numPr>
        <w:spacing w:after="70" w:line="270"/>
      </w:pPr>
      <w:r>
        <w:t xml:space="preserve">Inbound HTTPS for user and API access; can be restricted to private/VPN access if required.</w:t>
      </w:r>
    </w:p>
    <w:p>
      <w:pPr>
        <w:pStyle w:val="Heading2"/>
      </w:pPr>
      <w:r>
        <w:t xml:space="preserve">17.4 External Systems</w:t>
      </w:r>
    </w:p>
    <w:p>
      <w:pPr>
        <w:pStyle w:val="ListParagraph"/>
        <w:numPr>
          <w:ilvl w:val="0"/>
          <w:numId w:val="2"/>
        </w:numPr>
        <w:spacing w:after="70" w:line="270"/>
      </w:pPr>
      <w:r>
        <w:t xml:space="preserve">OIDC identity provider (for authentication, AD/LDAP federation, MFA).</w:t>
      </w:r>
    </w:p>
    <w:p>
      <w:pPr>
        <w:pStyle w:val="ListParagraph"/>
        <w:numPr>
          <w:ilvl w:val="0"/>
          <w:numId w:val="2"/>
        </w:numPr>
        <w:spacing w:after="70" w:line="270"/>
      </w:pPr>
      <w:r>
        <w:t xml:space="preserve">Client Core Banking, ERP and HR systems (integration endpoints).</w:t>
      </w:r>
    </w:p>
    <w:p>
      <w:pPr>
        <w:pStyle w:val="ListParagraph"/>
        <w:numPr>
          <w:ilvl w:val="0"/>
          <w:numId w:val="2"/>
        </w:numPr>
        <w:spacing w:after="70" w:line="270"/>
      </w:pPr>
      <w:r>
        <w:t xml:space="preserve">Email, SMS and push notification providers.</w:t>
      </w:r>
    </w:p>
    <w:p>
      <w:pPr>
        <w:pBdr>
          <w:bottom w:val="single" w:color="2E5496" w:sz="6" w:space="1"/>
        </w:pBdr>
        <w:spacing w:after="120"/>
      </w:pPr>
      <w:r>
        <w:t xml:space="preserve"/>
      </w:r>
    </w:p>
    <w:p>
      <w:pPr>
        <w:spacing w:after="120" w:before="0" w:line="276"/>
        <w:jc w:val="center"/>
      </w:pPr>
      <w:r>
        <w:rPr>
          <w:i/>
          <w:iCs/>
          <w:color w:val="595959"/>
        </w:rPr>
        <w:t xml:space="preserve">End of technical proposal response.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color w:val="595959"/>
        <w:sz w:val="16"/>
        <w:szCs w:val="16"/>
      </w:rPr>
      <w:t xml:space="preserve">Confidential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6"/>
        <w:szCs w:val="16"/>
      </w:rPr>
      <w:t xml:space="preserve">Crego Platform — Technical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4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180"/>
      <w:outlineLvl w:val="1"/>
    </w:pPr>
    <w:rPr>
      <w:rFonts w:ascii="Arial" w:cs="Arial" w:eastAsia="Arial" w:hAnsi="Arial"/>
      <w:b/>
      <w:bCs/>
      <w:color w:val="2E5496"/>
      <w:sz w:val="24"/>
      <w:szCs w:val="24"/>
    </w:rPr>
  </w:style>
  <w:style w:type="paragraph" w:styleId="Heading3">
    <w:name w:val="Heading 3"/>
    <w:basedOn w:val="Normal"/>
    <w:next w:val="Normal"/>
    <w:qFormat/>
    <w:pPr>
      <w:spacing w:after="60" w:before="12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2026-06-27T09:07:15.879Z</dcterms:created>
  <dcterms:modified xsi:type="dcterms:W3CDTF">2026-06-27T09:07:15.879Z</dcterms:modified>
</cp:coreProperties>
</file>

<file path=docProps/custom.xml><?xml version="1.0" encoding="utf-8"?>
<Properties xmlns="http://schemas.openxmlformats.org/officeDocument/2006/custom-properties" xmlns:vt="http://schemas.openxmlformats.org/officeDocument/2006/docPropsVTypes"/>
</file>