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8A1538"/>
          <w:sz w:val="44"/>
        </w:rPr>
        <w:t>Intelligenza artificiale al servizio della psicopatologia</w:t>
      </w:r>
    </w:p>
    <w:p>
      <w:pPr>
        <w:jc w:val="center"/>
      </w:pPr>
      <w:r>
        <w:rPr>
          <w:rFonts w:ascii="Aptos" w:hAnsi="Aptos"/>
          <w:i/>
          <w:sz w:val="24"/>
        </w:rPr>
        <w:t>Modelli, evidenze, soluzioni commerciali e questioni clinico-regolatorie per una psichiatria digitale responsabile</w:t>
      </w:r>
    </w:p>
    <w:p>
      <w:pPr>
        <w:jc w:val="center"/>
      </w:pPr>
      <w:r>
        <w:rPr>
          <w:rFonts w:ascii="Aptos" w:hAnsi="Aptos"/>
          <w:sz w:val="22"/>
        </w:rPr>
        <w:t>Manoscritto di lavoro per la scrittura di un paper scientifico</w:t>
      </w:r>
    </w:p>
    <w:p>
      <w:pPr>
        <w:jc w:val="center"/>
      </w:pPr>
      <w:r>
        <w:rPr>
          <w:rFonts w:ascii="Aptos" w:hAnsi="Aptos"/>
          <w:sz w:val="20"/>
        </w:rPr>
        <w:t>Marco Cremaschi - versione preparatoria, 10 giugno 2026</w:t>
      </w:r>
    </w:p>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2E8"/>
            <w:vAlign w:val="top"/>
          </w:tcPr>
          <w:p>
            <w:r>
              <w:rPr>
                <w:rFonts w:ascii="Aptos" w:hAnsi="Aptos"/>
                <w:b/>
                <w:sz w:val="17"/>
              </w:rPr>
              <w:t>Nota d’uso</w:t>
            </w:r>
          </w:p>
          <w:p>
            <w:r>
              <w:rPr>
                <w:rFonts w:ascii="Aptos" w:hAnsi="Aptos"/>
                <w:sz w:val="17"/>
              </w:rPr>
              <w:t>Questo documento integra e riorganizza i materiali della conversazione, del dossier preparatorio, delle slide e delle ricerche svolte. È pensato come base argomentativa per un articolo scientifico o una review narrativa. Le sezioni su soluzioni commerciali e notizie recenti non devono essere usate come prova di efficacia clinica senza verifica delle fonti primarie, del regolatorio aggiornato e degli eventuali conflitti di interesse.</w:t>
            </w:r>
          </w:p>
        </w:tc>
      </w:tr>
    </w:tbl>
    <w:p/>
    <w:p>
      <w:r>
        <w:br w:type="page"/>
      </w:r>
    </w:p>
    <w:p>
      <w:pPr>
        <w:pStyle w:val="Heading1"/>
      </w:pPr>
      <w:r>
        <w:t>Abstract</w:t>
      </w:r>
    </w:p>
    <w:p>
      <w:r>
        <w:t>L’intelligenza artificiale sta entrando nella salute mentale attraverso modelli predittivi, strumenti di digital phenotyping, analisi automatica del linguaggio, sistemi generativi e soluzioni commerciali orientate al paziente o al clinico. In diversi ambiti della medicina - non solo nella diagnostica per immagini, ma anche in elettrocardiografia, monitoraggio ospedaliero, terapia intensiva, nefrologia, gastroenterologia e patologia digitale - il machine learning ha già raggiunto livelli di validazione e integrazione clinica più maturi quando opera su compiti delimitati, dati standardizzati, segnali fisiologici o flussi EHR strutturati, ground truth verificabile e workflow digitali. In psicologia e psichiatria, invece, l’oggetto clinico è narrativo, relazionale, longitudinale e contestuale. La diagnosi non è un reperto isolato: è una formulazione che incide su identità, alleanza terapeutica, stigma e traiettoria di cura. Questo manoscritto propone una cornice critica per comprendere in che senso l’IA possa essere “al servizio della psicopatologia”: non come sostituto del giudizio clinico, ma come strumento per ampliare osservazione, documentazione, monitoraggio e formazione, e come nuovo oggetto relazionale da interrogare nell’anamnesi digitale. Vengono confrontate le evidenze del ML in medicina con quelle dei modelli diagnostici in salute mentale, esaminate le promesse e i rischi degli LLM, descritte le principali soluzioni commerciali attive nel 2026 e discusse le implicazioni etiche e regolatorie. La tesi conclusiva è che l’IA in salute mentale richieda una validazione più rigorosa e una governance più attenta proprio perché, a differenza di molti usi medici basati su immagini, segnali o dati strutturati, il suo output non si limita a classificare dati: può parlare al paziente, orientarne il significato soggettivo e diventare parte della relazione di cura.</w:t>
      </w:r>
    </w:p>
    <w:p>
      <w:r>
        <w:t>Parole chiave: intelligenza artificiale; psicopatologia; psichiatria digitale; machine learning; large language models; digital phenotyping; salute mentale; governance; dispositivi medici; chatbot.</w:t>
      </w:r>
    </w:p>
    <w:p>
      <w:pPr>
        <w:pStyle w:val="Heading1"/>
      </w:pPr>
      <w:r>
        <w:t>Indice sintetico</w:t>
      </w:r>
    </w:p>
    <w:p>
      <w:r>
        <w:rPr>
          <w:rFonts w:ascii="Aptos" w:hAnsi="Aptos"/>
          <w:sz w:val="20"/>
        </w:rPr>
        <w:t>1. Introduzione e cornice argomentativa</w:t>
      </w:r>
    </w:p>
    <w:p>
      <w:r>
        <w:rPr>
          <w:rFonts w:ascii="Aptos" w:hAnsi="Aptos"/>
          <w:sz w:val="20"/>
        </w:rPr>
        <w:t>2. Metodo e status epistemico delle fonti</w:t>
      </w:r>
    </w:p>
    <w:p>
      <w:r>
        <w:rPr>
          <w:rFonts w:ascii="Aptos" w:hAnsi="Aptos"/>
          <w:sz w:val="20"/>
        </w:rPr>
        <w:t>3. Cinque famiglie di IA in psicopatologia</w:t>
      </w:r>
    </w:p>
    <w:p>
      <w:r>
        <w:t>4. Perché il ML è più maturo in medicina: immagini, segnali e dati strutturati</w:t>
      </w:r>
    </w:p>
    <w:p>
      <w:r>
        <w:rPr>
          <w:rFonts w:ascii="Aptos" w:hAnsi="Aptos"/>
          <w:sz w:val="20"/>
        </w:rPr>
        <w:t>5. Modelli diagnostici ML in psicologia e psichiatria</w:t>
      </w:r>
    </w:p>
    <w:p>
      <w:r>
        <w:rPr>
          <w:rFonts w:ascii="Aptos" w:hAnsi="Aptos"/>
          <w:sz w:val="20"/>
        </w:rPr>
        <w:t>6. NLP, linguaggio e digital phenotyping</w:t>
      </w:r>
    </w:p>
    <w:p>
      <w:r>
        <w:rPr>
          <w:rFonts w:ascii="Aptos" w:hAnsi="Aptos"/>
          <w:sz w:val="20"/>
        </w:rPr>
        <w:t>7. IA generativa e LLM: dalla classificazione alla conversazione</w:t>
      </w:r>
    </w:p>
    <w:p>
      <w:r>
        <w:rPr>
          <w:rFonts w:ascii="Aptos" w:hAnsi="Aptos"/>
          <w:sz w:val="20"/>
        </w:rPr>
        <w:t>8. Pazienti sintetici, formazione e DIPPS/LLMPatients</w:t>
      </w:r>
    </w:p>
    <w:p>
      <w:r>
        <w:rPr>
          <w:rFonts w:ascii="Aptos" w:hAnsi="Aptos"/>
          <w:sz w:val="20"/>
        </w:rPr>
        <w:t>9. Soluzioni commerciali AI in salute mentale</w:t>
      </w:r>
    </w:p>
    <w:p>
      <w:r>
        <w:rPr>
          <w:rFonts w:ascii="Aptos" w:hAnsi="Aptos"/>
          <w:sz w:val="20"/>
        </w:rPr>
        <w:t>10. Governance, regolazione e responsabilità</w:t>
      </w:r>
    </w:p>
    <w:p>
      <w:r>
        <w:rPr>
          <w:rFonts w:ascii="Aptos" w:hAnsi="Aptos"/>
          <w:sz w:val="20"/>
        </w:rPr>
        <w:t>11. Discussione e agenda di ricerca</w:t>
      </w:r>
    </w:p>
    <w:p>
      <w:r>
        <w:rPr>
          <w:rFonts w:ascii="Aptos" w:hAnsi="Aptos"/>
          <w:sz w:val="20"/>
        </w:rPr>
        <w:t>12. Conclusioni e bibliografia</w:t>
      </w:r>
    </w:p>
    <w:p>
      <w:r>
        <w:br w:type="page"/>
      </w:r>
    </w:p>
    <w:p>
      <w:pPr>
        <w:pStyle w:val="Heading1"/>
      </w:pPr>
      <w:r>
        <w:t>1. Introduzione: l’IA è già nella stanza di consultazione</w:t>
      </w:r>
    </w:p>
    <w:p>
      <w:r>
        <w:t>La domanda non è più se l’intelligenza artificiale entrerà nella salute mentale. È già entrata: nelle ricerche online dei pazienti, nelle app di auto-aiuto, nei chatbot generalisti, nei sistemi di trascrizione e sintesi, nei flussi amministrativi dei servizi, negli strumenti di telemedicina e nelle piattaforme commerciali che promettono screening, triage, monitoraggio o supporto psicologico. La questione clinica e scientifica diventa quindi come governare questa presenza, quale evidenza richiedere, quali usi distinguere e quali rischi riconoscere.</w:t>
      </w:r>
    </w:p>
    <w:p>
      <w:r>
        <w:t>Un caso clinico ipotetico rende il problema concreto. Un giovane adulto in ritiro sociale arriva in consultazione dopo settimane di conversazioni quotidiane con un chatbot. Ha chiesto al sistema se fosse depresso, se dovesse assumere farmaci, se la sua famiglia fosse tossica, se la vita avesse senso. Quando incontra il terapeuta riferisce: “Mi capisce meglio di tutti”. In questa scena l’IA non è solo uno strumento esterno: è già un interlocutore pregresso, un mediatore della domanda d’aiuto e un possibile “terzo” nella relazione clinica.</w:t>
      </w:r>
    </w:p>
    <w:p>
      <w:r>
        <w:t>La tesi di questo lavoro è duplice. Da un lato, l’IA può servire la psicopatologia come tecnologia di osservazione: documenta, sintetizza, monitora, segnala pattern, supporta training e può rendere più continuo l’ascolto dei cambiamenti nel tempo. Dall’altro, l’IA diventa parte dell’ambiente relazionale e simbolico in cui la sofferenza mentale si esprime, specialmente nei nativi digitali. Un chatbot può funzionare come confidente, specchio narcisistico, validatore continuo, oggetto transizionale digitale, rinforzo dell’evitamento sociale o amplificatore di ruminazione e credenze deliranti.</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0F2"/>
            <w:vAlign w:val="top"/>
          </w:tcPr>
          <w:p>
            <w:r>
              <w:rPr>
                <w:rFonts w:ascii="Aptos" w:hAnsi="Aptos"/>
                <w:b/>
                <w:sz w:val="17"/>
              </w:rPr>
              <w:t>Tesi centrale</w:t>
            </w:r>
          </w:p>
          <w:p>
            <w:r>
              <w:rPr>
                <w:rFonts w:ascii="Aptos" w:hAnsi="Aptos"/>
                <w:sz w:val="17"/>
              </w:rPr>
              <w:t>L’IA non è solo uno strumento che misura la psicopatologia: sta diventando parte dell’ecologia in cui la psicopatologia si esprime. Sarà davvero al servizio della clinica solo se aumenterà la capacità di osservare, accompagnare e proteggere la sofferenza mentale, senza sostituire giudizio clinico, relazione terapeutica e responsabilità professionale.</w:t>
            </w:r>
          </w:p>
        </w:tc>
      </w:tr>
    </w:tbl>
    <w:p/>
    <w:p>
      <w:pPr>
        <w:pStyle w:val="Heading1"/>
      </w:pPr>
      <w:r>
        <w:t>2. Metodo e status epistemico del documento</w:t>
      </w:r>
    </w:p>
    <w:p>
      <w:r>
        <w:t>Questo testo non è una revisione sistematica. È una review narrativa e concettuale costruita a partire da materiali preparatori per un intervento scientifico, da fonti regolatorie e istituzionali, da letteratura peer-reviewed selezionata, da preprint recenti e da una mappatura di soluzioni commerciali. L’obiettivo è fornire una struttura argomentativa robusta per la scrittura di un paper, non sostituire una ricerca bibliografica PRISMA.</w:t>
      </w:r>
    </w:p>
    <w:p>
      <w:r>
        <w:t>La gerarchia delle fonti usata nel documento è la seguente: (1) fonti istituzionali e regolatorie, come FDA, WHO, APA e Unione Europea; (2) studi peer-reviewed e trial clinici/pragmatici; (3) review sistematiche e scoping review; (4) preprint recenti, sempre indicati come tali; (5) pagine commerciali e white paper aziendali, usati per mappare il mercato ma non per inferire efficacia; (6) notizie giornalistiche, usate solo come spunti di discussione o per segnalare controversie pubbliche.</w:t>
      </w:r>
    </w:p>
    <w:p>
      <w:r>
        <w:t>Per trasformare questo manoscritto in un articolo sottomettibile, è necessario: definire con precisione la domanda di ricerca; completare una strategia bibliografica tracciabile; verificare DOI, paginazione e status di pubblicazione di ogni riferimento; separare rigorosamente dati peer-reviewed, claim aziendali e notizie; esplicitare conflitti d’interesse; e aggiornare le informazioni regolatorie alla data di submission.</w:t>
      </w:r>
    </w:p>
    <w:p>
      <w:pPr>
        <w:pStyle w:val="Heading1"/>
      </w:pPr>
      <w:r>
        <w:t>3. Una distinzione preliminare: clinician-facing e patient-facing</w:t>
      </w:r>
    </w:p>
    <w:p>
      <w:r>
        <w:t>Molte discussioni sull’IA in salute mentale falliscono perché usano la parola “IA” come categoria unica. In realtà il rischio clinico cambia radicalmente a seconda che il sistema sia rivolto al professionista o parli direttamente con il paziente.</w:t>
      </w:r>
    </w:p>
    <w:p>
      <w:r>
        <w:rPr>
          <w:rFonts w:ascii="Aptos" w:hAnsi="Aptos"/>
          <w:b/>
          <w:sz w:val="19"/>
        </w:rPr>
        <w:t>Tabella 1. Clinician-facing vs patient-facing</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3389"/>
            <w:vAlign w:val="top"/>
            <w:shd w:fill="D9EAD3"/>
            <w:tcMar>
              <w:top w:w="60" w:type="dxa"/>
              <w:left w:w="60" w:type="dxa"/>
              <w:bottom w:w="60" w:type="dxa"/>
              <w:right w:w="60" w:type="dxa"/>
            </w:tcMar>
          </w:tcPr>
          <w:p>
            <w:pPr>
              <w:jc w:val="left"/>
            </w:pPr>
            <w:r>
              <w:rPr>
                <w:sz w:val="17"/>
              </w:rPr>
            </w:r>
            <w:r>
              <w:rPr>
                <w:rFonts w:ascii="Aptos" w:hAnsi="Aptos"/>
                <w:b/>
                <w:sz w:val="17"/>
              </w:rPr>
              <w:t>Categoria</w:t>
            </w:r>
          </w:p>
        </w:tc>
        <w:tc>
          <w:tcPr>
            <w:tcW w:type="dxa" w:w="3389"/>
            <w:vAlign w:val="top"/>
            <w:shd w:fill="D9EAD3"/>
            <w:tcMar>
              <w:top w:w="60" w:type="dxa"/>
              <w:left w:w="60" w:type="dxa"/>
              <w:bottom w:w="60" w:type="dxa"/>
              <w:right w:w="60" w:type="dxa"/>
            </w:tcMar>
          </w:tcPr>
          <w:p>
            <w:pPr>
              <w:jc w:val="left"/>
            </w:pPr>
            <w:r>
              <w:rPr>
                <w:sz w:val="17"/>
              </w:rPr>
            </w:r>
            <w:r>
              <w:rPr>
                <w:rFonts w:ascii="Aptos" w:hAnsi="Aptos"/>
                <w:b/>
                <w:sz w:val="17"/>
              </w:rPr>
              <w:t>Descrizione</w:t>
            </w:r>
          </w:p>
        </w:tc>
        <w:tc>
          <w:tcPr>
            <w:tcW w:type="dxa" w:w="3389"/>
            <w:vAlign w:val="top"/>
            <w:shd w:fill="D9EAD3"/>
            <w:tcMar>
              <w:top w:w="60" w:type="dxa"/>
              <w:left w:w="60" w:type="dxa"/>
              <w:bottom w:w="60" w:type="dxa"/>
              <w:right w:w="60" w:type="dxa"/>
            </w:tcMar>
          </w:tcPr>
          <w:p>
            <w:pPr>
              <w:jc w:val="left"/>
            </w:pPr>
            <w:r>
              <w:rPr>
                <w:sz w:val="17"/>
              </w:rPr>
            </w:r>
            <w:r>
              <w:rPr>
                <w:rFonts w:ascii="Aptos" w:hAnsi="Aptos"/>
                <w:b/>
                <w:sz w:val="17"/>
              </w:rPr>
              <w:t>Implicazione clinica</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7"/>
              </w:rPr>
              <w:t>Clinician-facing</w:t>
            </w:r>
          </w:p>
        </w:tc>
        <w:tc>
          <w:tcPr>
            <w:tcW w:type="dxa" w:w="3389"/>
            <w:vAlign w:val="top"/>
            <w:tcMar>
              <w:top w:w="60" w:type="dxa"/>
              <w:left w:w="60" w:type="dxa"/>
              <w:bottom w:w="60" w:type="dxa"/>
              <w:right w:w="60" w:type="dxa"/>
            </w:tcMar>
          </w:tcPr>
          <w:p>
            <w:pPr>
              <w:jc w:val="left"/>
            </w:pPr>
            <w:r>
              <w:rPr>
                <w:sz w:val="17"/>
              </w:rPr>
            </w:r>
            <w:r>
              <w:rPr>
                <w:rFonts w:ascii="Aptos" w:hAnsi="Aptos"/>
                <w:b w:val="0"/>
                <w:sz w:val="17"/>
              </w:rPr>
              <w:t>Il professionista usa l’IA per documentare, sintetizzare, cercare pattern, ricevere alert o migliorare il workflow.</w:t>
            </w:r>
          </w:p>
        </w:tc>
        <w:tc>
          <w:tcPr>
            <w:tcW w:type="dxa" w:w="3389"/>
            <w:vAlign w:val="top"/>
            <w:tcMar>
              <w:top w:w="60" w:type="dxa"/>
              <w:left w:w="60" w:type="dxa"/>
              <w:bottom w:w="60" w:type="dxa"/>
              <w:right w:w="60" w:type="dxa"/>
            </w:tcMar>
          </w:tcPr>
          <w:p>
            <w:pPr>
              <w:jc w:val="left"/>
            </w:pPr>
            <w:r>
              <w:rPr>
                <w:sz w:val="17"/>
              </w:rPr>
            </w:r>
            <w:r>
              <w:rPr>
                <w:rFonts w:ascii="Aptos" w:hAnsi="Aptos"/>
                <w:b w:val="0"/>
                <w:sz w:val="17"/>
              </w:rPr>
              <w:t>La responsabilità è più visibile: il clinico può revisionare, correggere, contestualizzare e assumere decisioni.</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7"/>
              </w:rPr>
              <w:t>Patient-facing</w:t>
            </w:r>
          </w:p>
        </w:tc>
        <w:tc>
          <w:tcPr>
            <w:tcW w:type="dxa" w:w="3389"/>
            <w:vAlign w:val="top"/>
            <w:tcMar>
              <w:top w:w="60" w:type="dxa"/>
              <w:left w:w="60" w:type="dxa"/>
              <w:bottom w:w="60" w:type="dxa"/>
              <w:right w:w="60" w:type="dxa"/>
            </w:tcMar>
          </w:tcPr>
          <w:p>
            <w:pPr>
              <w:jc w:val="left"/>
            </w:pPr>
            <w:r>
              <w:rPr>
                <w:sz w:val="17"/>
              </w:rPr>
            </w:r>
            <w:r>
              <w:rPr>
                <w:rFonts w:ascii="Aptos" w:hAnsi="Aptos"/>
                <w:b w:val="0"/>
                <w:sz w:val="17"/>
              </w:rPr>
              <w:t>Il sistema parla direttamente con il paziente: chatbot, app, companion, self-help, triage conversazionale, supporto tra sedute.</w:t>
            </w:r>
          </w:p>
        </w:tc>
        <w:tc>
          <w:tcPr>
            <w:tcW w:type="dxa" w:w="3389"/>
            <w:vAlign w:val="top"/>
            <w:tcMar>
              <w:top w:w="60" w:type="dxa"/>
              <w:left w:w="60" w:type="dxa"/>
              <w:bottom w:w="60" w:type="dxa"/>
              <w:right w:w="60" w:type="dxa"/>
            </w:tcMar>
          </w:tcPr>
          <w:p>
            <w:pPr>
              <w:jc w:val="left"/>
            </w:pPr>
            <w:r>
              <w:rPr>
                <w:sz w:val="17"/>
              </w:rPr>
            </w:r>
            <w:r>
              <w:rPr>
                <w:rFonts w:ascii="Aptos" w:hAnsi="Aptos"/>
                <w:b w:val="0"/>
                <w:sz w:val="17"/>
              </w:rPr>
              <w:t>Il rischio relazionale è più alto: l’output può influenzare scelte, significati, identità, alleanza e comportamenti in crisi.</w:t>
            </w:r>
          </w:p>
        </w:tc>
      </w:tr>
    </w:tbl>
    <w:p/>
    <w:p>
      <w:r>
        <w:t>La distanza dal paziente vulnerabile è una variabile di rischio. Una sintesi automatica di cartella, se revisionata dal clinico, è qualitativamente diversa da un chatbot che risponde a un adolescente suicidario alle tre di notte. Più il sistema si avvicina al paziente in modo autonomo, più servono validazione, supervisione umana, procedure di escalation, trasparenza e accountability.</w:t>
      </w:r>
    </w:p>
    <w:p>
      <w:pPr>
        <w:pStyle w:val="Heading1"/>
      </w:pPr>
      <w:r>
        <w:t>4. Cinque famiglie di IA in psicopatologia</w:t>
      </w:r>
    </w:p>
    <w:p>
      <w:r>
        <w:rPr>
          <w:rFonts w:ascii="Aptos" w:hAnsi="Aptos"/>
          <w:b/>
          <w:sz w:val="19"/>
        </w:rPr>
        <w:t>Tabella 2. Famiglie operative di IA in salute mentale</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3389"/>
            <w:vAlign w:val="top"/>
            <w:shd w:fill="D9EAD3"/>
            <w:tcMar>
              <w:top w:w="60" w:type="dxa"/>
              <w:left w:w="60" w:type="dxa"/>
              <w:bottom w:w="60" w:type="dxa"/>
              <w:right w:w="60" w:type="dxa"/>
            </w:tcMar>
          </w:tcPr>
          <w:p>
            <w:pPr>
              <w:jc w:val="left"/>
            </w:pPr>
            <w:r>
              <w:rPr>
                <w:sz w:val="17"/>
              </w:rPr>
            </w:r>
            <w:r>
              <w:rPr>
                <w:rFonts w:ascii="Aptos" w:hAnsi="Aptos"/>
                <w:b/>
                <w:sz w:val="16"/>
              </w:rPr>
              <w:t>Famiglia</w:t>
            </w:r>
          </w:p>
        </w:tc>
        <w:tc>
          <w:tcPr>
            <w:tcW w:type="dxa" w:w="3389"/>
            <w:vAlign w:val="top"/>
            <w:shd w:fill="D9EAD3"/>
            <w:tcMar>
              <w:top w:w="60" w:type="dxa"/>
              <w:left w:w="60" w:type="dxa"/>
              <w:bottom w:w="60" w:type="dxa"/>
              <w:right w:w="60" w:type="dxa"/>
            </w:tcMar>
          </w:tcPr>
          <w:p>
            <w:pPr>
              <w:jc w:val="left"/>
            </w:pPr>
            <w:r>
              <w:rPr>
                <w:sz w:val="17"/>
              </w:rPr>
            </w:r>
            <w:r>
              <w:rPr>
                <w:rFonts w:ascii="Aptos" w:hAnsi="Aptos"/>
                <w:b/>
                <w:sz w:val="16"/>
              </w:rPr>
              <w:t>Dati/usi tipici</w:t>
            </w:r>
          </w:p>
        </w:tc>
        <w:tc>
          <w:tcPr>
            <w:tcW w:type="dxa" w:w="3389"/>
            <w:vAlign w:val="top"/>
            <w:shd w:fill="D9EAD3"/>
            <w:tcMar>
              <w:top w:w="60" w:type="dxa"/>
              <w:left w:w="60" w:type="dxa"/>
              <w:bottom w:w="60" w:type="dxa"/>
              <w:right w:w="60" w:type="dxa"/>
            </w:tcMar>
          </w:tcPr>
          <w:p>
            <w:pPr>
              <w:jc w:val="left"/>
            </w:pPr>
            <w:r>
              <w:rPr>
                <w:sz w:val="17"/>
              </w:rPr>
            </w:r>
            <w:r>
              <w:rPr>
                <w:rFonts w:ascii="Aptos" w:hAnsi="Aptos"/>
                <w:b/>
                <w:sz w:val="16"/>
              </w:rPr>
              <w:t>Punto critico</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Machine learning predittivo</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Rischio, ricadute, drop-out, risposta ai trattamenti, triage.</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Stima probabilità; utile per organizzazione e monitoraggio, ma non produce formulazione psicopatologica.</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NLP / analisi del linguaggio</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Testi clinici, linguaggio spontaneo, social media, trascrizioni.</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Individua segnali di sentiment, coerenza, impoverimento, disorganizzazione; rischio di decontestualizzazione.</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Digital phenotyping</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Smartphone, wearable, sonno, attività, mobilità, ritmo circadiano, socialità.</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Può rendere l’osservazione più ecologica e longitudinale; rischio sorveglianza e falsi proxy.</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IA generativa / LLM</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Chatbot, sintesi cliniche, psicoeducazione, simulazione, supporto tra sedute.</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Produce linguaggio e può essere percepita come empatica; rischio di falsa cura e delega impropria.</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IA multimodale</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Testo, voce, volto, movimento, cartella clinica, sensori e wearable.</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Promette integrazione di segnali complessi; aumenta invasività, opacità e problemi di consenso.</w:t>
            </w:r>
          </w:p>
        </w:tc>
      </w:tr>
    </w:tbl>
    <w:p/>
    <w:p>
      <w:r>
        <w:t>Queste famiglie non sono mutualmente esclusive. Le piattaforme più recenti combinano NLP, modelli generativi, dati di comportamento digitale, algoritmi predittivi e modelli multimodali. La classificazione è utile perché rende visibile che “IA” non è una tecnologia unica, ma un insieme di funzioni con evidenze, rischi e responsabilità differenti.</w:t>
      </w:r>
    </w:p>
    <w:p>
      <w:pPr>
        <w:pStyle w:val="Heading1"/>
      </w:pPr>
      <w:r>
        <w:t>5. Perché il ML è più maturo in medicina: immagini, segnali e dati strutturati</w:t>
      </w:r>
    </w:p>
    <w:p>
      <w:r>
        <w:t>Per introdurre l’IA in psicopatologia è utile partire dai contesti in cui il machine learning ha mostrato maggiore maturità clinica in medicina. Non si tratta soltanto della diagnostica per immagini. Radiologia, oftalmologia, endoscopia e patologia digitale restano esempi paradigmatici, ma una parte rilevante dell’evidenza proviene anche da segnali fisiologici standardizzati, come l’ECG, da flussi longitudinali di cartella clinica elettronica, da sistemi di allerta per sepsi o deterioramento clinico, da modelli per il rischio di danno renale acuto e da strumenti di decision support integrati nel workflow ospedaliero. In questi ambiti il compito è spesso più circoscritto, il dato è più ripetibile, il target clinico è definito da criteri relativamente verificabili e l’impatto può essere misurato con outcome di processo o di salute.</w:t>
      </w:r>
    </w:p>
    <w:p>
      <w:r>
        <w:t>L’esempio non va usato per sostenere che l’IA sostituisca radiologi, patologi, cardiologi, internisti o intensivisti. La lezione più utile è opposta: il ML diventa clinicamente credibile quando ha un uso previsto ristretto, un protocollo di validazione, dati di sviluppo e test separati, eventuale validazione esterna, misura di impatto sul workflow, supervisione umana e responsabilità chiaramente collocata. La maturità è inoltre disomogenea anche nella medicina generale: i modelli su EHR e sistemi di early warning possono essere potenti, ma sono più vulnerabili a shift di popolazione, calibration drift, alert fatigue e scarsa trasparenza rispetto a molti compiti di imaging. Il fallimento o la ridotta performance di alcuni modelli proprietari di sepsi mostra che “usato in ospedale” non significa automaticamente “clinicamente valido”.</w:t>
      </w:r>
    </w:p>
    <w:p>
      <w:r>
        <w:t>Tabella 3. Esempi di ML in medicina con compiti delimitati e workflow misurabili</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vAlign w:val="top"/>
            <w:shd w:fill="D9EAD3"/>
            <w:tcMar>
              <w:top w:w="60" w:type="dxa"/>
              <w:left w:w="60" w:type="dxa"/>
              <w:bottom w:w="60" w:type="dxa"/>
              <w:right w:w="60" w:type="dxa"/>
            </w:tcMar>
          </w:tcPr>
          <w:p>
            <w:r>
              <w:rPr>
                <w:sz w:val="16"/>
              </w:rPr>
              <w:t>Scenario</w:t>
            </w:r>
          </w:p>
        </w:tc>
        <w:tc>
          <w:tcPr>
            <w:tcW w:type="dxa" w:w="2541"/>
            <w:vAlign w:val="top"/>
            <w:shd w:fill="D9EAD3"/>
            <w:tcMar>
              <w:top w:w="60" w:type="dxa"/>
              <w:left w:w="60" w:type="dxa"/>
              <w:bottom w:w="60" w:type="dxa"/>
              <w:right w:w="60" w:type="dxa"/>
            </w:tcMar>
          </w:tcPr>
          <w:p>
            <w:r>
              <w:rPr>
                <w:sz w:val="16"/>
              </w:rPr>
              <w:t>Sistema/esempio</w:t>
            </w:r>
          </w:p>
        </w:tc>
        <w:tc>
          <w:tcPr>
            <w:tcW w:type="dxa" w:w="2541"/>
            <w:vAlign w:val="top"/>
            <w:shd w:fill="D9EAD3"/>
            <w:tcMar>
              <w:top w:w="60" w:type="dxa"/>
              <w:left w:w="60" w:type="dxa"/>
              <w:bottom w:w="60" w:type="dxa"/>
              <w:right w:w="60" w:type="dxa"/>
            </w:tcMar>
          </w:tcPr>
          <w:p>
            <w:r>
              <w:rPr>
                <w:sz w:val="16"/>
              </w:rPr>
              <w:t>Uso clinico</w:t>
            </w:r>
          </w:p>
        </w:tc>
        <w:tc>
          <w:tcPr>
            <w:tcW w:type="dxa" w:w="2541"/>
            <w:vAlign w:val="top"/>
            <w:shd w:fill="D9EAD3"/>
            <w:tcMar>
              <w:top w:w="60" w:type="dxa"/>
              <w:left w:w="60" w:type="dxa"/>
              <w:bottom w:w="60" w:type="dxa"/>
              <w:right w:w="60" w:type="dxa"/>
            </w:tcMar>
          </w:tcPr>
          <w:p>
            <w:r>
              <w:rPr>
                <w:sz w:val="16"/>
              </w:rPr>
              <w:t>Performance/qualità dell’evidenza</w:t>
            </w:r>
          </w:p>
        </w:tc>
      </w:tr>
      <w:tr>
        <w:trPr>
          <w:cantSplit/>
        </w:trPr>
        <w:tc>
          <w:tcPr>
            <w:tcW w:type="dxa" w:w="2541"/>
            <w:vAlign w:val="top"/>
          </w:tcPr>
          <w:p>
            <w:r>
              <w:rPr>
                <w:sz w:val="16"/>
              </w:rPr>
              <w:t>Retinopatia diabetica</w:t>
            </w:r>
          </w:p>
        </w:tc>
        <w:tc>
          <w:tcPr>
            <w:tcW w:type="dxa" w:w="2541"/>
            <w:vAlign w:val="top"/>
          </w:tcPr>
          <w:p>
            <w:r>
              <w:rPr>
                <w:sz w:val="16"/>
              </w:rPr>
              <w:t>IDx-DR / Digital Diagnostics</w:t>
            </w:r>
          </w:p>
        </w:tc>
        <w:tc>
          <w:tcPr>
            <w:tcW w:type="dxa" w:w="2541"/>
            <w:vAlign w:val="top"/>
          </w:tcPr>
          <w:p>
            <w:r>
              <w:rPr>
                <w:sz w:val="16"/>
              </w:rPr>
              <w:t>Screening autonomo su immagini retiniche in adulti diabetici senza retinopatia nota.</w:t>
            </w:r>
          </w:p>
        </w:tc>
        <w:tc>
          <w:tcPr>
            <w:tcW w:type="dxa" w:w="2541"/>
            <w:vAlign w:val="top"/>
          </w:tcPr>
          <w:p>
            <w:r>
              <w:rPr>
                <w:sz w:val="16"/>
              </w:rPr>
              <w:t>Studio FDA De Novo: 900 arruolati, 819 analizzabili; sensibilità corretta 87,2%, specificità osservata 89,5%, NPV elevato; uso previsto ristretto con referral se no result.</w:t>
            </w:r>
          </w:p>
        </w:tc>
      </w:tr>
      <w:tr>
        <w:trPr>
          <w:cantSplit/>
        </w:trPr>
        <w:tc>
          <w:tcPr>
            <w:tcW w:type="dxa" w:w="2541"/>
            <w:vAlign w:val="top"/>
          </w:tcPr>
          <w:p>
            <w:r>
              <w:rPr>
                <w:sz w:val="16"/>
              </w:rPr>
              <w:t>Mammografia</w:t>
            </w:r>
          </w:p>
        </w:tc>
        <w:tc>
          <w:tcPr>
            <w:tcW w:type="dxa" w:w="2541"/>
            <w:vAlign w:val="top"/>
          </w:tcPr>
          <w:p>
            <w:r>
              <w:rPr>
                <w:sz w:val="16"/>
              </w:rPr>
              <w:t>MASAI trial / AI-assisted reading</w:t>
            </w:r>
          </w:p>
        </w:tc>
        <w:tc>
          <w:tcPr>
            <w:tcW w:type="dxa" w:w="2541"/>
            <w:vAlign w:val="top"/>
          </w:tcPr>
          <w:p>
            <w:r>
              <w:rPr>
                <w:sz w:val="16"/>
              </w:rPr>
              <w:t>Supporto alla lettura nello screening mammografico di popolazione.</w:t>
            </w:r>
          </w:p>
        </w:tc>
        <w:tc>
          <w:tcPr>
            <w:tcW w:type="dxa" w:w="2541"/>
            <w:vAlign w:val="top"/>
          </w:tcPr>
          <w:p>
            <w:r>
              <w:rPr>
                <w:sz w:val="16"/>
              </w:rPr>
              <w:t>RCT pragmatico &gt;80.000 donne; circa +20% di tumori rilevati e riduzione del carico di lettura di circa 44% nella lettura assistita.</w:t>
            </w:r>
          </w:p>
        </w:tc>
      </w:tr>
      <w:tr>
        <w:trPr>
          <w:cantSplit/>
        </w:trPr>
        <w:tc>
          <w:tcPr>
            <w:tcW w:type="dxa" w:w="2541"/>
            <w:vAlign w:val="top"/>
          </w:tcPr>
          <w:p>
            <w:r>
              <w:rPr>
                <w:sz w:val="16"/>
              </w:rPr>
              <w:t>Colonoscopia</w:t>
            </w:r>
          </w:p>
        </w:tc>
        <w:tc>
          <w:tcPr>
            <w:tcW w:type="dxa" w:w="2541"/>
            <w:vAlign w:val="top"/>
          </w:tcPr>
          <w:p>
            <w:r>
              <w:rPr>
                <w:sz w:val="16"/>
              </w:rPr>
              <w:t>GI Genius</w:t>
            </w:r>
          </w:p>
        </w:tc>
        <w:tc>
          <w:tcPr>
            <w:tcW w:type="dxa" w:w="2541"/>
            <w:vAlign w:val="top"/>
          </w:tcPr>
          <w:p>
            <w:r>
              <w:rPr>
                <w:sz w:val="16"/>
              </w:rPr>
              <w:t>Rilevazione in tempo reale di lesioni/polipi durante colonoscopia.</w:t>
            </w:r>
          </w:p>
        </w:tc>
        <w:tc>
          <w:tcPr>
            <w:tcW w:type="dxa" w:w="2541"/>
            <w:vAlign w:val="top"/>
          </w:tcPr>
          <w:p>
            <w:r>
              <w:rPr>
                <w:sz w:val="16"/>
              </w:rPr>
              <w:t>FDA De Novo e RCT: ADR 55,1% vs 42,0%; differenza +13,1 punti percentuali; adenomi per colonoscopia 0,809 vs 0,568.</w:t>
            </w:r>
          </w:p>
        </w:tc>
      </w:tr>
      <w:tr>
        <w:trPr>
          <w:cantSplit/>
        </w:trPr>
        <w:tc>
          <w:tcPr>
            <w:tcW w:type="dxa" w:w="2541"/>
            <w:vAlign w:val="top"/>
          </w:tcPr>
          <w:p>
            <w:r>
              <w:rPr>
                <w:sz w:val="16"/>
              </w:rPr>
              <w:t>Patologia digitale</w:t>
            </w:r>
          </w:p>
        </w:tc>
        <w:tc>
          <w:tcPr>
            <w:tcW w:type="dxa" w:w="2541"/>
            <w:vAlign w:val="top"/>
          </w:tcPr>
          <w:p>
            <w:r>
              <w:rPr>
                <w:sz w:val="16"/>
              </w:rPr>
              <w:t>Paige Prostate Detect</w:t>
            </w:r>
          </w:p>
        </w:tc>
        <w:tc>
          <w:tcPr>
            <w:tcW w:type="dxa" w:w="2541"/>
            <w:vAlign w:val="top"/>
          </w:tcPr>
          <w:p>
            <w:r>
              <w:rPr>
                <w:sz w:val="16"/>
              </w:rPr>
              <w:t>Supporto al patologo per identificare aree sospette di carcinoma prostatico in biopsie digitalizzate.</w:t>
            </w:r>
          </w:p>
        </w:tc>
        <w:tc>
          <w:tcPr>
            <w:tcW w:type="dxa" w:w="2541"/>
            <w:vAlign w:val="top"/>
          </w:tcPr>
          <w:p>
            <w:r>
              <w:rPr>
                <w:sz w:val="16"/>
              </w:rPr>
              <w:t>FDA De Novo: miglioramento stimato della sensibilità per-biopsia di circa 7,3%; specificità assistita 89,50% vs 88,45%.</w:t>
            </w:r>
          </w:p>
        </w:tc>
      </w:tr>
      <w:tr>
        <w:trPr>
          <w:cantSplit/>
        </w:trPr>
        <w:tc>
          <w:tcPr>
            <w:tcW w:type="dxa" w:w="2541"/>
            <w:vAlign w:val="top"/>
          </w:tcPr>
          <w:p>
            <w:r>
              <w:rPr>
                <w:sz w:val="16"/>
              </w:rPr>
              <w:t>ECG / scompenso cardiaco occulto</w:t>
            </w:r>
          </w:p>
        </w:tc>
        <w:tc>
          <w:tcPr>
            <w:tcW w:type="dxa" w:w="2541"/>
            <w:vAlign w:val="top"/>
          </w:tcPr>
          <w:p>
            <w:r>
              <w:rPr>
                <w:sz w:val="16"/>
              </w:rPr>
              <w:t>AI-ECG, EAGLE trial</w:t>
            </w:r>
          </w:p>
        </w:tc>
        <w:tc>
          <w:tcPr>
            <w:tcW w:type="dxa" w:w="2541"/>
            <w:vAlign w:val="top"/>
          </w:tcPr>
          <w:p>
            <w:r>
              <w:rPr>
                <w:sz w:val="16"/>
              </w:rPr>
              <w:t>Identificazione di pazienti con bassa frazione di eiezione a partire da ECG di routine.</w:t>
            </w:r>
          </w:p>
        </w:tc>
        <w:tc>
          <w:tcPr>
            <w:tcW w:type="dxa" w:w="2541"/>
            <w:vAlign w:val="top"/>
          </w:tcPr>
          <w:p>
            <w:r>
              <w:rPr>
                <w:sz w:val="16"/>
              </w:rPr>
              <w:t>Trial pragmatico cluster-randomizzato: 22.641 adulti, 120 team, 45 cliniche/ospedali; diagnosi di bassa EF 2,1% vs 1,6%; nei positivi AI-ECG 19,5% vs 14,5%.</w:t>
            </w:r>
          </w:p>
        </w:tc>
      </w:tr>
      <w:tr>
        <w:trPr>
          <w:cantSplit/>
        </w:trPr>
        <w:tc>
          <w:tcPr>
            <w:tcW w:type="dxa" w:w="2541"/>
            <w:vAlign w:val="top"/>
          </w:tcPr>
          <w:p>
            <w:r>
              <w:rPr>
                <w:sz w:val="16"/>
              </w:rPr>
              <w:t>ECG 12 derivazioni</w:t>
            </w:r>
          </w:p>
        </w:tc>
        <w:tc>
          <w:tcPr>
            <w:tcW w:type="dxa" w:w="2541"/>
            <w:vAlign w:val="top"/>
          </w:tcPr>
          <w:p>
            <w:r>
              <w:rPr>
                <w:sz w:val="16"/>
              </w:rPr>
              <w:t>DNN su ECG</w:t>
            </w:r>
          </w:p>
        </w:tc>
        <w:tc>
          <w:tcPr>
            <w:tcW w:type="dxa" w:w="2541"/>
            <w:vAlign w:val="top"/>
          </w:tcPr>
          <w:p>
            <w:r>
              <w:rPr>
                <w:sz w:val="16"/>
              </w:rPr>
              <w:t>Classificazione automatica di anomalie elettrocardiografiche e aritmie.</w:t>
            </w:r>
          </w:p>
        </w:tc>
        <w:tc>
          <w:tcPr>
            <w:tcW w:type="dxa" w:w="2541"/>
            <w:vAlign w:val="top"/>
          </w:tcPr>
          <w:p>
            <w:r>
              <w:rPr>
                <w:sz w:val="16"/>
              </w:rPr>
              <w:t>Grandi dataset retrospettivi e studi peer-reviewed su milioni di ECG; metriche elevate in compiti definiti, ma dipendenti da setting, label e popolazione.</w:t>
            </w:r>
          </w:p>
        </w:tc>
      </w:tr>
      <w:tr>
        <w:trPr>
          <w:cantSplit/>
        </w:trPr>
        <w:tc>
          <w:tcPr>
            <w:tcW w:type="dxa" w:w="2541"/>
            <w:vAlign w:val="top"/>
          </w:tcPr>
          <w:p>
            <w:r>
              <w:rPr>
                <w:sz w:val="16"/>
              </w:rPr>
              <w:t>Danno renale acuto</w:t>
            </w:r>
          </w:p>
        </w:tc>
        <w:tc>
          <w:tcPr>
            <w:tcW w:type="dxa" w:w="2541"/>
            <w:vAlign w:val="top"/>
          </w:tcPr>
          <w:p>
            <w:r>
              <w:rPr>
                <w:sz w:val="16"/>
              </w:rPr>
              <w:t>Deep learning su EHR longitudinali</w:t>
            </w:r>
          </w:p>
        </w:tc>
        <w:tc>
          <w:tcPr>
            <w:tcW w:type="dxa" w:w="2541"/>
            <w:vAlign w:val="top"/>
          </w:tcPr>
          <w:p>
            <w:r>
              <w:rPr>
                <w:sz w:val="16"/>
              </w:rPr>
              <w:t>Predizione continua di AKI durante ricovero, con anticipo fino a 48 ore.</w:t>
            </w:r>
          </w:p>
        </w:tc>
        <w:tc>
          <w:tcPr>
            <w:tcW w:type="dxa" w:w="2541"/>
            <w:vAlign w:val="top"/>
          </w:tcPr>
          <w:p>
            <w:r>
              <w:rPr>
                <w:sz w:val="16"/>
              </w:rPr>
              <w:t>Nature 2019: 703.782 adulti, 172 siti inpatient e 1.062 outpatient; predetti 55,8% degli episodi inpatient e 90,2% degli AKI che richiedevano dialisi; circa 2 falsi alert per ogni vero alert.</w:t>
            </w:r>
          </w:p>
        </w:tc>
      </w:tr>
      <w:tr>
        <w:trPr>
          <w:cantSplit/>
        </w:trPr>
        <w:tc>
          <w:tcPr>
            <w:tcW w:type="dxa" w:w="2541"/>
            <w:vAlign w:val="top"/>
          </w:tcPr>
          <w:p>
            <w:r>
              <w:rPr>
                <w:sz w:val="16"/>
              </w:rPr>
              <w:t>Sepsi / deterioramento clinico</w:t>
            </w:r>
          </w:p>
        </w:tc>
        <w:tc>
          <w:tcPr>
            <w:tcW w:type="dxa" w:w="2541"/>
            <w:vAlign w:val="top"/>
          </w:tcPr>
          <w:p>
            <w:r>
              <w:rPr>
                <w:sz w:val="16"/>
              </w:rPr>
              <w:t>TREWS</w:t>
            </w:r>
          </w:p>
        </w:tc>
        <w:tc>
          <w:tcPr>
            <w:tcW w:type="dxa" w:w="2541"/>
            <w:vAlign w:val="top"/>
          </w:tcPr>
          <w:p>
            <w:r>
              <w:rPr>
                <w:sz w:val="16"/>
              </w:rPr>
              <w:t>Early warning system su cartella clinica elettronica per identificare sepsi e accelerare trattamento.</w:t>
            </w:r>
          </w:p>
        </w:tc>
        <w:tc>
          <w:tcPr>
            <w:tcW w:type="dxa" w:w="2541"/>
            <w:vAlign w:val="top"/>
          </w:tcPr>
          <w:p>
            <w:r>
              <w:rPr>
                <w:sz w:val="16"/>
              </w:rPr>
              <w:t>Studio prospettico multisito: 590.736 pazienti monitorati; nei casi confermati dal clinico entro 3 ore, riduzione associata della mortalità in-hospital del 3,3% assoluto e 18,7% relativo.</w:t>
            </w:r>
          </w:p>
        </w:tc>
      </w:tr>
      <w:tr>
        <w:trPr>
          <w:cantSplit/>
        </w:trPr>
        <w:tc>
          <w:tcPr>
            <w:tcW w:type="dxa" w:w="2541"/>
            <w:vAlign w:val="top"/>
          </w:tcPr>
          <w:p>
            <w:r>
              <w:rPr>
                <w:sz w:val="16"/>
              </w:rPr>
              <w:t>Sepsi / contro-esempio</w:t>
            </w:r>
          </w:p>
        </w:tc>
        <w:tc>
          <w:tcPr>
            <w:tcW w:type="dxa" w:w="2541"/>
            <w:vAlign w:val="top"/>
          </w:tcPr>
          <w:p>
            <w:r>
              <w:rPr>
                <w:sz w:val="16"/>
              </w:rPr>
              <w:t>Epic Sepsis Model</w:t>
            </w:r>
          </w:p>
        </w:tc>
        <w:tc>
          <w:tcPr>
            <w:tcW w:type="dxa" w:w="2541"/>
            <w:vAlign w:val="top"/>
          </w:tcPr>
          <w:p>
            <w:r>
              <w:rPr>
                <w:sz w:val="16"/>
              </w:rPr>
              <w:t>Modello proprietario EHR-based ampiamente implementato.</w:t>
            </w:r>
          </w:p>
        </w:tc>
        <w:tc>
          <w:tcPr>
            <w:tcW w:type="dxa" w:w="2541"/>
            <w:vAlign w:val="top"/>
          </w:tcPr>
          <w:p>
            <w:r>
              <w:rPr>
                <w:sz w:val="16"/>
              </w:rPr>
              <w:t>Validazione esterna JAMA Internal Medicine: 27.697 pazienti, 38.455 ricoveri; AUC 0,63; non identificati 67% dei casi di sepsi, con elevato burden di alert.</w:t>
            </w:r>
          </w:p>
        </w:tc>
      </w:tr>
      <w:tr>
        <w:trPr>
          <w:cantSplit/>
        </w:trPr>
        <w:tc>
          <w:tcPr>
            <w:tcW w:type="dxa" w:w="2541"/>
            <w:vAlign w:val="top"/>
          </w:tcPr>
          <w:p>
            <w:r>
              <w:rPr>
                <w:sz w:val="16"/>
              </w:rPr>
              <w:t>TC cranio in urgenza</w:t>
            </w:r>
          </w:p>
        </w:tc>
        <w:tc>
          <w:tcPr>
            <w:tcW w:type="dxa" w:w="2541"/>
            <w:vAlign w:val="top"/>
          </w:tcPr>
          <w:p>
            <w:r>
              <w:rPr>
                <w:sz w:val="16"/>
              </w:rPr>
              <w:t>AI triage per emorragia intracranica</w:t>
            </w:r>
          </w:p>
        </w:tc>
        <w:tc>
          <w:tcPr>
            <w:tcW w:type="dxa" w:w="2541"/>
            <w:vAlign w:val="top"/>
          </w:tcPr>
          <w:p>
            <w:r>
              <w:rPr>
                <w:sz w:val="16"/>
              </w:rPr>
              <w:t>Prioritizzazione worklist e alert di ICH.</w:t>
            </w:r>
          </w:p>
        </w:tc>
        <w:tc>
          <w:tcPr>
            <w:tcW w:type="dxa" w:w="2541"/>
            <w:vAlign w:val="top"/>
          </w:tcPr>
          <w:p>
            <w:r>
              <w:rPr>
                <w:sz w:val="16"/>
              </w:rPr>
              <w:t>Evidenza real-world in crescita: possibile riduzione del tempo di refertazione e alte sensibilità/specificità in validazioni dedicate; qualità variabile tra prodotti e studi.</w:t>
            </w:r>
          </w:p>
        </w:tc>
      </w:tr>
    </w:tbl>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0F2"/>
            <w:vAlign w:val="top"/>
          </w:tcPr>
          <w:p>
            <w:r>
              <w:rPr>
                <w:rFonts w:ascii="Aptos" w:hAnsi="Aptos"/>
                <w:b/>
                <w:sz w:val="17"/>
              </w:rPr>
              <w:t>Frase ponte per il paper</w:t>
            </w:r>
          </w:p>
          <w:p>
            <w:r>
              <w:rPr>
                <w:rFonts w:ascii="Aptos" w:hAnsi="Aptos"/>
                <w:sz w:val="17"/>
              </w:rPr>
              <w:t>Una mammografia è un’immagine; un delirio è un’esperienza vissuta. Il confronto con la medicina dell’immagine serve a chiarire perché l’IA in psicopatologia richiede standard di validazione e governance diversi, non minori.</w:t>
            </w:r>
          </w:p>
        </w:tc>
      </w:tr>
    </w:tbl>
    <w:p/>
    <w:p>
      <w:pPr>
        <w:pStyle w:val="Heading1"/>
      </w:pPr>
      <w:r>
        <w:t>6. Perché la psicopatologia è un caso diverso</w:t>
      </w:r>
    </w:p>
    <w:p>
      <w:r>
        <w:t>In psicopatologia il “dato” non è mai semplicemente dato. È una narrazione situata, influenzata dal contesto, dalla relazione, dal linguaggio, dalla cultura, dalla vergogna, dalla memoria, dalla domanda d’aiuto e dalle aspettative del paziente. La diagnosi è spesso longitudinale e probabilistica; le categorie sono eterogenee; la comorbidità è la norma; l’outcome non è un singolo reperto, ma una costellazione di sintomi, funzionamento, qualità della vita, rischi, relazioni e significati.</w:t>
      </w:r>
    </w:p>
    <w:p>
      <w:r>
        <w:t>Questo non rende impossibile l’uso del machine learning. Rende però pericoloso trasferire in modo ingenuo il paradigma “classifica-lesione” alla salute mentale. Un errore diagnostico in psicopatologia non produce solo un falso positivo o un falso negativo: può modificare il modo in cui il paziente si comprende, rinforzare una credenza delirante, amplificare stigma, indebolire l’alleanza terapeutica, promuovere evitamento o generare dipendenza dal dispositivo.</w:t>
      </w:r>
    </w:p>
    <w:p>
      <w:r>
        <w:rPr>
          <w:rFonts w:ascii="Aptos" w:hAnsi="Aptos"/>
          <w:b/>
          <w:sz w:val="19"/>
        </w:rPr>
        <w:t>Tabella 4. Dal pixel al significato</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3389"/>
            <w:vAlign w:val="top"/>
            <w:shd w:fill="D9EAD3"/>
            <w:tcMar>
              <w:top w:w="60" w:type="dxa"/>
              <w:left w:w="60" w:type="dxa"/>
              <w:bottom w:w="60" w:type="dxa"/>
              <w:right w:w="60" w:type="dxa"/>
            </w:tcMar>
          </w:tcPr>
          <w:p>
            <w:pPr>
              <w:jc w:val="left"/>
            </w:pPr>
            <w:r>
              <w:rPr>
                <w:sz w:val="17"/>
              </w:rPr>
            </w:r>
            <w:r>
              <w:rPr>
                <w:rFonts w:ascii="Aptos" w:hAnsi="Aptos"/>
                <w:b/>
                <w:sz w:val="16"/>
              </w:rPr>
              <w:t>Dimensione</w:t>
            </w:r>
          </w:p>
        </w:tc>
        <w:tc>
          <w:tcPr>
            <w:tcW w:type="dxa" w:w="3389"/>
            <w:vAlign w:val="top"/>
            <w:shd w:fill="D9EAD3"/>
            <w:tcMar>
              <w:top w:w="60" w:type="dxa"/>
              <w:left w:w="60" w:type="dxa"/>
              <w:bottom w:w="60" w:type="dxa"/>
              <w:right w:w="60" w:type="dxa"/>
            </w:tcMar>
          </w:tcPr>
          <w:p>
            <w:r>
              <w:rPr>
                <w:sz w:val="17"/>
              </w:rPr>
              <w:t>Medicina dell’immagine, dei segnali e dei dati strutturati</w:t>
            </w:r>
          </w:p>
        </w:tc>
        <w:tc>
          <w:tcPr>
            <w:tcW w:type="dxa" w:w="3389"/>
            <w:vAlign w:val="top"/>
            <w:shd w:fill="D9EAD3"/>
            <w:tcMar>
              <w:top w:w="60" w:type="dxa"/>
              <w:left w:w="60" w:type="dxa"/>
              <w:bottom w:w="60" w:type="dxa"/>
              <w:right w:w="60" w:type="dxa"/>
            </w:tcMar>
          </w:tcPr>
          <w:p>
            <w:pPr>
              <w:jc w:val="left"/>
            </w:pPr>
            <w:r>
              <w:rPr>
                <w:sz w:val="17"/>
              </w:rPr>
            </w:r>
            <w:r>
              <w:rPr>
                <w:rFonts w:ascii="Aptos" w:hAnsi="Aptos"/>
                <w:b/>
                <w:sz w:val="16"/>
              </w:rPr>
              <w:t>Psicopatologia</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Dato</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Immagine/segnale standardizzato</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Linguaggio, relazione, contesto, storia, funzionamento</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Ground truth</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Reperto anatomo-clinico o consenso specialistico più stabile</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Diagnosi clinica spesso costrutto, longitudinale, influenzato da setting e comorbidità</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Output</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Rilevare, misurare, classificare un segno</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Formulare, comprendere, negoziare significato e piano di cura</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Rischio dell’output</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Mancata diagnosi o overdiagnosis biologica</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Effetto su identità, stigma, comportamento, relazione terapeutica</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Workflow</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Spesso già digitale e protocollato</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Spesso frammentato, narrativo, multi-professionale e non completamente strutturato</w:t>
            </w:r>
          </w:p>
        </w:tc>
      </w:tr>
    </w:tbl>
    <w:p/>
    <w:p>
      <w:r>
        <w:t>Da qui deriva una regola metodologica: in salute mentale non basta chiedere “quanto è accurato il modello?”. Bisogna chiedere: accurato per chi, in quale popolazione, contro quale riferimento, in quale contesto, con quale responsabilità, con quali conseguenze e con quale gestione degli errori?</w:t>
      </w:r>
    </w:p>
    <w:p>
      <w:pPr>
        <w:pStyle w:val="Heading1"/>
      </w:pPr>
      <w:r>
        <w:t>7. Machine learning diagnostico in psicologia e psichiatria</w:t>
      </w:r>
    </w:p>
    <w:p>
      <w:r>
        <w:t>I modelli diagnostici in psicologia e psichiatria cercano di identificare una condizione clinica o una categoria diagnostica a partire da dati neurobiologici, linguistici, comportamentali o digitali. I compiti tipici includono classificare depressione maggiore vs controlli, disturbo bipolare vs depressione unipolare, schizofrenia vs controlli, psicosi vs non psicosi, ASD vs non ASD, ADHD vs controlli, PTSD vs controlli, oppure severità sintomatologica sopra/sotto soglia.</w:t>
      </w:r>
    </w:p>
    <w:p>
      <w:pPr>
        <w:pStyle w:val="Heading2"/>
      </w:pPr>
      <w:r>
        <w:t>7.1 Tipi di modelli e dati</w:t>
      </w:r>
    </w:p>
    <w:p>
      <w:r>
        <w:t>I modelli più usati includono SVM, random forest, gradient boosting, regressione logistica regolarizzata, reti neurali profonde, CNN per immagini o spettri, RNN/transformer per sequenze e modelli multimodali. I dati possono derivare da fMRI o rs-fMRI, EEG, voce, testo, cartelle cliniche elettroniche, questionari, video, espressioni facciali, smartphone, wearable e social media. Nei lavori recenti compaiono anche transformer e LLM per classificazione, estrazione di segnali clinici e generazione di giudizi assistiti.</w:t>
      </w:r>
    </w:p>
    <w:p>
      <w:pPr>
        <w:pStyle w:val="Heading2"/>
      </w:pPr>
      <w:r>
        <w:t>7.2 Stato dell’evidenza</w:t>
      </w:r>
    </w:p>
    <w:p>
      <w:r>
        <w:t>La letteratura contiene molte performance apparentemente elevate, talvolta superiori al 90% di accuratezza o AUC in classificazioni caso-controllo. Tuttavia, la maturità clinica è molto più bassa rispetto all’imaging medico. Le ragioni principali sono campioni piccoli, dataset monocentrici, controllo insufficiente di confondenti, validazioni esterne rare, prevalenze artificiali, diagnosi di riferimento generate dal medesimo sistema clinico che il modello dovrebbe supportare, rischio di data leakage e scarsa trasferibilità a popolazioni comorbide e real-world.</w:t>
      </w:r>
    </w:p>
    <w:p>
      <w:r>
        <w:rPr>
          <w:rFonts w:ascii="Aptos" w:hAnsi="Aptos"/>
          <w:b/>
          <w:sz w:val="19"/>
        </w:rPr>
        <w:t>Tabella 5. ML diagnostico in salute mentale: aree principali</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trPr>
        <w:tc>
          <w:tcPr>
            <w:tcW w:type="dxa" w:w="2541"/>
            <w:vAlign w:val="top"/>
            <w:shd w:fill="D9EAD3"/>
            <w:tcMar>
              <w:top w:w="60" w:type="dxa"/>
              <w:left w:w="60" w:type="dxa"/>
              <w:bottom w:w="60" w:type="dxa"/>
              <w:right w:w="60" w:type="dxa"/>
            </w:tcMar>
          </w:tcPr>
          <w:p>
            <w:pPr>
              <w:jc w:val="left"/>
            </w:pPr>
            <w:r>
              <w:rPr>
                <w:sz w:val="17"/>
              </w:rPr>
            </w:r>
            <w:r>
              <w:rPr>
                <w:rFonts w:ascii="Aptos" w:hAnsi="Aptos"/>
                <w:b/>
                <w:sz w:val="15"/>
              </w:rPr>
              <w:t>Fonte dati</w:t>
            </w:r>
          </w:p>
        </w:tc>
        <w:tc>
          <w:tcPr>
            <w:tcW w:type="dxa" w:w="2541"/>
            <w:vAlign w:val="top"/>
            <w:shd w:fill="D9EAD3"/>
            <w:tcMar>
              <w:top w:w="60" w:type="dxa"/>
              <w:left w:w="60" w:type="dxa"/>
              <w:bottom w:w="60" w:type="dxa"/>
              <w:right w:w="60" w:type="dxa"/>
            </w:tcMar>
          </w:tcPr>
          <w:p>
            <w:pPr>
              <w:jc w:val="left"/>
            </w:pPr>
            <w:r>
              <w:rPr>
                <w:sz w:val="17"/>
              </w:rPr>
            </w:r>
            <w:r>
              <w:rPr>
                <w:rFonts w:ascii="Aptos" w:hAnsi="Aptos"/>
                <w:b/>
                <w:sz w:val="15"/>
              </w:rPr>
              <w:t>Modelli</w:t>
            </w:r>
          </w:p>
        </w:tc>
        <w:tc>
          <w:tcPr>
            <w:tcW w:type="dxa" w:w="2541"/>
            <w:vAlign w:val="top"/>
            <w:shd w:fill="D9EAD3"/>
            <w:tcMar>
              <w:top w:w="60" w:type="dxa"/>
              <w:left w:w="60" w:type="dxa"/>
              <w:bottom w:w="60" w:type="dxa"/>
              <w:right w:w="60" w:type="dxa"/>
            </w:tcMar>
          </w:tcPr>
          <w:p>
            <w:pPr>
              <w:jc w:val="left"/>
            </w:pPr>
            <w:r>
              <w:rPr>
                <w:sz w:val="17"/>
              </w:rPr>
            </w:r>
            <w:r>
              <w:rPr>
                <w:rFonts w:ascii="Aptos" w:hAnsi="Aptos"/>
                <w:b/>
                <w:sz w:val="15"/>
              </w:rPr>
              <w:t>Diagnosi target</w:t>
            </w:r>
          </w:p>
        </w:tc>
        <w:tc>
          <w:tcPr>
            <w:tcW w:type="dxa" w:w="2541"/>
            <w:vAlign w:val="top"/>
            <w:shd w:fill="D9EAD3"/>
            <w:tcMar>
              <w:top w:w="60" w:type="dxa"/>
              <w:left w:w="60" w:type="dxa"/>
              <w:bottom w:w="60" w:type="dxa"/>
              <w:right w:w="60" w:type="dxa"/>
            </w:tcMar>
          </w:tcPr>
          <w:p>
            <w:pPr>
              <w:jc w:val="left"/>
            </w:pPr>
            <w:r>
              <w:rPr>
                <w:sz w:val="17"/>
              </w:rPr>
            </w:r>
            <w:r>
              <w:rPr>
                <w:rFonts w:ascii="Aptos" w:hAnsi="Aptos"/>
                <w:b/>
                <w:sz w:val="15"/>
              </w:rPr>
              <w:t>Qualità/limiti</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5"/>
              </w:rPr>
              <w:t>Neuroimaging/fMRI</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SVM, random forest, gradient boosting, deep learning</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MDD, schizofrenia, disturbo bipolare, psicosi</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Molti studi caso-controllo; accuratezze elevate in cross-validation; generalizzabilità spesso limitata e rischio overfitting.</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5"/>
              </w:rPr>
              <w:t>EEG</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CNN, RNN, SVM, reti ibride</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Depressione, schizofrenia, ADHD</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Letteratura ampia ma eterogenea; preprocessing e dataset variano molto; necessarie validazioni esterne robuste.</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5"/>
              </w:rPr>
              <w:t>Voce/speech</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Feature acustiche, transformer audio, modelli multimodali</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Depressione, ansia, PTSD, stress</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Promettente per screening/triage; ancora debole come diagnosi autonoma; rischio di bias linguistico/culturale.</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5"/>
              </w:rPr>
              <w:t>Testo/NLP</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BERT/transformer, classificatori supervisionati, LLM</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Depressione, ideazione suicidaria, psicosi, PTSD</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Forte potenziale su EHR e social media; problemi di privacy, campionamento, sarcasmo, contesto e rappresentatività.</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5"/>
              </w:rPr>
              <w:t>Digital phenotyping</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Random forest, gradient boosting, modelli sequenziali, multimodali</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Stati depressivi, bipolarità, psicosi, ansia</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Più maturo per monitoraggio e rischio che per diagnosi; il passaggio da proxy comportamentale a diagnosi richiede cautela.</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5"/>
              </w:rPr>
              <w:t>ASD pediatrico</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ML su input caregiver/video/clinico</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Disturbo dello spettro autistico in bambini 18-72 mesi</w:t>
            </w:r>
          </w:p>
        </w:tc>
        <w:tc>
          <w:tcPr>
            <w:tcW w:type="dxa" w:w="2541"/>
            <w:vAlign w:val="top"/>
            <w:tcMar>
              <w:top w:w="60" w:type="dxa"/>
              <w:left w:w="60" w:type="dxa"/>
              <w:bottom w:w="60" w:type="dxa"/>
              <w:right w:w="60" w:type="dxa"/>
            </w:tcMar>
          </w:tcPr>
          <w:p>
            <w:pPr>
              <w:jc w:val="left"/>
            </w:pPr>
            <w:r>
              <w:rPr>
                <w:sz w:val="17"/>
              </w:rPr>
            </w:r>
            <w:r>
              <w:rPr>
                <w:rFonts w:ascii="Aptos" w:hAnsi="Aptos"/>
                <w:b w:val="0"/>
                <w:sz w:val="15"/>
              </w:rPr>
              <w:t>Cognoa/Canvas Dx è il caso regolatorio più forte: FDA De Novo come diagnostic aid, non sostituto della valutazione clinica.</w:t>
            </w:r>
          </w:p>
        </w:tc>
      </w:tr>
    </w:tbl>
    <w:p/>
    <w:p>
      <w:r>
        <w:t>Il caso più interessante dal punto di vista regolatorio è Cognoa/Canvas Dx, un ausilio diagnostico per ASD in età pediatrica. Nello studio FDA De Novo, su 425 bambini che completarono l’assessment, il dispositivo produsse un output positivo o negativo solo nel 32% dei casi e un “No Result” nel 68%. Sui casi con output, le metriche riportate furono PPV 80,77%, NPV 98,25%, sensibilità 98,44% e specificità 78,87%. Questo esempio mostra sia la possibilità di un dispositivo diagnostico regolato in un ambito neuroevolutivo, sia l’importanza di limitarne l’uso: non è un modello generalista di diagnosi psichiatrica, non sostituisce il clinico e richiede interpretazione nel contesto di storia, osservazione e valutazione specialistica.</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0F2"/>
            <w:vAlign w:val="top"/>
          </w:tcPr>
          <w:p>
            <w:r>
              <w:rPr>
                <w:rFonts w:ascii="Aptos" w:hAnsi="Aptos"/>
                <w:b/>
                <w:sz w:val="17"/>
              </w:rPr>
              <w:t>Punto metodologico</w:t>
            </w:r>
          </w:p>
          <w:p>
            <w:r>
              <w:rPr>
                <w:rFonts w:ascii="Aptos" w:hAnsi="Aptos"/>
                <w:sz w:val="17"/>
              </w:rPr>
              <w:t>Le percentuali elevate in psichiatria devono essere lette chiedendo: campione reale o caso-controllo? prevalenza clinica o artificiale? validazione esterna? studio prospettico? outcome clinico o label diagnostica? presenza di comorbidità? bias demografici? impatto sulla decisione?</w:t>
            </w:r>
          </w:p>
        </w:tc>
      </w:tr>
    </w:tbl>
    <w:p/>
    <w:p>
      <w:pPr>
        <w:pStyle w:val="Heading2"/>
      </w:pPr>
      <w:r>
        <w:t>7.3 Esempi diagnostici selezionati e livello di maturità</w:t>
      </w:r>
    </w:p>
    <w:p>
      <w:r>
        <w:t>La tabella seguente traduce la richiesta di identificare modelli diagnostici - non soltanto predittivi - in una mappa utilizzabile per un paper. Non tutti gli esempi hanno lo stesso statuto: solo Canvas Dx ha una traiettoria regolatoria forte; molte altre linee di ricerca sono ancora dimostrative o di validazione tecnica. Per un manoscritto scientifico, la tabella va trasformata in una ricerca bibliografica sistematica con inclusione/esclusione esplicita degli studi.</w:t>
      </w:r>
    </w:p>
    <w:p>
      <w:r>
        <w:rPr>
          <w:rFonts w:ascii="Aptos" w:hAnsi="Aptos"/>
          <w:b/>
          <w:sz w:val="19"/>
        </w:rPr>
        <w:t>Tabella 6. Diagnosi psicologica/psichiatrica con ML: esempi e qualità dell’evidenza</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trPr>
        <w:tc>
          <w:tcPr>
            <w:tcW w:type="dxa" w:w="2541"/>
            <w:vAlign w:val="top"/>
            <w:shd w:fill="D9EAD3"/>
            <w:tcMar>
              <w:top w:w="60" w:type="dxa"/>
              <w:left w:w="60" w:type="dxa"/>
              <w:bottom w:w="60" w:type="dxa"/>
              <w:right w:w="60" w:type="dxa"/>
            </w:tcMar>
          </w:tcPr>
          <w:p>
            <w:pPr>
              <w:jc w:val="left"/>
            </w:pPr>
            <w:r>
              <w:rPr>
                <w:sz w:val="17"/>
              </w:rPr>
            </w:r>
            <w:r>
              <w:rPr>
                <w:rFonts w:ascii="Aptos" w:hAnsi="Aptos"/>
                <w:b/>
                <w:sz w:val="13"/>
              </w:rPr>
              <w:t>Patologia/compito</w:t>
            </w:r>
          </w:p>
        </w:tc>
        <w:tc>
          <w:tcPr>
            <w:tcW w:type="dxa" w:w="2541"/>
            <w:vAlign w:val="top"/>
            <w:shd w:fill="D9EAD3"/>
            <w:tcMar>
              <w:top w:w="60" w:type="dxa"/>
              <w:left w:w="60" w:type="dxa"/>
              <w:bottom w:w="60" w:type="dxa"/>
              <w:right w:w="60" w:type="dxa"/>
            </w:tcMar>
          </w:tcPr>
          <w:p>
            <w:pPr>
              <w:jc w:val="left"/>
            </w:pPr>
            <w:r>
              <w:rPr>
                <w:sz w:val="17"/>
              </w:rPr>
            </w:r>
            <w:r>
              <w:rPr>
                <w:rFonts w:ascii="Aptos" w:hAnsi="Aptos"/>
                <w:b/>
                <w:sz w:val="13"/>
              </w:rPr>
              <w:t>Dati e modello</w:t>
            </w:r>
          </w:p>
        </w:tc>
        <w:tc>
          <w:tcPr>
            <w:tcW w:type="dxa" w:w="2541"/>
            <w:vAlign w:val="top"/>
            <w:shd w:fill="D9EAD3"/>
            <w:tcMar>
              <w:top w:w="60" w:type="dxa"/>
              <w:left w:w="60" w:type="dxa"/>
              <w:bottom w:w="60" w:type="dxa"/>
              <w:right w:w="60" w:type="dxa"/>
            </w:tcMar>
          </w:tcPr>
          <w:p>
            <w:pPr>
              <w:jc w:val="left"/>
            </w:pPr>
            <w:r>
              <w:rPr>
                <w:sz w:val="17"/>
              </w:rPr>
            </w:r>
            <w:r>
              <w:rPr>
                <w:rFonts w:ascii="Aptos" w:hAnsi="Aptos"/>
                <w:b/>
                <w:sz w:val="13"/>
              </w:rPr>
              <w:t>Validazione/metriche</w:t>
            </w:r>
          </w:p>
        </w:tc>
        <w:tc>
          <w:tcPr>
            <w:tcW w:type="dxa" w:w="2541"/>
            <w:vAlign w:val="top"/>
            <w:shd w:fill="D9EAD3"/>
            <w:tcMar>
              <w:top w:w="60" w:type="dxa"/>
              <w:left w:w="60" w:type="dxa"/>
              <w:bottom w:w="60" w:type="dxa"/>
              <w:right w:w="60" w:type="dxa"/>
            </w:tcMar>
          </w:tcPr>
          <w:p>
            <w:pPr>
              <w:jc w:val="left"/>
            </w:pPr>
            <w:r>
              <w:rPr>
                <w:sz w:val="17"/>
              </w:rPr>
            </w:r>
            <w:r>
              <w:rPr>
                <w:rFonts w:ascii="Aptos" w:hAnsi="Aptos"/>
                <w:b/>
                <w:sz w:val="13"/>
              </w:rPr>
              <w:t>Giudizio di maturità</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3"/>
              </w:rPr>
              <w:t>ASD pediatrico</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Canvas Dx / Cognoa; ML su questionari caregiver, video e input clinico</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FDA De Novo; 425 completer; output positivo/negativo nel 32% dei casi; PPV 80,77%, NPV 98,25%, sensibilità 98,44%, specificità 78,87%</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Alta per uso previsto ristretto; non è diagnosi autonoma né generalizzabile alla psichiatria adulta.</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3"/>
              </w:rPr>
              <w:t>Depressione maggiore</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rs-fMRI/fMRI, connettività funzionale, EEG; SVM, random forest, gradient boosting, CNN</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Molti studi caso-controllo riportano accuratezze/AUC elevate; validazioni esterne meno frequenti e spesso dataset piccoli o monocentrici</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Bassa-moderata; utile per ricerca, non per diagnosi clinica routinaria.</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3"/>
              </w:rPr>
              <w:t>Schizofrenia/psicosi</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EEG, neuroimaging, linguaggio; SVM, CNN, modelli sequenziali, transformer</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Classificazione pazienti vs controlli spesso buona in benchmark; confondenti farmacologici, durata di malattia e setting limitano l’uso diagnostico</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Bassa-moderata; più promettente per fenotipizzazione e supporto che per diagnosi autonoma.</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3"/>
              </w:rPr>
              <w:t>Bipolare vs depressione unipolare</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Feature cliniche/EHR, linguaggio, neuroimaging; gradient boosting, random forest, modelli multimodali</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Compito clinicamente rilevante ma difficile; studi spesso retrospettivi e dipendenti da label storiche</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Moderata come decision support se validata localmente; non sostituisce follow-up longitudinale.</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3"/>
              </w:rPr>
              <w:t>Depressione/ansia da voce</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Feature acustiche, voice biomarkers, transformer audio</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Soluzioni commerciali e studi pilota promettenti; regolatorio spesso assente o investigazionale</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Emergente; utile per screening/triage, fragile come diagnosi.</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3"/>
              </w:rPr>
              <w:t>Depressione/suicidarietà da social media</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NLP, BERT/transformer, classificatori supervisionati</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Benchmark con buone metriche; campionamento non probabilistico, autodiagnosi, lingua inglese, sarcasmo/negazione e privacy</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Bassa per diagnosi clinica; utile per ricerca di popolazione e sorveglianza eticamente controllata.</w:t>
            </w:r>
          </w:p>
        </w:tc>
      </w:tr>
      <w:tr>
        <w:trPr>
          <w:cantSplit/>
        </w:trPr>
        <w:tc>
          <w:tcPr>
            <w:tcW w:type="dxa" w:w="2541"/>
            <w:vAlign w:val="top"/>
            <w:tcMar>
              <w:top w:w="60" w:type="dxa"/>
              <w:left w:w="60" w:type="dxa"/>
              <w:bottom w:w="60" w:type="dxa"/>
              <w:right w:w="60" w:type="dxa"/>
            </w:tcMar>
          </w:tcPr>
          <w:p>
            <w:pPr>
              <w:jc w:val="left"/>
            </w:pPr>
            <w:r>
              <w:rPr>
                <w:b/>
                <w:sz w:val="17"/>
              </w:rPr>
            </w:r>
            <w:r>
              <w:rPr>
                <w:rFonts w:ascii="Aptos" w:hAnsi="Aptos"/>
                <w:b w:val="0"/>
                <w:sz w:val="13"/>
              </w:rPr>
              <w:t>PTSD/ADHD</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Questionari, voce, EHR, neuroimaging/EEG; SVM, random forest, deep learning</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Letteratura eterogenea; spesso classificazione caso-controllo con validazione interna</w:t>
            </w:r>
          </w:p>
        </w:tc>
        <w:tc>
          <w:tcPr>
            <w:tcW w:type="dxa" w:w="2541"/>
            <w:vAlign w:val="top"/>
            <w:tcMar>
              <w:top w:w="60" w:type="dxa"/>
              <w:left w:w="60" w:type="dxa"/>
              <w:bottom w:w="60" w:type="dxa"/>
              <w:right w:w="60" w:type="dxa"/>
            </w:tcMar>
          </w:tcPr>
          <w:p>
            <w:pPr>
              <w:jc w:val="left"/>
            </w:pPr>
            <w:r>
              <w:rPr>
                <w:sz w:val="17"/>
              </w:rPr>
            </w:r>
            <w:r>
              <w:rPr>
                <w:rFonts w:ascii="Aptos" w:hAnsi="Aptos"/>
                <w:b w:val="0"/>
                <w:sz w:val="13"/>
              </w:rPr>
              <w:t>Bassa-moderata; servono studi prospettici, multicentrici e confronti con decisioni cliniche real-world.</w:t>
            </w:r>
          </w:p>
        </w:tc>
      </w:tr>
    </w:tbl>
    <w:p/>
    <w:p>
      <w:pPr>
        <w:pStyle w:val="Heading1"/>
      </w:pPr>
      <w:r>
        <w:t>8. NLP: il linguaggio è dato clinico, ma non solo dato</w:t>
      </w:r>
    </w:p>
    <w:p>
      <w:r>
        <w:t>Il linguaggio è uno dei materiali fondamentali della psicopatologia. L’NLP può analizzare contenuti, coerenza narrativa, sentiment, povertà lessicale, accelerazione ideativa, ripetitività, ruminazione, marcatori di disorganizzazione e contenuti di rischio. Può supportare la trascrizione, la sintesi di colloqui, l’estrazione di informazioni da cartelle cliniche e la generazione di promemoria o follow-up.</w:t>
      </w:r>
    </w:p>
    <w:p>
      <w:r>
        <w:t>Il rischio è la decontestualizzazione. Una frase come “non ce la faccio più” può indicare crisi suicidaria, depressione, richiesta di aiuto, protesta relazionale, espressione idiomatica, stanchezza temporanea o difesa. Il modello può assegnare probabilità a pattern linguistici; il clinico deve comprendere il senso della frase per quella persona, in quel momento e in quella relazione.</w:t>
      </w:r>
    </w:p>
    <w:p>
      <w:r>
        <w:t>La letteratura su social media e salute mentale mostra potenzialità ma anche importanti limiti: campionamento non probabilistico, prevalenza di dati in lingua inglese, scarsa gestione di negazione, ironia e contesto, bias di piattaforma, etichette auto-dichiarate o inferite e problemi etici di consenso. Per il paper, questa area è utile per sostenere che l’NLP può essere potente per screening e ricerca, ma non va presentato come diagnosi clinica autonoma.</w:t>
      </w:r>
    </w:p>
    <w:p>
      <w:pPr>
        <w:pStyle w:val="Heading1"/>
      </w:pPr>
      <w:r>
        <w:t>9. Digital phenotyping: la psicopatologia fuori dallo studio</w:t>
      </w:r>
    </w:p>
    <w:p>
      <w:r>
        <w:t>Il digital phenotyping consiste nella raccolta e analisi di dati comportamentali e fisiologici attraverso smartphone, wearable e sensori digitali. Sonno, mobilità, attività fisica, ritmo circadiano, geolocalizzazione, frequenza d’uso dello smartphone, pattern di comunicazione e interazioni sociali possono diventare segnali longitudinali. L’idea clinica è passare da fotografie episodiche del funzionamento a traiettorie ecologiche nel tempo.</w:t>
      </w:r>
    </w:p>
    <w:p>
      <w:r>
        <w:t>Il potenziale è evidente per monitoraggio di depressione, disturbo bipolare, psicosi, ansia, dipendenze e rischio di drop-out. Il digital phenotyping può intercettare cambiamenti prima che diventino crisi: inversione sonno-veglia, riduzione della mobilità, isolamento, frammentazione dei ritmi, calo dell’attività o aumento di comportamenti ripetitivi. Tuttavia, il salto da correlato comportamentale a significato clinico è delicato: stare in casa può indicare depressione, scelta lavorativa, malattia fisica, lutto, povertà, sicurezza o cultura.</w:t>
      </w:r>
    </w:p>
    <w:p>
      <w:r>
        <w:rPr>
          <w:rFonts w:ascii="Aptos" w:hAnsi="Aptos"/>
          <w:b/>
          <w:sz w:val="19"/>
        </w:rPr>
        <w:t>Tabella 6. Digital phenotyping: potenziale e ambivalenza</w:t>
      </w:r>
    </w:p>
    <w:tbl>
      <w:tblPr>
        <w:tblStyle w:val="TableGrid"/>
        <w:tblW w:type="auto" w:w="0"/>
        <w:jc w:val="center"/>
        <w:tblLook w:firstColumn="1" w:firstRow="1" w:lastColumn="0" w:lastRow="0" w:noHBand="0" w:noVBand="1" w:val="04A0"/>
      </w:tblPr>
      <w:tblGrid>
        <w:gridCol w:w="5083"/>
        <w:gridCol w:w="5083"/>
      </w:tblGrid>
      <w:tr>
        <w:trPr>
          <w:cantSplit/>
          <w:tblHeader/>
        </w:trPr>
        <w:tc>
          <w:tcPr>
            <w:tcW w:type="dxa" w:w="5083"/>
            <w:vAlign w:val="top"/>
            <w:shd w:fill="D9EAD3"/>
            <w:tcMar>
              <w:top w:w="60" w:type="dxa"/>
              <w:left w:w="60" w:type="dxa"/>
              <w:bottom w:w="60" w:type="dxa"/>
              <w:right w:w="60" w:type="dxa"/>
            </w:tcMar>
          </w:tcPr>
          <w:p>
            <w:pPr>
              <w:jc w:val="left"/>
            </w:pPr>
            <w:r>
              <w:rPr>
                <w:sz w:val="17"/>
              </w:rPr>
            </w:r>
            <w:r>
              <w:rPr>
                <w:rFonts w:ascii="Aptos" w:hAnsi="Aptos"/>
                <w:b/>
                <w:sz w:val="17"/>
              </w:rPr>
              <w:t>Aspetto</w:t>
            </w:r>
          </w:p>
        </w:tc>
        <w:tc>
          <w:tcPr>
            <w:tcW w:type="dxa" w:w="5083"/>
            <w:vAlign w:val="top"/>
            <w:shd w:fill="D9EAD3"/>
            <w:tcMar>
              <w:top w:w="60" w:type="dxa"/>
              <w:left w:w="60" w:type="dxa"/>
              <w:bottom w:w="60" w:type="dxa"/>
              <w:right w:w="60" w:type="dxa"/>
            </w:tcMar>
          </w:tcPr>
          <w:p>
            <w:pPr>
              <w:jc w:val="left"/>
            </w:pPr>
            <w:r>
              <w:rPr>
                <w:sz w:val="17"/>
              </w:rPr>
            </w:r>
            <w:r>
              <w:rPr>
                <w:rFonts w:ascii="Aptos" w:hAnsi="Aptos"/>
                <w:b/>
                <w:sz w:val="17"/>
              </w:rPr>
              <w:t>Sintesi</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Promessa</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Intercettare segnali precoci, ridurre ritardi, aumentare continuità tra visite, personalizzare follow-up.</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Rischio</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Sorveglianza, privacy, falsi allarmi, ansia da monitoraggio, etichettamento, dati rumorosi e bias tecnologico.</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Condizione etica</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Consenso informato, minimizzazione dei dati, trasparenza, diritto alla disconnessione, procedure di escalation e supervisione umana.</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Formula clinica</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Il dato digitale diventa clinico solo dentro un patto di cura.</w:t>
            </w:r>
          </w:p>
        </w:tc>
      </w:tr>
    </w:tbl>
    <w:p/>
    <w:p>
      <w:pPr>
        <w:pStyle w:val="Heading1"/>
      </w:pPr>
      <w:r>
        <w:t>10. IA generativa e LLM: dalla classificazione alla conversazione</w:t>
      </w:r>
    </w:p>
    <w:p>
      <w:r>
        <w:t>Con gli LLM il problema cambia qualitativamente. L’IA non si limita più a classificare o predire: risponde. Produce linguaggio, simula comprensione, riformula, rassicura, consiglia e talvolta assume una posizione conversazionale che il paziente può percepire come clinica. Il salto clinico non è solo la capacità di generare testo plausibile; è il fatto che il modello entra nella forma del dialogo.</w:t>
      </w:r>
    </w:p>
    <w:p>
      <w:r>
        <w:t>Le review recenti sugli LLM in salute mentale mostrano un interesse crescente per psicoeducazione, supporto tra sedute, simulazione, triage, risposta empatica, formazione e gestione documentale. Tuttavia, l’evidenza clinica è ancora eterogenea e spesso basata su studi osservazionali, benchmark, valutazioni di esperti, preprint o coorti naturali. La capacità di produrre risposte percepite come empatiche non equivale a competenza psicoterapeutica.</w:t>
      </w:r>
    </w:p>
    <w:p>
      <w:r>
        <w:t>L’empatia terapeutica non è solo tono caldo o validazione. Richiede setting, responsabilità, confini, gestione del rischio, lavoro sull’ambivalenza, capacità di frustrazione, interpretazione del contesto e continuità. A volte ciò che il paziente vive come massimamente empatico può diventare clinicamente rischioso: una validazione senza limite può rinforzare ruminazione, dipendenza, evitamento o delirio.</w:t>
      </w:r>
    </w:p>
    <w:p>
      <w:r>
        <w:rPr>
          <w:rFonts w:ascii="Aptos" w:hAnsi="Aptos"/>
          <w:b/>
          <w:sz w:val="19"/>
        </w:rPr>
        <w:t>Tabella 7. LLM in salute mentale: tre livelli d’uso</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3389"/>
            <w:vAlign w:val="top"/>
            <w:shd w:fill="D9EAD3"/>
            <w:tcMar>
              <w:top w:w="60" w:type="dxa"/>
              <w:left w:w="60" w:type="dxa"/>
              <w:bottom w:w="60" w:type="dxa"/>
              <w:right w:w="60" w:type="dxa"/>
            </w:tcMar>
          </w:tcPr>
          <w:p>
            <w:pPr>
              <w:jc w:val="left"/>
            </w:pPr>
            <w:r>
              <w:rPr>
                <w:sz w:val="17"/>
              </w:rPr>
            </w:r>
            <w:r>
              <w:rPr>
                <w:rFonts w:ascii="Aptos" w:hAnsi="Aptos"/>
                <w:b/>
                <w:sz w:val="16"/>
              </w:rPr>
              <w:t>Uso LLM</w:t>
            </w:r>
          </w:p>
        </w:tc>
        <w:tc>
          <w:tcPr>
            <w:tcW w:type="dxa" w:w="3389"/>
            <w:vAlign w:val="top"/>
            <w:shd w:fill="D9EAD3"/>
            <w:tcMar>
              <w:top w:w="60" w:type="dxa"/>
              <w:left w:w="60" w:type="dxa"/>
              <w:bottom w:w="60" w:type="dxa"/>
              <w:right w:w="60" w:type="dxa"/>
            </w:tcMar>
          </w:tcPr>
          <w:p>
            <w:pPr>
              <w:jc w:val="left"/>
            </w:pPr>
            <w:r>
              <w:rPr>
                <w:sz w:val="17"/>
              </w:rPr>
            </w:r>
            <w:r>
              <w:rPr>
                <w:rFonts w:ascii="Aptos" w:hAnsi="Aptos"/>
                <w:b/>
                <w:sz w:val="16"/>
              </w:rPr>
              <w:t>Esempi</w:t>
            </w:r>
          </w:p>
        </w:tc>
        <w:tc>
          <w:tcPr>
            <w:tcW w:type="dxa" w:w="3389"/>
            <w:vAlign w:val="top"/>
            <w:shd w:fill="D9EAD3"/>
            <w:tcMar>
              <w:top w:w="60" w:type="dxa"/>
              <w:left w:w="60" w:type="dxa"/>
              <w:bottom w:w="60" w:type="dxa"/>
              <w:right w:w="60" w:type="dxa"/>
            </w:tcMar>
          </w:tcPr>
          <w:p>
            <w:pPr>
              <w:jc w:val="left"/>
            </w:pPr>
            <w:r>
              <w:rPr>
                <w:sz w:val="17"/>
              </w:rPr>
            </w:r>
            <w:r>
              <w:rPr>
                <w:rFonts w:ascii="Aptos" w:hAnsi="Aptos"/>
                <w:b/>
                <w:sz w:val="16"/>
              </w:rPr>
              <w:t>Rischio/qualità</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Clinician-facing</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Sintesi di colloqui, note, lettere, piani di cura, ricerca in cartella, training, supervisione simulata.</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Più maturo se revisionato e integrato in workflow; rischio di errori documentali, omissioni e privacy.</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Patient-facing supervisionato</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Psicoeducazione, esercizi CBT/DBT, reminder, supporto tra sedute, triage con escalation.</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Possibile utilità come adjunct; richiede limiti chiari, contenuti validati e gestione crisi.</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Patient-facing autonomo</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Chatbot “terapeuta”, companion, self-service therapy, supporto in crisi.</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Rischio alto: allucinazioni, falsa empatia, dipendenza, consigli impropri, mancato riconoscimento di suicidarietà/psicosi.</w:t>
            </w:r>
          </w:p>
        </w:tc>
      </w:tr>
    </w:tbl>
    <w:p/>
    <w:p>
      <w:pPr>
        <w:pStyle w:val="Heading1"/>
      </w:pPr>
      <w:r>
        <w:t>11. Il chatbot come oggetto relazionale</w:t>
      </w:r>
    </w:p>
    <w:p>
      <w:r>
        <w:t>Per i nativi digitali l’IA conversazionale può diventare un nuovo oggetto relazionale. Non è solo una fonte di informazioni: può diventare confidente, specchio narcisistico, validatore continuo, oggetto transizionale digitale, testimone immaginario, rinforzo dell’evitamento sociale o interlocutore che il paziente interpreta come “più comprensivo” degli altri. Il suo stile disponibile, non giudicante e sempre accessibile è parte della sua attrattiva e anche del suo rischio.</w:t>
      </w:r>
    </w:p>
    <w:p>
      <w:r>
        <w:t>La clinica dovrebbe quindi aggiornare l’anamnesi digitale. Oltre a chiedere quali social, videogiochi o comunità online frequenta il paziente, diventa utile chiedere con quali sistemi di IA parla, in quali momenti, con quale frequenza, per quali contenuti e con quali effetti sul comportamento.</w:t>
      </w:r>
    </w:p>
    <w:p>
      <w:r>
        <w:rPr>
          <w:rFonts w:ascii="Aptos" w:hAnsi="Aptos"/>
          <w:b/>
          <w:sz w:val="19"/>
        </w:rPr>
        <w:t>Tabella 8. Anamnesi digitale ampliata</w:t>
      </w:r>
    </w:p>
    <w:tbl>
      <w:tblPr>
        <w:tblStyle w:val="TableGrid"/>
        <w:tblW w:type="auto" w:w="0"/>
        <w:jc w:val="center"/>
        <w:tblLook w:firstColumn="1" w:firstRow="1" w:lastColumn="0" w:lastRow="0" w:noHBand="0" w:noVBand="1" w:val="04A0"/>
      </w:tblPr>
      <w:tblGrid>
        <w:gridCol w:w="5083"/>
        <w:gridCol w:w="5083"/>
      </w:tblGrid>
      <w:tr>
        <w:trPr>
          <w:cantSplit/>
          <w:tblHeader/>
        </w:trPr>
        <w:tc>
          <w:tcPr>
            <w:tcW w:type="dxa" w:w="5083"/>
            <w:vAlign w:val="top"/>
            <w:shd w:fill="D9EAD3"/>
            <w:tcMar>
              <w:top w:w="60" w:type="dxa"/>
              <w:left w:w="60" w:type="dxa"/>
              <w:bottom w:w="60" w:type="dxa"/>
              <w:right w:w="60" w:type="dxa"/>
            </w:tcMar>
          </w:tcPr>
          <w:p>
            <w:pPr>
              <w:jc w:val="left"/>
            </w:pPr>
            <w:r>
              <w:rPr>
                <w:sz w:val="17"/>
              </w:rPr>
            </w:r>
            <w:r>
              <w:rPr>
                <w:rFonts w:ascii="Aptos" w:hAnsi="Aptos"/>
                <w:b/>
                <w:sz w:val="17"/>
              </w:rPr>
              <w:t>#</w:t>
            </w:r>
          </w:p>
        </w:tc>
        <w:tc>
          <w:tcPr>
            <w:tcW w:type="dxa" w:w="5083"/>
            <w:vAlign w:val="top"/>
            <w:shd w:fill="D9EAD3"/>
            <w:tcMar>
              <w:top w:w="60" w:type="dxa"/>
              <w:left w:w="60" w:type="dxa"/>
              <w:bottom w:w="60" w:type="dxa"/>
              <w:right w:w="60" w:type="dxa"/>
            </w:tcMar>
          </w:tcPr>
          <w:p>
            <w:pPr>
              <w:jc w:val="left"/>
            </w:pPr>
            <w:r>
              <w:rPr>
                <w:sz w:val="17"/>
              </w:rPr>
            </w:r>
            <w:r>
              <w:rPr>
                <w:rFonts w:ascii="Aptos" w:hAnsi="Aptos"/>
                <w:b/>
                <w:sz w:val="17"/>
              </w:rPr>
              <w:t>Domanda clinica</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1</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Usi chatbot o strumenti di IA quando stai male?</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2</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Hai chiesto consigli su diagnosi, farmaci o terapia?</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3</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Ti sei sentito aiutato, confuso o più dipendente?</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4</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Hai cambiato comportamento o terapia dopo una risposta dell’IA?</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5</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Ti capita di preferire l’IA alle persone reali?</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6</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Che ruolo ha per te quell’IA: confidente, consulente, diario, terapeuta, amico, autorità?</w:t>
            </w:r>
          </w:p>
        </w:tc>
      </w:tr>
    </w:tbl>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0F2"/>
            <w:vAlign w:val="top"/>
          </w:tcPr>
          <w:p>
            <w:r>
              <w:rPr>
                <w:rFonts w:ascii="Aptos" w:hAnsi="Aptos"/>
                <w:b/>
                <w:sz w:val="17"/>
              </w:rPr>
              <w:t>Ipotesi clinica</w:t>
            </w:r>
          </w:p>
          <w:p>
            <w:r>
              <w:rPr>
                <w:rFonts w:ascii="Aptos" w:hAnsi="Aptos"/>
                <w:sz w:val="17"/>
              </w:rPr>
              <w:t>Il chatbot va considerato come un potenziale “terzo” nella stanza. Può facilitare la domanda d’aiuto, ma può anche strutturare aspettative, autodiagnosi, dipendenza relazionale e interpretazioni del disagio prima dell’incontro con il clinico.</w:t>
            </w:r>
          </w:p>
        </w:tc>
      </w:tr>
    </w:tbl>
    <w:p/>
    <w:p>
      <w:pPr>
        <w:pStyle w:val="Heading1"/>
      </w:pPr>
      <w:r>
        <w:t>12. Pazienti sintetici, formazione e DIPPS/LLMPatients</w:t>
      </w:r>
    </w:p>
    <w:p>
      <w:r>
        <w:t>Un uso potenzialmente più controllabile degli LLM riguarda la formazione e la simulazione clinica. Pazienti sintetici basati su profili strutturati possono essere usati per esercitare anamnesi, colloquio, diagnosi differenziale, gestione di errori comunicativi, riparazioni relazionali e riconoscimento del rischio. In questo quadro, DIPPS e LLMPatients sono esempi concettuali di ambiente sperimentale: non curano pazienti reali, ma rendono osservabile la qualità dell’interazione tra clinico in formazione e paziente simulato.</w:t>
      </w:r>
    </w:p>
    <w:p>
      <w:r>
        <w:t>Nel materiale preparatorio, “Giovanna” è presentata come paziente sintetica adattata da un caso clinico didattico del DSM-5 Clinical Cases. Il profilo include storia, diagnosi, funzionamento, tratti emotivi, obiettivi, farmaci e memoria conversazionale. La simulazione consente di mostrare che un modello linguistico può produrre risposte plausibili, ma anche errori clinicamente significativi: invalidazione, rigidità, mancata riparazione, passaggi troppo rapidi, risposte eccessivamente direttive o mancato riconoscimento del rischio.</w:t>
      </w:r>
    </w:p>
    <w:p>
      <w:r>
        <w:t>Il punto epistemico è cruciale: un paziente sintetico è controllabile, ripetibile e analizzabile; un paziente reale è incarnato, imprevedibile, vulnerabile e portatore di responsabilità etica. La simulazione può servire la formazione proprio perché rende visibile il confine tra capacità conversazionale e responsabilità della cura.</w:t>
      </w:r>
    </w:p>
    <w:p>
      <w:r>
        <w:rPr>
          <w:rFonts w:ascii="Aptos" w:hAnsi="Aptos"/>
          <w:b/>
          <w:sz w:val="19"/>
        </w:rPr>
        <w:t>Tabella 9. Pazienti sintetici come strumento formativo</w:t>
      </w:r>
    </w:p>
    <w:tbl>
      <w:tblPr>
        <w:tblStyle w:val="TableGrid"/>
        <w:tblW w:type="auto" w:w="0"/>
        <w:jc w:val="center"/>
        <w:tblLook w:firstColumn="1" w:firstRow="1" w:lastColumn="0" w:lastRow="0" w:noHBand="0" w:noVBand="1" w:val="04A0"/>
      </w:tblPr>
      <w:tblGrid>
        <w:gridCol w:w="5083"/>
        <w:gridCol w:w="5083"/>
      </w:tblGrid>
      <w:tr>
        <w:trPr>
          <w:cantSplit/>
          <w:tblHeader/>
        </w:trPr>
        <w:tc>
          <w:tcPr>
            <w:tcW w:type="dxa" w:w="5083"/>
            <w:vAlign w:val="top"/>
            <w:shd w:fill="D9EAD3"/>
            <w:tcMar>
              <w:top w:w="60" w:type="dxa"/>
              <w:left w:w="60" w:type="dxa"/>
              <w:bottom w:w="60" w:type="dxa"/>
              <w:right w:w="60" w:type="dxa"/>
            </w:tcMar>
          </w:tcPr>
          <w:p>
            <w:pPr>
              <w:jc w:val="left"/>
            </w:pPr>
            <w:r>
              <w:rPr>
                <w:sz w:val="17"/>
              </w:rPr>
            </w:r>
            <w:r>
              <w:rPr>
                <w:rFonts w:ascii="Aptos" w:hAnsi="Aptos"/>
                <w:b/>
                <w:sz w:val="17"/>
              </w:rPr>
              <w:t>Uso</w:t>
            </w:r>
          </w:p>
        </w:tc>
        <w:tc>
          <w:tcPr>
            <w:tcW w:type="dxa" w:w="5083"/>
            <w:vAlign w:val="top"/>
            <w:shd w:fill="D9EAD3"/>
            <w:tcMar>
              <w:top w:w="60" w:type="dxa"/>
              <w:left w:w="60" w:type="dxa"/>
              <w:bottom w:w="60" w:type="dxa"/>
              <w:right w:w="60" w:type="dxa"/>
            </w:tcMar>
          </w:tcPr>
          <w:p>
            <w:pPr>
              <w:jc w:val="left"/>
            </w:pPr>
            <w:r>
              <w:rPr>
                <w:sz w:val="17"/>
              </w:rPr>
            </w:r>
            <w:r>
              <w:rPr>
                <w:rFonts w:ascii="Aptos" w:hAnsi="Aptos"/>
                <w:b/>
                <w:sz w:val="17"/>
              </w:rPr>
              <w:t>Descrizione</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Formazione</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Simulare colloqui, anamnesi, diagnosi differenziale, rischio suicidario, riparazioni relazionali.</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Valutazione</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Raccogliere log, checklist, errori, deviazioni dal setting, qualità delle risposte.</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Ricerca</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Confrontare stili comunicativi, prompt, modelli, criteri di sicurezza e procedure di escalation.</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7"/>
              </w:rPr>
              <w:t>Limite</w:t>
            </w:r>
          </w:p>
        </w:tc>
        <w:tc>
          <w:tcPr>
            <w:tcW w:type="dxa" w:w="5083"/>
            <w:vAlign w:val="top"/>
            <w:tcMar>
              <w:top w:w="60" w:type="dxa"/>
              <w:left w:w="60" w:type="dxa"/>
              <w:bottom w:w="60" w:type="dxa"/>
              <w:right w:w="60" w:type="dxa"/>
            </w:tcMar>
          </w:tcPr>
          <w:p>
            <w:pPr>
              <w:jc w:val="left"/>
            </w:pPr>
            <w:r>
              <w:rPr>
                <w:sz w:val="17"/>
              </w:rPr>
            </w:r>
            <w:r>
              <w:rPr>
                <w:rFonts w:ascii="Aptos" w:hAnsi="Aptos"/>
                <w:b w:val="0"/>
                <w:sz w:val="17"/>
              </w:rPr>
              <w:t>Non è terapia, non è diagnosi automatica, non sostituisce il paziente reale né la supervisione clinica.</w:t>
            </w:r>
          </w:p>
        </w:tc>
      </w:tr>
    </w:tbl>
    <w:p/>
    <w:p>
      <w:pPr>
        <w:pStyle w:val="Heading1"/>
      </w:pPr>
      <w:r>
        <w:t>13. Soluzioni commerciali AI in salute mentale nel 2026</w:t>
      </w:r>
    </w:p>
    <w:p>
      <w:pPr/>
      <w:r>
        <w:t>Il mercato dell’IA in salute mentale esiste già, ma è molto più eterogeneo e meno stabilizzato rispetto al mercato dei dispositivi AI-enabled in altri settori della medicina. Include dispositivi regolati, sistemi di intake e triage, chatbot di auto-aiuto, strumenti di documentazione clinica, piattaforme di quality improvement, care manager vocali, biomarcatori digitali e companion consumer. La distinzione più importante non è commerciale, ma clinica: a chi parla il sistema, quale decisione influenza, quale rischio produce se sbaglia e quanto è verificabile l’output.</w:t>
      </w:r>
    </w:p>
    <w:p>
      <w:pPr/>
      <w:r>
        <w:t>Una formulazione utile per il paper è: il mercato dell’IA in salute mentale è già reale, ma la sua maturità regolatoria ed evidenziale è irregolare. Alcune soluzioni sono clinician-facing e riducono il carico documentale o migliorano la qualità del processo; altre sono patient-facing e possono influenzare direttamente significati, autodiagnosi, alleanza terapeutica, dipendenza relazionale e comportamento in crisi. Questo rende insufficiente una valutazione puramente tecnica basata su accuratezza o engagement.</w:t>
      </w:r>
    </w:p>
    <w:p>
      <w:pPr/>
      <w:r>
        <w:t>La FDA ha esplicitato questa asimmetria nei materiali del Digital Health Advisory Committee del 2025: il panorama dei dispositivi medici AI-enabled autorizzati è ampio, ma nessuno degli oltre 1200 dispositivi AI-enabled autorizzati era per usi di salute mentale; la FDA segnalava inoltre che chatbot, virtual companions, healthcare automation, predictive modeling e strumenti generativi sollevano interrogativi specifici su sicurezza, diagnosi, contenuto terapeutico e possibile sostituzione del provider (FDA DHAC, 2025).</w:t>
      </w:r>
    </w:p>
    <w:p>
      <w:pPr>
        <w:pStyle w:val="Heading2"/>
      </w:pPr>
      <w:r>
        <w:t>13.1 Un mercato a tre velocità</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trPr>
        <w:tc>
          <w:tcPr>
            <w:tcW w:type="dxa" w:w="2541"/>
            <w:vAlign w:val="top"/>
            <w:shd w:fill="D9EAF7"/>
          </w:tcPr>
          <w:p>
            <w:r>
              <w:rPr>
                <w:sz w:val="16"/>
              </w:rPr>
            </w:r>
            <w:r>
              <w:rPr>
                <w:b/>
                <w:sz w:val="16"/>
              </w:rPr>
              <w:t>Livello di maturità</w:t>
            </w:r>
          </w:p>
        </w:tc>
        <w:tc>
          <w:tcPr>
            <w:tcW w:type="dxa" w:w="2541"/>
            <w:vAlign w:val="top"/>
            <w:shd w:fill="D9EAF7"/>
          </w:tcPr>
          <w:p>
            <w:r>
              <w:rPr>
                <w:sz w:val="16"/>
              </w:rPr>
            </w:r>
            <w:r>
              <w:rPr>
                <w:b/>
                <w:sz w:val="16"/>
              </w:rPr>
              <w:t>Esempi</w:t>
            </w:r>
          </w:p>
        </w:tc>
        <w:tc>
          <w:tcPr>
            <w:tcW w:type="dxa" w:w="2541"/>
            <w:vAlign w:val="top"/>
            <w:shd w:fill="D9EAF7"/>
          </w:tcPr>
          <w:p>
            <w:r>
              <w:rPr>
                <w:sz w:val="16"/>
              </w:rPr>
            </w:r>
            <w:r>
              <w:rPr>
                <w:b/>
                <w:sz w:val="16"/>
              </w:rPr>
              <w:t>Funzione prevalente</w:t>
            </w:r>
          </w:p>
        </w:tc>
        <w:tc>
          <w:tcPr>
            <w:tcW w:type="dxa" w:w="2541"/>
            <w:vAlign w:val="top"/>
            <w:shd w:fill="D9EAF7"/>
          </w:tcPr>
          <w:p>
            <w:r>
              <w:rPr>
                <w:sz w:val="16"/>
              </w:rPr>
            </w:r>
            <w:r>
              <w:rPr>
                <w:b/>
                <w:sz w:val="16"/>
              </w:rPr>
              <w:t>Messaggio per il paper</w:t>
            </w:r>
          </w:p>
        </w:tc>
      </w:tr>
      <w:tr>
        <w:trPr>
          <w:cantSplit/>
        </w:trPr>
        <w:tc>
          <w:tcPr>
            <w:tcW w:type="dxa" w:w="2541"/>
            <w:vAlign w:val="top"/>
          </w:tcPr>
          <w:p>
            <w:r>
              <w:rPr>
                <w:sz w:val="16"/>
              </w:rPr>
            </w:r>
            <w:r>
              <w:rPr>
                <w:b w:val="0"/>
                <w:sz w:val="16"/>
              </w:rPr>
              <w:t>Regolato o quasi medical device</w:t>
            </w:r>
          </w:p>
        </w:tc>
        <w:tc>
          <w:tcPr>
            <w:tcW w:type="dxa" w:w="2541"/>
            <w:vAlign w:val="top"/>
          </w:tcPr>
          <w:p>
            <w:r>
              <w:rPr>
                <w:sz w:val="16"/>
              </w:rPr>
            </w:r>
            <w:r>
              <w:rPr>
                <w:b w:val="0"/>
                <w:sz w:val="16"/>
              </w:rPr>
              <w:t>Cognoa / Canvas Dx; Limbic Access</w:t>
            </w:r>
          </w:p>
        </w:tc>
        <w:tc>
          <w:tcPr>
            <w:tcW w:type="dxa" w:w="2541"/>
            <w:vAlign w:val="top"/>
          </w:tcPr>
          <w:p>
            <w:r>
              <w:rPr>
                <w:sz w:val="16"/>
              </w:rPr>
            </w:r>
            <w:r>
              <w:rPr>
                <w:b w:val="0"/>
                <w:sz w:val="16"/>
              </w:rPr>
              <w:t>Diagnosi assistita, intake, triage, clinical decision support</w:t>
            </w:r>
          </w:p>
        </w:tc>
        <w:tc>
          <w:tcPr>
            <w:tcW w:type="dxa" w:w="2541"/>
            <w:vAlign w:val="top"/>
          </w:tcPr>
          <w:p>
            <w:r>
              <w:rPr>
                <w:sz w:val="16"/>
              </w:rPr>
            </w:r>
            <w:r>
              <w:rPr>
                <w:b w:val="0"/>
                <w:sz w:val="16"/>
              </w:rPr>
              <w:t>Pochi esempi, indicazioni d’uso delimitate, forte dipendenza da supervisione clinica e contesto regolatorio.</w:t>
            </w:r>
          </w:p>
        </w:tc>
      </w:tr>
      <w:tr>
        <w:trPr>
          <w:cantSplit/>
        </w:trPr>
        <w:tc>
          <w:tcPr>
            <w:tcW w:type="dxa" w:w="2541"/>
            <w:vAlign w:val="top"/>
          </w:tcPr>
          <w:p>
            <w:r>
              <w:rPr>
                <w:sz w:val="16"/>
              </w:rPr>
            </w:r>
            <w:r>
              <w:rPr>
                <w:b w:val="0"/>
                <w:sz w:val="16"/>
              </w:rPr>
              <w:t>Commerciale con evidenze parziali</w:t>
            </w:r>
          </w:p>
        </w:tc>
        <w:tc>
          <w:tcPr>
            <w:tcW w:type="dxa" w:w="2541"/>
            <w:vAlign w:val="top"/>
          </w:tcPr>
          <w:p>
            <w:r>
              <w:rPr>
                <w:sz w:val="16"/>
              </w:rPr>
            </w:r>
            <w:r>
              <w:rPr>
                <w:b w:val="0"/>
                <w:sz w:val="16"/>
              </w:rPr>
              <w:t>Wysa, Woebot, Limbic Care, Aiberry, NeuroFlow, HelloBetter/Ello</w:t>
            </w:r>
          </w:p>
        </w:tc>
        <w:tc>
          <w:tcPr>
            <w:tcW w:type="dxa" w:w="2541"/>
            <w:vAlign w:val="top"/>
          </w:tcPr>
          <w:p>
            <w:r>
              <w:rPr>
                <w:sz w:val="16"/>
              </w:rPr>
            </w:r>
            <w:r>
              <w:rPr>
                <w:b w:val="0"/>
                <w:sz w:val="16"/>
              </w:rPr>
              <w:t>Supporto, screening, engagement, monitoraggio, self-help, accesso ai servizi</w:t>
            </w:r>
          </w:p>
        </w:tc>
        <w:tc>
          <w:tcPr>
            <w:tcW w:type="dxa" w:w="2541"/>
            <w:vAlign w:val="top"/>
          </w:tcPr>
          <w:p>
            <w:r>
              <w:rPr>
                <w:sz w:val="16"/>
              </w:rPr>
            </w:r>
            <w:r>
              <w:rPr>
                <w:b w:val="0"/>
                <w:sz w:val="16"/>
              </w:rPr>
              <w:t>La funzione può essere utile, ma l’evidenza è spesso eterogenea, non sempre indipendente e raramente equivalente a quella dei dispositivi AI in imaging o segnali medici.</w:t>
            </w:r>
          </w:p>
        </w:tc>
      </w:tr>
      <w:tr>
        <w:trPr>
          <w:cantSplit/>
        </w:trPr>
        <w:tc>
          <w:tcPr>
            <w:tcW w:type="dxa" w:w="2541"/>
            <w:vAlign w:val="top"/>
          </w:tcPr>
          <w:p>
            <w:r>
              <w:rPr>
                <w:sz w:val="16"/>
              </w:rPr>
            </w:r>
            <w:r>
              <w:rPr>
                <w:b w:val="0"/>
                <w:sz w:val="16"/>
              </w:rPr>
              <w:t>Workflow e produttività clinica</w:t>
            </w:r>
          </w:p>
        </w:tc>
        <w:tc>
          <w:tcPr>
            <w:tcW w:type="dxa" w:w="2541"/>
            <w:vAlign w:val="top"/>
          </w:tcPr>
          <w:p>
            <w:r>
              <w:rPr>
                <w:sz w:val="16"/>
              </w:rPr>
            </w:r>
            <w:r>
              <w:rPr>
                <w:b w:val="0"/>
                <w:sz w:val="16"/>
              </w:rPr>
              <w:t>Eleos Health, Lyssn, Wysa Copilot, Woebot for Providers</w:t>
            </w:r>
          </w:p>
        </w:tc>
        <w:tc>
          <w:tcPr>
            <w:tcW w:type="dxa" w:w="2541"/>
            <w:vAlign w:val="top"/>
          </w:tcPr>
          <w:p>
            <w:r>
              <w:rPr>
                <w:sz w:val="16"/>
              </w:rPr>
            </w:r>
            <w:r>
              <w:rPr>
                <w:b w:val="0"/>
                <w:sz w:val="16"/>
              </w:rPr>
              <w:t>Documentazione, trascrizione, qualità della seduta, supervisione, clinical insights</w:t>
            </w:r>
          </w:p>
        </w:tc>
        <w:tc>
          <w:tcPr>
            <w:tcW w:type="dxa" w:w="2541"/>
            <w:vAlign w:val="top"/>
          </w:tcPr>
          <w:p>
            <w:r>
              <w:rPr>
                <w:sz w:val="16"/>
              </w:rPr>
            </w:r>
            <w:r>
              <w:rPr>
                <w:b w:val="0"/>
                <w:sz w:val="16"/>
              </w:rPr>
              <w:t>Probabilmente l’adozione più realistica nel breve termine: clinician-facing, revisionabile, integrabile nel lavoro umano.</w:t>
            </w:r>
          </w:p>
        </w:tc>
      </w:tr>
      <w:tr>
        <w:trPr>
          <w:cantSplit/>
        </w:trPr>
        <w:tc>
          <w:tcPr>
            <w:tcW w:type="dxa" w:w="2541"/>
            <w:vAlign w:val="top"/>
          </w:tcPr>
          <w:p>
            <w:r>
              <w:rPr>
                <w:sz w:val="16"/>
              </w:rPr>
            </w:r>
            <w:r>
              <w:rPr>
                <w:b w:val="0"/>
                <w:sz w:val="16"/>
              </w:rPr>
              <w:t>Consumer companions e general-purpose AI</w:t>
            </w:r>
          </w:p>
        </w:tc>
        <w:tc>
          <w:tcPr>
            <w:tcW w:type="dxa" w:w="2541"/>
            <w:vAlign w:val="top"/>
          </w:tcPr>
          <w:p>
            <w:r>
              <w:rPr>
                <w:sz w:val="16"/>
              </w:rPr>
            </w:r>
            <w:r>
              <w:rPr>
                <w:b w:val="0"/>
                <w:sz w:val="16"/>
              </w:rPr>
              <w:t>Earkick, Youper, Replika-like companions, ChatGPT/Claude/Gemini usati informalmente</w:t>
            </w:r>
          </w:p>
        </w:tc>
        <w:tc>
          <w:tcPr>
            <w:tcW w:type="dxa" w:w="2541"/>
            <w:vAlign w:val="top"/>
          </w:tcPr>
          <w:p>
            <w:r>
              <w:rPr>
                <w:sz w:val="16"/>
              </w:rPr>
            </w:r>
            <w:r>
              <w:rPr>
                <w:b w:val="0"/>
                <w:sz w:val="16"/>
              </w:rPr>
              <w:t>Supporto emotivo, compagnia, riflessione, journaling, consigli generici</w:t>
            </w:r>
          </w:p>
        </w:tc>
        <w:tc>
          <w:tcPr>
            <w:tcW w:type="dxa" w:w="2541"/>
            <w:vAlign w:val="top"/>
          </w:tcPr>
          <w:p>
            <w:r>
              <w:rPr>
                <w:sz w:val="16"/>
              </w:rPr>
            </w:r>
            <w:r>
              <w:rPr>
                <w:b w:val="0"/>
                <w:sz w:val="16"/>
              </w:rPr>
              <w:t>Fenomeno clinicamente rilevante anche quando non è “medical device”: entra nell’anamnesi digitale e nella relazione con il paziente.</w:t>
            </w:r>
          </w:p>
        </w:tc>
      </w:tr>
    </w:tbl>
    <w:p>
      <w:pPr>
        <w:pStyle w:val="Heading2"/>
      </w:pPr>
      <w:r>
        <w:t>13.2 Soluzioni commerciali: mappa critica 2026</w:t>
      </w:r>
    </w:p>
    <w:p>
      <w:pPr/>
      <w:r>
        <w:t>La tabella seguente non è una raccomandazione d’acquisto né una valutazione completa di conformità. Serve a mostrare come la categoria “AI in salute mentale” contenga prodotti con statuti molto diversi: alcuni hanno autorizzazioni regolatorie o studi clinici, altri sono piattaforme di servizio, altri ancora sono wellness/consumer tools. Per un paper scientifico, i claim aziendali vanno sempre separati da studi peer-reviewed, decision summaries regolatorie e dati indipendenti.</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trPr>
        <w:tc>
          <w:tcPr>
            <w:tcW w:type="dxa" w:w="2541"/>
            <w:vAlign w:val="top"/>
            <w:shd w:fill="D9EAF7"/>
          </w:tcPr>
          <w:p>
            <w:r>
              <w:rPr>
                <w:sz w:val="16"/>
              </w:rPr>
            </w:r>
            <w:r>
              <w:rPr>
                <w:b/>
                <w:sz w:val="16"/>
              </w:rPr>
              <w:t>Soluzione</w:t>
            </w:r>
          </w:p>
        </w:tc>
        <w:tc>
          <w:tcPr>
            <w:tcW w:type="dxa" w:w="2541"/>
            <w:vAlign w:val="top"/>
            <w:shd w:fill="D9EAF7"/>
          </w:tcPr>
          <w:p>
            <w:r>
              <w:rPr>
                <w:sz w:val="16"/>
              </w:rPr>
            </w:r>
            <w:r>
              <w:rPr>
                <w:b/>
                <w:sz w:val="16"/>
              </w:rPr>
              <w:t>Target e tipo di IA</w:t>
            </w:r>
          </w:p>
        </w:tc>
        <w:tc>
          <w:tcPr>
            <w:tcW w:type="dxa" w:w="2541"/>
            <w:vAlign w:val="top"/>
            <w:shd w:fill="D9EAF7"/>
          </w:tcPr>
          <w:p>
            <w:r>
              <w:rPr>
                <w:sz w:val="16"/>
              </w:rPr>
            </w:r>
            <w:r>
              <w:rPr>
                <w:b/>
                <w:sz w:val="16"/>
              </w:rPr>
              <w:t>Evidenza/regolatorio/metriche</w:t>
            </w:r>
          </w:p>
        </w:tc>
        <w:tc>
          <w:tcPr>
            <w:tcW w:type="dxa" w:w="2541"/>
            <w:vAlign w:val="top"/>
            <w:shd w:fill="D9EAF7"/>
          </w:tcPr>
          <w:p>
            <w:r>
              <w:rPr>
                <w:sz w:val="16"/>
              </w:rPr>
            </w:r>
            <w:r>
              <w:rPr>
                <w:b/>
                <w:sz w:val="16"/>
              </w:rPr>
              <w:t>Lettura critica</w:t>
            </w:r>
          </w:p>
        </w:tc>
      </w:tr>
      <w:tr>
        <w:trPr>
          <w:cantSplit/>
        </w:trPr>
        <w:tc>
          <w:tcPr>
            <w:tcW w:type="dxa" w:w="2541"/>
            <w:vAlign w:val="top"/>
          </w:tcPr>
          <w:p>
            <w:r>
              <w:rPr>
                <w:sz w:val="16"/>
              </w:rPr>
            </w:r>
            <w:r>
              <w:rPr>
                <w:b w:val="0"/>
                <w:sz w:val="16"/>
              </w:rPr>
              <w:t>Cognoa / Canvas Dx</w:t>
            </w:r>
          </w:p>
        </w:tc>
        <w:tc>
          <w:tcPr>
            <w:tcW w:type="dxa" w:w="2541"/>
            <w:vAlign w:val="top"/>
          </w:tcPr>
          <w:p>
            <w:r>
              <w:rPr>
                <w:sz w:val="16"/>
              </w:rPr>
            </w:r>
            <w:r>
              <w:rPr>
                <w:b w:val="0"/>
                <w:sz w:val="16"/>
              </w:rPr>
              <w:t>Clinician-facing. SaMD di supporto alla diagnosi di ASD pediatrico; ML su input caregiver, video analyst e HCP.</w:t>
            </w:r>
          </w:p>
        </w:tc>
        <w:tc>
          <w:tcPr>
            <w:tcW w:type="dxa" w:w="2541"/>
            <w:vAlign w:val="top"/>
          </w:tcPr>
          <w:p>
            <w:r>
              <w:rPr>
                <w:sz w:val="16"/>
              </w:rPr>
            </w:r>
            <w:r>
              <w:rPr>
                <w:b w:val="0"/>
                <w:sz w:val="16"/>
              </w:rPr>
              <w:t>FDA De Novo Class II, prescription device, non stand-alone. Studio prospettico double-blind a 14 siti; 425 completers; output positivo/negativo nel 32% dei casi; PPV 80,77%, NPV 98,25%, sensibilità 98,44%, specificità 78,87%; no-result 68,24%.</w:t>
            </w:r>
          </w:p>
        </w:tc>
        <w:tc>
          <w:tcPr>
            <w:tcW w:type="dxa" w:w="2541"/>
            <w:vAlign w:val="top"/>
          </w:tcPr>
          <w:p>
            <w:r>
              <w:rPr>
                <w:sz w:val="16"/>
              </w:rPr>
            </w:r>
            <w:r>
              <w:rPr>
                <w:b w:val="0"/>
                <w:sz w:val="16"/>
              </w:rPr>
              <w:t>Probabilmente l’esempio più solido di ML diagnostico regolato vicino alla salute mentale. Ma l’uso è ristretto: neuroevolutivo, età 18-72 mesi, adjunct diagnostico, molte esclusioni e forte supervisione clinica.</w:t>
            </w:r>
          </w:p>
        </w:tc>
      </w:tr>
      <w:tr>
        <w:trPr>
          <w:cantSplit/>
        </w:trPr>
        <w:tc>
          <w:tcPr>
            <w:tcW w:type="dxa" w:w="2541"/>
            <w:vAlign w:val="top"/>
          </w:tcPr>
          <w:p>
            <w:r>
              <w:rPr>
                <w:sz w:val="16"/>
              </w:rPr>
            </w:r>
            <w:r>
              <w:rPr>
                <w:b w:val="0"/>
                <w:sz w:val="16"/>
              </w:rPr>
              <w:t>Limbic Access</w:t>
            </w:r>
          </w:p>
        </w:tc>
        <w:tc>
          <w:tcPr>
            <w:tcW w:type="dxa" w:w="2541"/>
            <w:vAlign w:val="top"/>
          </w:tcPr>
          <w:p>
            <w:r>
              <w:rPr>
                <w:sz w:val="16"/>
              </w:rPr>
            </w:r>
            <w:r>
              <w:rPr>
                <w:b w:val="0"/>
                <w:sz w:val="16"/>
              </w:rPr>
              <w:t>Misto patient/clinician-facing. Conversational intake, self-referral, assessment e clinical decision support per servizi di behavioral health.</w:t>
            </w:r>
          </w:p>
        </w:tc>
        <w:tc>
          <w:tcPr>
            <w:tcW w:type="dxa" w:w="2541"/>
            <w:vAlign w:val="top"/>
          </w:tcPr>
          <w:p>
            <w:r>
              <w:rPr>
                <w:sz w:val="16"/>
              </w:rPr>
            </w:r>
            <w:r>
              <w:rPr>
                <w:b w:val="0"/>
                <w:sz w:val="16"/>
              </w:rPr>
              <w:t>Pagina ufficiale: Class IIa medical device nel Regno Unito; claim di 92% diagnostic accuracy su depressione, GAD, PTSD, OCD, panico, eating disorders e altre condizioni; report clinico per provider e alert di crisi.</w:t>
            </w:r>
          </w:p>
        </w:tc>
        <w:tc>
          <w:tcPr>
            <w:tcW w:type="dxa" w:w="2541"/>
            <w:vAlign w:val="top"/>
          </w:tcPr>
          <w:p>
            <w:r>
              <w:rPr>
                <w:sz w:val="16"/>
              </w:rPr>
            </w:r>
            <w:r>
              <w:rPr>
                <w:b w:val="0"/>
                <w:sz w:val="16"/>
              </w:rPr>
              <w:t>Interessante per accesso, triage e riduzione del carico di assessment. I claim di accuratezza vanno trattati come dati di prodotto finché non verificati su pubblicazioni indipendenti e indicazioni d’uso specifiche.</w:t>
            </w:r>
          </w:p>
        </w:tc>
      </w:tr>
      <w:tr>
        <w:trPr>
          <w:cantSplit/>
        </w:trPr>
        <w:tc>
          <w:tcPr>
            <w:tcW w:type="dxa" w:w="2541"/>
            <w:vAlign w:val="top"/>
          </w:tcPr>
          <w:p>
            <w:r>
              <w:rPr>
                <w:sz w:val="16"/>
              </w:rPr>
            </w:r>
            <w:r>
              <w:rPr>
                <w:b w:val="0"/>
                <w:sz w:val="16"/>
              </w:rPr>
              <w:t>Limbic Care</w:t>
            </w:r>
          </w:p>
        </w:tc>
        <w:tc>
          <w:tcPr>
            <w:tcW w:type="dxa" w:w="2541"/>
            <w:vAlign w:val="top"/>
          </w:tcPr>
          <w:p>
            <w:r>
              <w:rPr>
                <w:sz w:val="16"/>
              </w:rPr>
            </w:r>
            <w:r>
              <w:rPr>
                <w:b w:val="0"/>
                <w:sz w:val="16"/>
              </w:rPr>
              <w:t>Patient-facing con architettura LLM/CBT e possibili escalation; supporto conversazionale on-demand.</w:t>
            </w:r>
          </w:p>
        </w:tc>
        <w:tc>
          <w:tcPr>
            <w:tcW w:type="dxa" w:w="2541"/>
            <w:vAlign w:val="top"/>
          </w:tcPr>
          <w:p>
            <w:r>
              <w:rPr>
                <w:sz w:val="16"/>
              </w:rPr>
            </w:r>
            <w:r>
              <w:rPr>
                <w:b w:val="0"/>
                <w:sz w:val="16"/>
              </w:rPr>
              <w:t>Evidenza emergente e architetture cliniche specifiche intorno agli LLM. Distinguere studio, deployment e claim commerciale.</w:t>
            </w:r>
          </w:p>
        </w:tc>
        <w:tc>
          <w:tcPr>
            <w:tcW w:type="dxa" w:w="2541"/>
            <w:vAlign w:val="top"/>
          </w:tcPr>
          <w:p>
            <w:r>
              <w:rPr>
                <w:sz w:val="16"/>
              </w:rPr>
            </w:r>
            <w:r>
              <w:rPr>
                <w:b w:val="0"/>
                <w:sz w:val="16"/>
              </w:rPr>
              <w:t>Caso avanzato per discutere LLM non generalisti, ma resta centrale la domanda: chi supervisiona, quando avviene l’escalation e quali pazienti sono esclusi?</w:t>
            </w:r>
          </w:p>
        </w:tc>
      </w:tr>
      <w:tr>
        <w:trPr>
          <w:cantSplit/>
        </w:trPr>
        <w:tc>
          <w:tcPr>
            <w:tcW w:type="dxa" w:w="2541"/>
            <w:vAlign w:val="top"/>
          </w:tcPr>
          <w:p>
            <w:r>
              <w:rPr>
                <w:sz w:val="16"/>
              </w:rPr>
            </w:r>
            <w:r>
              <w:rPr>
                <w:b w:val="0"/>
                <w:sz w:val="16"/>
              </w:rPr>
              <w:t>Wysa</w:t>
            </w:r>
          </w:p>
        </w:tc>
        <w:tc>
          <w:tcPr>
            <w:tcW w:type="dxa" w:w="2541"/>
            <w:vAlign w:val="top"/>
          </w:tcPr>
          <w:p>
            <w:r>
              <w:rPr>
                <w:sz w:val="16"/>
              </w:rPr>
            </w:r>
            <w:r>
              <w:rPr>
                <w:b w:val="0"/>
                <w:sz w:val="16"/>
              </w:rPr>
              <w:t>Patient-facing e ibrido. Chatbot CBT/DBT-like, AI self-help, Gateway, Navigator e Copilot; integrazione con human oversight in alcuni care pathways.</w:t>
            </w:r>
          </w:p>
        </w:tc>
        <w:tc>
          <w:tcPr>
            <w:tcW w:type="dxa" w:w="2541"/>
            <w:vAlign w:val="top"/>
          </w:tcPr>
          <w:p>
            <w:r>
              <w:rPr>
                <w:sz w:val="16"/>
              </w:rPr>
            </w:r>
            <w:r>
              <w:rPr>
                <w:b w:val="0"/>
                <w:sz w:val="16"/>
              </w:rPr>
              <w:t>Pagina ufficiale: oltre 6 milioni di utenti, 105 Paesi, 45+ pubblicazioni peer-reviewed dichiarate, human oversight, disclaimer esplicito: non per crisi, abuso, condizioni severe, suicidarietà o emergenze; non offre consigli medici o clinici.</w:t>
            </w:r>
          </w:p>
        </w:tc>
        <w:tc>
          <w:tcPr>
            <w:tcW w:type="dxa" w:w="2541"/>
            <w:vAlign w:val="top"/>
          </w:tcPr>
          <w:p>
            <w:r>
              <w:rPr>
                <w:sz w:val="16"/>
              </w:rPr>
            </w:r>
            <w:r>
              <w:rPr>
                <w:b w:val="0"/>
                <w:sz w:val="16"/>
              </w:rPr>
              <w:t>Buon esempio di adjunct scalabile e di modello ibrido. Non va presentato come terapia autonoma né come strumento diagnostico. La safety dipende molto da contesto, escalation e integrazione con servizi.</w:t>
            </w:r>
          </w:p>
        </w:tc>
      </w:tr>
      <w:tr>
        <w:trPr>
          <w:cantSplit/>
        </w:trPr>
        <w:tc>
          <w:tcPr>
            <w:tcW w:type="dxa" w:w="2541"/>
            <w:vAlign w:val="top"/>
          </w:tcPr>
          <w:p>
            <w:r>
              <w:rPr>
                <w:sz w:val="16"/>
              </w:rPr>
            </w:r>
            <w:r>
              <w:rPr>
                <w:b w:val="0"/>
                <w:sz w:val="16"/>
              </w:rPr>
              <w:t>Woebot Health</w:t>
            </w:r>
          </w:p>
        </w:tc>
        <w:tc>
          <w:tcPr>
            <w:tcW w:type="dxa" w:w="2541"/>
            <w:vAlign w:val="top"/>
          </w:tcPr>
          <w:p>
            <w:r>
              <w:rPr>
                <w:sz w:val="16"/>
              </w:rPr>
            </w:r>
            <w:r>
              <w:rPr>
                <w:b w:val="0"/>
                <w:sz w:val="16"/>
              </w:rPr>
              <w:t>Chatbot CBT-oriented e behavioral health copilot; NLP per scegliere tecniche pre-scritte e riconoscere linguaggio preoccupante.</w:t>
            </w:r>
          </w:p>
        </w:tc>
        <w:tc>
          <w:tcPr>
            <w:tcW w:type="dxa" w:w="2541"/>
            <w:vAlign w:val="top"/>
          </w:tcPr>
          <w:p>
            <w:r>
              <w:rPr>
                <w:sz w:val="16"/>
              </w:rPr>
            </w:r>
            <w:r>
              <w:rPr>
                <w:b w:val="0"/>
                <w:sz w:val="16"/>
              </w:rPr>
              <w:t>Woebot dichiara HIPAA compliance, IRB review degli studi, concerning language recognition e non-crisis service. RCT storico JMIR 2017 su 70 giovani adulti con follow-up breve.</w:t>
            </w:r>
          </w:p>
        </w:tc>
        <w:tc>
          <w:tcPr>
            <w:tcW w:type="dxa" w:w="2541"/>
            <w:vAlign w:val="top"/>
          </w:tcPr>
          <w:p>
            <w:r>
              <w:rPr>
                <w:sz w:val="16"/>
              </w:rPr>
            </w:r>
            <w:r>
              <w:rPr>
                <w:b w:val="0"/>
                <w:sz w:val="16"/>
              </w:rPr>
              <w:t>Esempio storico chiave: mostra che il chatbot CBT pre-LLM ha evidenze iniziali, ma anche limiti di durata, campione e comparatore. Utile per non confondere chatbot scripted e LLM generativi.</w:t>
            </w:r>
          </w:p>
        </w:tc>
      </w:tr>
      <w:tr>
        <w:trPr>
          <w:cantSplit/>
        </w:trPr>
        <w:tc>
          <w:tcPr>
            <w:tcW w:type="dxa" w:w="2541"/>
            <w:vAlign w:val="top"/>
          </w:tcPr>
          <w:p>
            <w:r>
              <w:rPr>
                <w:sz w:val="16"/>
              </w:rPr>
            </w:r>
            <w:r>
              <w:rPr>
                <w:b w:val="0"/>
                <w:sz w:val="16"/>
              </w:rPr>
              <w:t>Eleos Health</w:t>
            </w:r>
          </w:p>
        </w:tc>
        <w:tc>
          <w:tcPr>
            <w:tcW w:type="dxa" w:w="2541"/>
            <w:vAlign w:val="top"/>
          </w:tcPr>
          <w:p>
            <w:r>
              <w:rPr>
                <w:sz w:val="16"/>
              </w:rPr>
            </w:r>
            <w:r>
              <w:rPr>
                <w:b w:val="0"/>
                <w:sz w:val="16"/>
              </w:rPr>
              <w:t>Clinician-facing. Ambient documentation, note automatiche, compliance, revenue cycle management e clinical insights agent per community-based care.</w:t>
            </w:r>
          </w:p>
        </w:tc>
        <w:tc>
          <w:tcPr>
            <w:tcW w:type="dxa" w:w="2541"/>
            <w:vAlign w:val="top"/>
          </w:tcPr>
          <w:p>
            <w:r>
              <w:rPr>
                <w:sz w:val="16"/>
              </w:rPr>
            </w:r>
            <w:r>
              <w:rPr>
                <w:b w:val="0"/>
                <w:sz w:val="16"/>
              </w:rPr>
              <w:t>Pagina ufficiale: riduzione documentazione 70%, 90% provider con meno stress, 100% note reviewed for compliance, claim di RCT su symptom reduction; HIPAA, HITRUST, SOC 2 Type II, ISO 27001/27799/42001.</w:t>
            </w:r>
          </w:p>
        </w:tc>
        <w:tc>
          <w:tcPr>
            <w:tcW w:type="dxa" w:w="2541"/>
            <w:vAlign w:val="top"/>
          </w:tcPr>
          <w:p>
            <w:r>
              <w:rPr>
                <w:sz w:val="16"/>
              </w:rPr>
            </w:r>
            <w:r>
              <w:rPr>
                <w:b w:val="0"/>
                <w:sz w:val="16"/>
              </w:rPr>
              <w:t>Uso più difendibile a breve termine: l’output è revisionabile dal clinico e non sostituisce il colloquio. Rischio: spostare il focus dalla qualità clinica alla compliance e alla produttività.</w:t>
            </w:r>
          </w:p>
        </w:tc>
      </w:tr>
      <w:tr>
        <w:trPr>
          <w:cantSplit/>
        </w:trPr>
        <w:tc>
          <w:tcPr>
            <w:tcW w:type="dxa" w:w="2541"/>
            <w:vAlign w:val="top"/>
          </w:tcPr>
          <w:p>
            <w:r>
              <w:rPr>
                <w:sz w:val="16"/>
              </w:rPr>
            </w:r>
            <w:r>
              <w:rPr>
                <w:b w:val="0"/>
                <w:sz w:val="16"/>
              </w:rPr>
              <w:t>Lyssn</w:t>
            </w:r>
          </w:p>
        </w:tc>
        <w:tc>
          <w:tcPr>
            <w:tcW w:type="dxa" w:w="2541"/>
            <w:vAlign w:val="top"/>
          </w:tcPr>
          <w:p>
            <w:r>
              <w:rPr>
                <w:sz w:val="16"/>
              </w:rPr>
            </w:r>
            <w:r>
              <w:rPr>
                <w:b w:val="0"/>
                <w:sz w:val="16"/>
              </w:rPr>
              <w:t>Clinician-facing. NLP/AI per trascrizione, valutazione di sedute, fidelity a pratiche evidence-based, training e quality improvement.</w:t>
            </w:r>
          </w:p>
        </w:tc>
        <w:tc>
          <w:tcPr>
            <w:tcW w:type="dxa" w:w="2541"/>
            <w:vAlign w:val="top"/>
          </w:tcPr>
          <w:p>
            <w:r>
              <w:rPr>
                <w:sz w:val="16"/>
              </w:rPr>
            </w:r>
            <w:r>
              <w:rPr>
                <w:b w:val="0"/>
                <w:sz w:val="16"/>
              </w:rPr>
              <w:t>Pagina ufficiale: 4,5 milioni+ sessioni analizzate, 65+ pubblicazioni peer-reviewed dichiarate, fondata da ricercatori clinici e data scientist.</w:t>
            </w:r>
          </w:p>
        </w:tc>
        <w:tc>
          <w:tcPr>
            <w:tcW w:type="dxa" w:w="2541"/>
            <w:vAlign w:val="top"/>
          </w:tcPr>
          <w:p>
            <w:r>
              <w:rPr>
                <w:sz w:val="16"/>
              </w:rPr>
            </w:r>
            <w:r>
              <w:rPr>
                <w:b w:val="0"/>
                <w:sz w:val="16"/>
              </w:rPr>
              <w:t>Esempio molto coerente con il paper: IA che non parla direttamente al paziente ma misura, forma e supporta la qualità del lavoro umano. Resta da valutare impatto su privacy, sorveglianza del terapeuta e uso manageriale dei punteggi.</w:t>
            </w:r>
          </w:p>
        </w:tc>
      </w:tr>
      <w:tr>
        <w:trPr>
          <w:cantSplit/>
        </w:trPr>
        <w:tc>
          <w:tcPr>
            <w:tcW w:type="dxa" w:w="2541"/>
            <w:vAlign w:val="top"/>
          </w:tcPr>
          <w:p>
            <w:r>
              <w:rPr>
                <w:sz w:val="16"/>
              </w:rPr>
            </w:r>
            <w:r>
              <w:rPr>
                <w:b w:val="0"/>
                <w:sz w:val="16"/>
              </w:rPr>
              <w:t>NeuroFlow</w:t>
            </w:r>
          </w:p>
        </w:tc>
        <w:tc>
          <w:tcPr>
            <w:tcW w:type="dxa" w:w="2541"/>
            <w:vAlign w:val="top"/>
          </w:tcPr>
          <w:p>
            <w:r>
              <w:rPr>
                <w:sz w:val="16"/>
              </w:rPr>
            </w:r>
            <w:r>
              <w:rPr>
                <w:b w:val="0"/>
                <w:sz w:val="16"/>
              </w:rPr>
              <w:t>Piattaforma population health e behavioral health analytics; measurement-informed care, stratificazione del rischio, assessment e referral.</w:t>
            </w:r>
          </w:p>
        </w:tc>
        <w:tc>
          <w:tcPr>
            <w:tcW w:type="dxa" w:w="2541"/>
            <w:vAlign w:val="top"/>
          </w:tcPr>
          <w:p>
            <w:r>
              <w:rPr>
                <w:sz w:val="16"/>
              </w:rPr>
            </w:r>
            <w:r>
              <w:rPr>
                <w:b w:val="0"/>
                <w:sz w:val="16"/>
              </w:rPr>
              <w:t>Pagina ufficiale: 6,61 milioni di health assessments/surveys, 55.000 casi di ideazione suicidaria o rising risk identificati, 6,5 minuti risparmiati per visita tramite remote assessments.</w:t>
            </w:r>
          </w:p>
        </w:tc>
        <w:tc>
          <w:tcPr>
            <w:tcW w:type="dxa" w:w="2541"/>
            <w:vAlign w:val="top"/>
          </w:tcPr>
          <w:p>
            <w:r>
              <w:rPr>
                <w:sz w:val="16"/>
              </w:rPr>
            </w:r>
            <w:r>
              <w:rPr>
                <w:b w:val="0"/>
                <w:sz w:val="16"/>
              </w:rPr>
              <w:t>Non è diagnosi automatica né terapia AI: è infrastruttura di popolazione. Utile per servizi, payor e integrated care; rischio di trasformare rischio comportamentale in ranking amministrativo.</w:t>
            </w:r>
          </w:p>
        </w:tc>
      </w:tr>
      <w:tr>
        <w:trPr>
          <w:cantSplit/>
        </w:trPr>
        <w:tc>
          <w:tcPr>
            <w:tcW w:type="dxa" w:w="2541"/>
            <w:vAlign w:val="top"/>
          </w:tcPr>
          <w:p>
            <w:r>
              <w:rPr>
                <w:sz w:val="16"/>
              </w:rPr>
            </w:r>
            <w:r>
              <w:rPr>
                <w:b w:val="0"/>
                <w:sz w:val="16"/>
              </w:rPr>
              <w:t>Aiberry</w:t>
            </w:r>
          </w:p>
        </w:tc>
        <w:tc>
          <w:tcPr>
            <w:tcW w:type="dxa" w:w="2541"/>
            <w:vAlign w:val="top"/>
          </w:tcPr>
          <w:p>
            <w:r>
              <w:rPr>
                <w:sz w:val="16"/>
              </w:rPr>
            </w:r>
            <w:r>
              <w:rPr>
                <w:b w:val="0"/>
                <w:sz w:val="16"/>
              </w:rPr>
              <w:t>Multimodale patient-facing/clinician-facing. Testo, audio e video in breve conversazione; risk score e mental health insights.</w:t>
            </w:r>
          </w:p>
        </w:tc>
        <w:tc>
          <w:tcPr>
            <w:tcW w:type="dxa" w:w="2541"/>
            <w:vAlign w:val="top"/>
          </w:tcPr>
          <w:p>
            <w:r>
              <w:rPr>
                <w:sz w:val="16"/>
              </w:rPr>
            </w:r>
            <w:r>
              <w:rPr>
                <w:b w:val="0"/>
                <w:sz w:val="16"/>
              </w:rPr>
              <w:t>Pagina ufficiale: “AI-powered quantified assessments”, analisi di text/audio/video cues e risk score in tempo reale; claim di landmark validation study da verificare su fonte primaria.</w:t>
            </w:r>
          </w:p>
        </w:tc>
        <w:tc>
          <w:tcPr>
            <w:tcW w:type="dxa" w:w="2541"/>
            <w:vAlign w:val="top"/>
          </w:tcPr>
          <w:p>
            <w:r>
              <w:rPr>
                <w:sz w:val="16"/>
              </w:rPr>
            </w:r>
            <w:r>
              <w:rPr>
                <w:b w:val="0"/>
                <w:sz w:val="16"/>
              </w:rPr>
              <w:t>Esempio di IA multimodale applicata allo screening. Da non presentare come diagnosi validata finché non sono chiari status regolatorio, popolazioni, metriche e comparatori.</w:t>
            </w:r>
          </w:p>
        </w:tc>
      </w:tr>
      <w:tr>
        <w:trPr>
          <w:cantSplit/>
        </w:trPr>
        <w:tc>
          <w:tcPr>
            <w:tcW w:type="dxa" w:w="2541"/>
            <w:vAlign w:val="top"/>
          </w:tcPr>
          <w:p>
            <w:r>
              <w:rPr>
                <w:sz w:val="16"/>
              </w:rPr>
            </w:r>
            <w:r>
              <w:rPr>
                <w:b w:val="0"/>
                <w:sz w:val="16"/>
              </w:rPr>
              <w:t>Ellipsis Health / Sage</w:t>
            </w:r>
          </w:p>
        </w:tc>
        <w:tc>
          <w:tcPr>
            <w:tcW w:type="dxa" w:w="2541"/>
            <w:vAlign w:val="top"/>
          </w:tcPr>
          <w:p>
            <w:r>
              <w:rPr>
                <w:sz w:val="16"/>
              </w:rPr>
            </w:r>
            <w:r>
              <w:rPr>
                <w:b w:val="0"/>
                <w:sz w:val="16"/>
              </w:rPr>
              <w:t>AI care manager vocale. Chiamate autonome per engagement, assessment, surveys e care coordination; voce come interfaccia di care management.</w:t>
            </w:r>
          </w:p>
        </w:tc>
        <w:tc>
          <w:tcPr>
            <w:tcW w:type="dxa" w:w="2541"/>
            <w:vAlign w:val="top"/>
          </w:tcPr>
          <w:p>
            <w:r>
              <w:rPr>
                <w:sz w:val="16"/>
              </w:rPr>
            </w:r>
            <w:r>
              <w:rPr>
                <w:b w:val="0"/>
                <w:sz w:val="16"/>
              </w:rPr>
              <w:t>Pagina ufficiale: chiamate autonome, clinical support, HIPAA e SOC2 Type 2, clinical oversight, continuous validation; claim di 60% riduzione task amministrativi e 6x faster enrollment.</w:t>
            </w:r>
          </w:p>
        </w:tc>
        <w:tc>
          <w:tcPr>
            <w:tcW w:type="dxa" w:w="2541"/>
            <w:vAlign w:val="top"/>
          </w:tcPr>
          <w:p>
            <w:r>
              <w:rPr>
                <w:sz w:val="16"/>
              </w:rPr>
            </w:r>
            <w:r>
              <w:rPr>
                <w:b w:val="0"/>
                <w:sz w:val="16"/>
              </w:rPr>
              <w:t>Più vicino a care coordination che a psicoterapia o diagnosi. Tema rilevante: autonomia operativa, consenso, trasparenza, supervisione e confine tra supporto amministrativo e decisione clinica.</w:t>
            </w:r>
          </w:p>
        </w:tc>
      </w:tr>
      <w:tr>
        <w:trPr>
          <w:cantSplit/>
        </w:trPr>
        <w:tc>
          <w:tcPr>
            <w:tcW w:type="dxa" w:w="2541"/>
            <w:vAlign w:val="top"/>
          </w:tcPr>
          <w:p>
            <w:r>
              <w:rPr>
                <w:sz w:val="16"/>
              </w:rPr>
            </w:r>
            <w:r>
              <w:rPr>
                <w:b w:val="0"/>
                <w:sz w:val="16"/>
              </w:rPr>
              <w:t>Kintsugi</w:t>
            </w:r>
          </w:p>
        </w:tc>
        <w:tc>
          <w:tcPr>
            <w:tcW w:type="dxa" w:w="2541"/>
            <w:vAlign w:val="top"/>
          </w:tcPr>
          <w:p>
            <w:r>
              <w:rPr>
                <w:sz w:val="16"/>
              </w:rPr>
            </w:r>
            <w:r>
              <w:rPr>
                <w:b w:val="0"/>
                <w:sz w:val="16"/>
              </w:rPr>
              <w:t>Voice biomarkers per depressione/ansia: analisi di come una persona parla più che di cosa dice.</w:t>
            </w:r>
          </w:p>
        </w:tc>
        <w:tc>
          <w:tcPr>
            <w:tcW w:type="dxa" w:w="2541"/>
            <w:vAlign w:val="top"/>
          </w:tcPr>
          <w:p>
            <w:r>
              <w:rPr>
                <w:sz w:val="16"/>
              </w:rPr>
            </w:r>
            <w:r>
              <w:rPr>
                <w:b w:val="0"/>
                <w:sz w:val="16"/>
              </w:rPr>
              <w:t>Caso non più commerciale nel senso classico: secondo The Verge (2026), la startup ha chiuso dopo non aver ottenuto FDA clearance in tempo e ha open-sourced parte della tecnologia.</w:t>
            </w:r>
          </w:p>
        </w:tc>
        <w:tc>
          <w:tcPr>
            <w:tcW w:type="dxa" w:w="2541"/>
            <w:vAlign w:val="top"/>
          </w:tcPr>
          <w:p>
            <w:r>
              <w:rPr>
                <w:sz w:val="16"/>
              </w:rPr>
            </w:r>
            <w:r>
              <w:rPr>
                <w:b w:val="0"/>
                <w:sz w:val="16"/>
              </w:rPr>
              <w:t>Aneddoto critico perfetto: un modello promettente non equivale a un dispositivo regolatoriamente sostenibile. Mostra il divario tra biomarcatore digitale, evidenza, FDA pathway e finanziamento.</w:t>
            </w:r>
          </w:p>
        </w:tc>
      </w:tr>
      <w:tr>
        <w:trPr>
          <w:cantSplit/>
        </w:trPr>
        <w:tc>
          <w:tcPr>
            <w:tcW w:type="dxa" w:w="2541"/>
            <w:vAlign w:val="top"/>
          </w:tcPr>
          <w:p>
            <w:r>
              <w:rPr>
                <w:sz w:val="16"/>
              </w:rPr>
            </w:r>
            <w:r>
              <w:rPr>
                <w:b w:val="0"/>
                <w:sz w:val="16"/>
              </w:rPr>
              <w:t>HelloBetter / Ello</w:t>
            </w:r>
          </w:p>
        </w:tc>
        <w:tc>
          <w:tcPr>
            <w:tcW w:type="dxa" w:w="2541"/>
            <w:vAlign w:val="top"/>
          </w:tcPr>
          <w:p>
            <w:r>
              <w:rPr>
                <w:sz w:val="16"/>
              </w:rPr>
            </w:r>
            <w:r>
              <w:rPr>
                <w:b w:val="0"/>
                <w:sz w:val="16"/>
              </w:rPr>
              <w:t>Digital therapeutics europei e chatbot/companion AI in sviluppo; CBT digitale, programmi rimborsabili in Germania e supporto umano in casi di distress.</w:t>
            </w:r>
          </w:p>
        </w:tc>
        <w:tc>
          <w:tcPr>
            <w:tcW w:type="dxa" w:w="2541"/>
            <w:vAlign w:val="top"/>
          </w:tcPr>
          <w:p>
            <w:r>
              <w:rPr>
                <w:sz w:val="16"/>
              </w:rPr>
            </w:r>
            <w:r>
              <w:rPr>
                <w:b w:val="0"/>
                <w:sz w:val="16"/>
              </w:rPr>
              <w:t>Fonti giornalistiche 2026 riportano programmi digitali con ampia base RCT e un chatbot Ello con RCT pianificato. Va verificato prodotto per prodotto e indicazione per indicazione.</w:t>
            </w:r>
          </w:p>
        </w:tc>
        <w:tc>
          <w:tcPr>
            <w:tcW w:type="dxa" w:w="2541"/>
            <w:vAlign w:val="top"/>
          </w:tcPr>
          <w:p>
            <w:r>
              <w:rPr>
                <w:sz w:val="16"/>
              </w:rPr>
            </w:r>
            <w:r>
              <w:rPr>
                <w:b w:val="0"/>
                <w:sz w:val="16"/>
              </w:rPr>
              <w:t>Esempio europeo utile per distinguere digital therapeutic rimborsato da IA generativa. L’integrazione nel sistema sanitario non implica automaticamente validazione del nuovo modulo AI.</w:t>
            </w:r>
          </w:p>
        </w:tc>
      </w:tr>
      <w:tr>
        <w:trPr>
          <w:cantSplit/>
        </w:trPr>
        <w:tc>
          <w:tcPr>
            <w:tcW w:type="dxa" w:w="2541"/>
            <w:vAlign w:val="top"/>
          </w:tcPr>
          <w:p>
            <w:r>
              <w:rPr>
                <w:sz w:val="16"/>
              </w:rPr>
            </w:r>
            <w:r>
              <w:rPr>
                <w:b w:val="0"/>
                <w:sz w:val="16"/>
              </w:rPr>
              <w:t>Koa Health / Spring Health</w:t>
            </w:r>
          </w:p>
        </w:tc>
        <w:tc>
          <w:tcPr>
            <w:tcW w:type="dxa" w:w="2541"/>
            <w:vAlign w:val="top"/>
          </w:tcPr>
          <w:p>
            <w:r>
              <w:rPr>
                <w:sz w:val="16"/>
              </w:rPr>
            </w:r>
            <w:r>
              <w:rPr>
                <w:b w:val="0"/>
                <w:sz w:val="16"/>
              </w:rPr>
              <w:t>Piattaforme B2B/B2B2C di digital mental health, care navigation, personalizzazione e matching; IA variabile per prodotto.</w:t>
            </w:r>
          </w:p>
        </w:tc>
        <w:tc>
          <w:tcPr>
            <w:tcW w:type="dxa" w:w="2541"/>
            <w:vAlign w:val="top"/>
          </w:tcPr>
          <w:p>
            <w:r>
              <w:rPr>
                <w:sz w:val="16"/>
              </w:rPr>
            </w:r>
            <w:r>
              <w:rPr>
                <w:b w:val="0"/>
                <w:sz w:val="16"/>
              </w:rPr>
              <w:t>Evidenza e regolatorio dipendono dai singoli moduli. Spesso non sono dispositivi diagnostici AI ma piattaforme di servizio e care navigation.</w:t>
            </w:r>
          </w:p>
        </w:tc>
        <w:tc>
          <w:tcPr>
            <w:tcW w:type="dxa" w:w="2541"/>
            <w:vAlign w:val="top"/>
          </w:tcPr>
          <w:p>
            <w:r>
              <w:rPr>
                <w:sz w:val="16"/>
              </w:rPr>
            </w:r>
            <w:r>
              <w:rPr>
                <w:b w:val="0"/>
                <w:sz w:val="16"/>
              </w:rPr>
              <w:t>Utili per discutere business model: il valore commerciale può essere accesso, matching e engagement più che accuratezza diagnostica.</w:t>
            </w:r>
          </w:p>
        </w:tc>
      </w:tr>
      <w:tr>
        <w:trPr>
          <w:cantSplit/>
        </w:trPr>
        <w:tc>
          <w:tcPr>
            <w:tcW w:type="dxa" w:w="2541"/>
            <w:vAlign w:val="top"/>
          </w:tcPr>
          <w:p>
            <w:r>
              <w:rPr>
                <w:sz w:val="16"/>
              </w:rPr>
            </w:r>
            <w:r>
              <w:rPr>
                <w:b w:val="0"/>
                <w:sz w:val="16"/>
              </w:rPr>
              <w:t>Earkick, Youper e companion consumer</w:t>
            </w:r>
          </w:p>
        </w:tc>
        <w:tc>
          <w:tcPr>
            <w:tcW w:type="dxa" w:w="2541"/>
            <w:vAlign w:val="top"/>
          </w:tcPr>
          <w:p>
            <w:r>
              <w:rPr>
                <w:sz w:val="16"/>
              </w:rPr>
            </w:r>
            <w:r>
              <w:rPr>
                <w:b w:val="0"/>
                <w:sz w:val="16"/>
              </w:rPr>
              <w:t>Patient-facing consumer. Mood tracking, journaling, chatbot o companion multimodale/LLM; spesso wellness.</w:t>
            </w:r>
          </w:p>
        </w:tc>
        <w:tc>
          <w:tcPr>
            <w:tcW w:type="dxa" w:w="2541"/>
            <w:vAlign w:val="top"/>
          </w:tcPr>
          <w:p>
            <w:r>
              <w:rPr>
                <w:sz w:val="16"/>
              </w:rPr>
            </w:r>
            <w:r>
              <w:rPr>
                <w:b w:val="0"/>
                <w:sz w:val="16"/>
              </w:rPr>
              <w:t>Evidenza e regolatorio molto variabili; in molti casi non sono medical device e non dichiarano diagnosi/trattamento clinico.</w:t>
            </w:r>
          </w:p>
        </w:tc>
        <w:tc>
          <w:tcPr>
            <w:tcW w:type="dxa" w:w="2541"/>
            <w:vAlign w:val="top"/>
          </w:tcPr>
          <w:p>
            <w:r>
              <w:rPr>
                <w:sz w:val="16"/>
              </w:rPr>
            </w:r>
            <w:r>
              <w:rPr>
                <w:b w:val="0"/>
                <w:sz w:val="16"/>
              </w:rPr>
              <w:t>Clinicamente importanti perché i pazienti li usano. Vanno inclusi nell’anamnesi digitale, ma non trattati come strumenti sanitari validati.</w:t>
            </w:r>
          </w:p>
        </w:tc>
      </w:tr>
    </w:tbl>
    <w:p>
      <w:pPr>
        <w:pStyle w:val="Heading2"/>
      </w:pPr>
      <w:r>
        <w:t>13.3 Punti argomentativi da integrare nel paper</w:t>
      </w:r>
    </w:p>
    <w:p>
      <w:pPr>
        <w:pStyle w:val="ListBullet"/>
      </w:pPr>
      <w:r>
        <w:t>Primo: la presenza sul mercato non equivale a maturità clinica. In salute mentale è frequente trovare prodotti con forte narrativa commerciale, metriche di engagement e promesse di accesso, ma senza endpoint clinici robusti, comparatori attivi o follow-up longitudinali.</w:t>
      </w:r>
    </w:p>
    <w:p>
      <w:pPr>
        <w:pStyle w:val="ListBullet"/>
      </w:pPr>
      <w:r>
        <w:t>Secondo: l’adozione più prudente nel breve periodo riguarda strumenti clinician-facing: documentazione, trascrizione, sintesi, quality improvement, monitoraggio e supporto alla decisione revisionabile. Qui l’errore può essere intercettato dal professionista e il sistema non assume direttamente la posizione di interlocutore terapeutico.</w:t>
      </w:r>
    </w:p>
    <w:p>
      <w:pPr>
        <w:pStyle w:val="ListBullet"/>
      </w:pPr>
      <w:r>
        <w:t>Terzo: gli strumenti patient-facing richiedono una soglia di evidenza più alta, non più bassa. Un chatbot che parla direttamente con un adolescente, una persona isolata, un paziente psicotico o una persona in crisi non produce soltanto un output informativo: può diventare oggetto relazionale, confermare credenze, alimentare dipendenza o modificare comportamenti.</w:t>
      </w:r>
    </w:p>
    <w:p>
      <w:pPr>
        <w:pStyle w:val="ListBullet"/>
      </w:pPr>
      <w:r>
        <w:t>Quarto: i sistemi multimodali e vocali sono scientificamente interessanti perché avvicinano la salute mentale al paradigma dei segnali fisiologici. Tuttavia, voce, volto, prosodia, testo e pattern di interazione sono dati profondamente identitari: la promessa di “oggettivare” il disagio porta con sé il rischio di sorveglianza, inferenza opaca e classificazione impropria.</w:t>
      </w:r>
    </w:p>
    <w:p>
      <w:pPr>
        <w:pStyle w:val="ListBullet"/>
      </w:pPr>
      <w:r>
        <w:t>Quinto: i casi Cognoa e Kintsugi mostrano i due poli del problema. Cognoa dimostra che un dispositivo ML diagnostico può essere regolato, ma solo con uso previsto delimitato, studio prospettico e ruolo non stand-alone. Kintsugi mostra che un biomarcatore promettente può fallire nel passaggio da modello a dispositivo clinico sostenibile.</w:t>
      </w:r>
    </w:p>
    <w:p>
      <w:pPr>
        <w:pStyle w:val="Heading2"/>
      </w:pPr>
      <w:r>
        <w:t>13.4 Implicazione per la tesi generale</w:t>
      </w:r>
    </w:p>
    <w:p>
      <w:pPr/>
      <w:r>
        <w:t>Il confronto con la medicina regolata e misurabile rimane centrale. In imaging, ECG, endoscopia, patologia digitale e alcuni sistemi EHR-based, molte soluzioni arrivano sul mercato o nella letteratura clinica con indicazioni d’uso specifiche, dataset ampi, metriche definite e, talvolta, studi pragmatici o prospettici. Nella salute mentale, invece, una parte consistente del mercato si muove tra wellness, engagement, documentazione, triage e supporto conversazionale, con confini più fluidi tra prodotto sanitario, servizio digitale, strumento amministrativo e intervento clinico.</w:t>
      </w:r>
    </w:p>
    <w:p>
      <w:pPr/>
      <w:r>
        <w:t>La domanda critica non è quindi “esistono tool commerciali di IA in psicologia e psichiatria?” La risposta è sì. La domanda scientificamente più rilevante è: quale funzione clinica svolgono, quale livello di evidenza la sostiene, chi supervisiona l’output, quale popolazione è esclusa, come viene gestita la crisi, e se il sistema aumenta davvero la cura oppure sposta responsabilità e rischio su pazienti vulnerabili.</w:t>
      </w:r>
    </w:p>
    <w:p>
      <w:pPr>
        <w:pStyle w:val="Heading1"/>
      </w:pPr>
      <w:r>
        <w:t>14. Governance, regolazione e responsabilità</w:t>
      </w:r>
    </w:p>
    <w:p>
      <w:r>
        <w:t>Le fonti istituzionali convergono su un punto: l’IA in sanità deve essere governata attraverso trasparenza, supervisione umana, qualità dei dati, gestione del rischio, cybersecurity, monitoraggio post-market e chiarezza dell’uso previsto. In salute mentale queste condizioni sono ancora più importanti perché gli output possono avere effetti relazionali e comportamentali immediati.</w:t>
      </w:r>
    </w:p>
    <w:p>
      <w:r>
        <w:t>La FDA, nei materiali del Digital Health Advisory Committee dedicati ai dispositivi digitali generativi per la salute mentale, segnala un divario rilevante: il panorama dei dispositivi AI-enabled in medicina è molto ampio, ma i dispositivi per la salute mentale sono molto meno rappresentati e i chatbot generativi pongono rischi specifici quali confabulazione, contenuti inappropriati o biased, fallimento nel trasferire informazioni mediche, data drift, interpretazioni errate del paziente e potenziale peggioramento sintomatologico. Il grado di autonomia del dispositivo è centrale: human-in-the-loop e sistemi autonomi non hanno lo stesso profilo di rischio.</w:t>
      </w:r>
    </w:p>
    <w:p>
      <w:r>
        <w:t>Il quadro europeo dell’AI Act adotta una logica risk-based. In ambito sanitario, i sistemi con finalità medica o di supporto a decisioni ad alto impatto tendono a ricadere in categorie che richiedono gestione del rischio, data governance, documentazione tecnica, trasparenza, accuratezza, robustezza, cybersecurity e supervisione umana. In psicologia e psichiatria, inoltre, occorre considerare GDPR, dati sanitari, consenso informato, minori, vulnerabilità e responsabilità professionale.</w:t>
      </w:r>
    </w:p>
    <w:p>
      <w:r>
        <w:rPr>
          <w:rFonts w:ascii="Aptos" w:hAnsi="Aptos"/>
          <w:b/>
          <w:sz w:val="19"/>
        </w:rPr>
        <w:t>Tabella 11. Checklist minima per usare IA in un servizio di salute mentale</w:t>
      </w:r>
    </w:p>
    <w:tbl>
      <w:tblPr>
        <w:tblStyle w:val="TableGrid"/>
        <w:tblW w:type="auto" w:w="0"/>
        <w:jc w:val="center"/>
        <w:tblLook w:firstColumn="1" w:firstRow="1" w:lastColumn="0" w:lastRow="0" w:noHBand="0" w:noVBand="1" w:val="04A0"/>
      </w:tblPr>
      <w:tblGrid>
        <w:gridCol w:w="5083"/>
        <w:gridCol w:w="5083"/>
      </w:tblGrid>
      <w:tr>
        <w:trPr>
          <w:cantSplit/>
          <w:tblHeader/>
        </w:trPr>
        <w:tc>
          <w:tcPr>
            <w:tcW w:type="dxa" w:w="5083"/>
            <w:vAlign w:val="top"/>
            <w:shd w:fill="D9EAD3"/>
            <w:tcMar>
              <w:top w:w="60" w:type="dxa"/>
              <w:left w:w="60" w:type="dxa"/>
              <w:bottom w:w="60" w:type="dxa"/>
              <w:right w:w="60" w:type="dxa"/>
            </w:tcMar>
          </w:tcPr>
          <w:p>
            <w:pPr>
              <w:jc w:val="left"/>
            </w:pPr>
            <w:r>
              <w:rPr>
                <w:sz w:val="17"/>
              </w:rPr>
            </w:r>
            <w:r>
              <w:rPr>
                <w:rFonts w:ascii="Aptos" w:hAnsi="Aptos"/>
                <w:b/>
                <w:sz w:val="15"/>
              </w:rPr>
              <w:t>Area</w:t>
            </w:r>
          </w:p>
        </w:tc>
        <w:tc>
          <w:tcPr>
            <w:tcW w:type="dxa" w:w="5083"/>
            <w:vAlign w:val="top"/>
            <w:shd w:fill="D9EAD3"/>
            <w:tcMar>
              <w:top w:w="60" w:type="dxa"/>
              <w:left w:w="60" w:type="dxa"/>
              <w:bottom w:w="60" w:type="dxa"/>
              <w:right w:w="60" w:type="dxa"/>
            </w:tcMar>
          </w:tcPr>
          <w:p>
            <w:pPr>
              <w:jc w:val="left"/>
            </w:pPr>
            <w:r>
              <w:rPr>
                <w:sz w:val="17"/>
              </w:rPr>
            </w:r>
            <w:r>
              <w:rPr>
                <w:rFonts w:ascii="Aptos" w:hAnsi="Aptos"/>
                <w:b/>
                <w:sz w:val="15"/>
              </w:rPr>
              <w:t>Domanda minima</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5"/>
              </w:rPr>
              <w:t>Uso previsto</w:t>
            </w:r>
          </w:p>
        </w:tc>
        <w:tc>
          <w:tcPr>
            <w:tcW w:type="dxa" w:w="5083"/>
            <w:vAlign w:val="top"/>
            <w:tcMar>
              <w:top w:w="60" w:type="dxa"/>
              <w:left w:w="60" w:type="dxa"/>
              <w:bottom w:w="60" w:type="dxa"/>
              <w:right w:w="60" w:type="dxa"/>
            </w:tcMar>
          </w:tcPr>
          <w:p>
            <w:pPr>
              <w:jc w:val="left"/>
            </w:pPr>
            <w:r>
              <w:rPr>
                <w:sz w:val="17"/>
              </w:rPr>
            </w:r>
            <w:r>
              <w:rPr>
                <w:rFonts w:ascii="Aptos" w:hAnsi="Aptos"/>
                <w:b w:val="0"/>
                <w:sz w:val="15"/>
              </w:rPr>
              <w:t>È amministrativo, documentale, diagnostico, predittivo, terapeutico, formativo o di monitoraggio?</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5"/>
              </w:rPr>
              <w:t>Target</w:t>
            </w:r>
          </w:p>
        </w:tc>
        <w:tc>
          <w:tcPr>
            <w:tcW w:type="dxa" w:w="5083"/>
            <w:vAlign w:val="top"/>
            <w:tcMar>
              <w:top w:w="60" w:type="dxa"/>
              <w:left w:w="60" w:type="dxa"/>
              <w:bottom w:w="60" w:type="dxa"/>
              <w:right w:w="60" w:type="dxa"/>
            </w:tcMar>
          </w:tcPr>
          <w:p>
            <w:pPr>
              <w:jc w:val="left"/>
            </w:pPr>
            <w:r>
              <w:rPr>
                <w:sz w:val="17"/>
              </w:rPr>
            </w:r>
            <w:r>
              <w:rPr>
                <w:rFonts w:ascii="Aptos" w:hAnsi="Aptos"/>
                <w:b w:val="0"/>
                <w:sz w:val="15"/>
              </w:rPr>
              <w:t>È clinician-facing o patient-facing? Parla direttamente con minori, pazienti in crisi o persone psicotiche?</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5"/>
              </w:rPr>
              <w:t>Dati</w:t>
            </w:r>
          </w:p>
        </w:tc>
        <w:tc>
          <w:tcPr>
            <w:tcW w:type="dxa" w:w="5083"/>
            <w:vAlign w:val="top"/>
            <w:tcMar>
              <w:top w:w="60" w:type="dxa"/>
              <w:left w:w="60" w:type="dxa"/>
              <w:bottom w:w="60" w:type="dxa"/>
              <w:right w:w="60" w:type="dxa"/>
            </w:tcMar>
          </w:tcPr>
          <w:p>
            <w:pPr>
              <w:jc w:val="left"/>
            </w:pPr>
            <w:r>
              <w:rPr>
                <w:sz w:val="17"/>
              </w:rPr>
            </w:r>
            <w:r>
              <w:rPr>
                <w:rFonts w:ascii="Aptos" w:hAnsi="Aptos"/>
                <w:b w:val="0"/>
                <w:sz w:val="15"/>
              </w:rPr>
              <w:t>Usa dati sanitari, voce, video, geolocalizzazione, wearable, cartelle cliniche o social media?</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5"/>
              </w:rPr>
              <w:t>Validazione</w:t>
            </w:r>
          </w:p>
        </w:tc>
        <w:tc>
          <w:tcPr>
            <w:tcW w:type="dxa" w:w="5083"/>
            <w:vAlign w:val="top"/>
            <w:tcMar>
              <w:top w:w="60" w:type="dxa"/>
              <w:left w:w="60" w:type="dxa"/>
              <w:bottom w:w="60" w:type="dxa"/>
              <w:right w:w="60" w:type="dxa"/>
            </w:tcMar>
          </w:tcPr>
          <w:p>
            <w:pPr>
              <w:jc w:val="left"/>
            </w:pPr>
            <w:r>
              <w:rPr>
                <w:sz w:val="17"/>
              </w:rPr>
            </w:r>
            <w:r>
              <w:rPr>
                <w:rFonts w:ascii="Aptos" w:hAnsi="Aptos"/>
                <w:b w:val="0"/>
                <w:sz w:val="15"/>
              </w:rPr>
              <w:t>È stato validato su popolazioni simili, con studio prospettico o esterno, e con metriche clinicamente significative?</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5"/>
              </w:rPr>
              <w:t>Gestione crisi</w:t>
            </w:r>
          </w:p>
        </w:tc>
        <w:tc>
          <w:tcPr>
            <w:tcW w:type="dxa" w:w="5083"/>
            <w:vAlign w:val="top"/>
            <w:tcMar>
              <w:top w:w="60" w:type="dxa"/>
              <w:left w:w="60" w:type="dxa"/>
              <w:bottom w:w="60" w:type="dxa"/>
              <w:right w:w="60" w:type="dxa"/>
            </w:tcMar>
          </w:tcPr>
          <w:p>
            <w:pPr>
              <w:jc w:val="left"/>
            </w:pPr>
            <w:r>
              <w:rPr>
                <w:sz w:val="17"/>
              </w:rPr>
            </w:r>
            <w:r>
              <w:rPr>
                <w:rFonts w:ascii="Aptos" w:hAnsi="Aptos"/>
                <w:b w:val="0"/>
                <w:sz w:val="15"/>
              </w:rPr>
              <w:t>Che cosa succede in caso di suicidarietà, abuso, psicosi, autolesionismo, minori o emergenze?</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5"/>
              </w:rPr>
              <w:t>Responsabilità</w:t>
            </w:r>
          </w:p>
        </w:tc>
        <w:tc>
          <w:tcPr>
            <w:tcW w:type="dxa" w:w="5083"/>
            <w:vAlign w:val="top"/>
            <w:tcMar>
              <w:top w:w="60" w:type="dxa"/>
              <w:left w:w="60" w:type="dxa"/>
              <w:bottom w:w="60" w:type="dxa"/>
              <w:right w:w="60" w:type="dxa"/>
            </w:tcMar>
          </w:tcPr>
          <w:p>
            <w:pPr>
              <w:jc w:val="left"/>
            </w:pPr>
            <w:r>
              <w:rPr>
                <w:sz w:val="17"/>
              </w:rPr>
            </w:r>
            <w:r>
              <w:rPr>
                <w:rFonts w:ascii="Aptos" w:hAnsi="Aptos"/>
                <w:b w:val="0"/>
                <w:sz w:val="15"/>
              </w:rPr>
              <w:t>Chi risponde dell’errore: clinico, servizio, produttore, ente, paziente?</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5"/>
              </w:rPr>
              <w:t>Trasparenza</w:t>
            </w:r>
          </w:p>
        </w:tc>
        <w:tc>
          <w:tcPr>
            <w:tcW w:type="dxa" w:w="5083"/>
            <w:vAlign w:val="top"/>
            <w:tcMar>
              <w:top w:w="60" w:type="dxa"/>
              <w:left w:w="60" w:type="dxa"/>
              <w:bottom w:w="60" w:type="dxa"/>
              <w:right w:w="60" w:type="dxa"/>
            </w:tcMar>
          </w:tcPr>
          <w:p>
            <w:pPr>
              <w:jc w:val="left"/>
            </w:pPr>
            <w:r>
              <w:rPr>
                <w:sz w:val="17"/>
              </w:rPr>
            </w:r>
            <w:r>
              <w:rPr>
                <w:rFonts w:ascii="Aptos" w:hAnsi="Aptos"/>
                <w:b w:val="0"/>
                <w:sz w:val="15"/>
              </w:rPr>
              <w:t>Il paziente sa che viene usata IA? Capisce cosa può e non può fare?</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5"/>
              </w:rPr>
              <w:t>Supervisione</w:t>
            </w:r>
          </w:p>
        </w:tc>
        <w:tc>
          <w:tcPr>
            <w:tcW w:type="dxa" w:w="5083"/>
            <w:vAlign w:val="top"/>
            <w:tcMar>
              <w:top w:w="60" w:type="dxa"/>
              <w:left w:w="60" w:type="dxa"/>
              <w:bottom w:w="60" w:type="dxa"/>
              <w:right w:w="60" w:type="dxa"/>
            </w:tcMar>
          </w:tcPr>
          <w:p>
            <w:pPr>
              <w:jc w:val="left"/>
            </w:pPr>
            <w:r>
              <w:rPr>
                <w:sz w:val="17"/>
              </w:rPr>
            </w:r>
            <w:r>
              <w:rPr>
                <w:rFonts w:ascii="Aptos" w:hAnsi="Aptos"/>
                <w:b w:val="0"/>
                <w:sz w:val="15"/>
              </w:rPr>
              <w:t>Il clinico può correggere, bloccare, auditare e documentare l’output?</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5"/>
              </w:rPr>
              <w:t>Bias</w:t>
            </w:r>
          </w:p>
        </w:tc>
        <w:tc>
          <w:tcPr>
            <w:tcW w:type="dxa" w:w="5083"/>
            <w:vAlign w:val="top"/>
            <w:tcMar>
              <w:top w:w="60" w:type="dxa"/>
              <w:left w:w="60" w:type="dxa"/>
              <w:bottom w:w="60" w:type="dxa"/>
              <w:right w:w="60" w:type="dxa"/>
            </w:tcMar>
          </w:tcPr>
          <w:p>
            <w:pPr>
              <w:jc w:val="left"/>
            </w:pPr>
            <w:r>
              <w:rPr>
                <w:sz w:val="17"/>
              </w:rPr>
            </w:r>
            <w:r>
              <w:rPr>
                <w:rFonts w:ascii="Aptos" w:hAnsi="Aptos"/>
                <w:b w:val="0"/>
                <w:sz w:val="15"/>
              </w:rPr>
              <w:t>Sono documentati bias, performance per sottogruppi e limiti culturali/linguistici?</w:t>
            </w:r>
          </w:p>
        </w:tc>
      </w:tr>
      <w:tr>
        <w:trPr>
          <w:cantSplit/>
        </w:trPr>
        <w:tc>
          <w:tcPr>
            <w:tcW w:type="dxa" w:w="5083"/>
            <w:vAlign w:val="top"/>
            <w:tcMar>
              <w:top w:w="60" w:type="dxa"/>
              <w:left w:w="60" w:type="dxa"/>
              <w:bottom w:w="60" w:type="dxa"/>
              <w:right w:w="60" w:type="dxa"/>
            </w:tcMar>
          </w:tcPr>
          <w:p>
            <w:pPr>
              <w:jc w:val="left"/>
            </w:pPr>
            <w:r>
              <w:rPr>
                <w:b/>
                <w:sz w:val="17"/>
              </w:rPr>
            </w:r>
            <w:r>
              <w:rPr>
                <w:rFonts w:ascii="Aptos" w:hAnsi="Aptos"/>
                <w:b w:val="0"/>
                <w:sz w:val="15"/>
              </w:rPr>
              <w:t>Outcome</w:t>
            </w:r>
          </w:p>
        </w:tc>
        <w:tc>
          <w:tcPr>
            <w:tcW w:type="dxa" w:w="5083"/>
            <w:vAlign w:val="top"/>
            <w:tcMar>
              <w:top w:w="60" w:type="dxa"/>
              <w:left w:w="60" w:type="dxa"/>
              <w:bottom w:w="60" w:type="dxa"/>
              <w:right w:w="60" w:type="dxa"/>
            </w:tcMar>
          </w:tcPr>
          <w:p>
            <w:pPr>
              <w:jc w:val="left"/>
            </w:pPr>
            <w:r>
              <w:rPr>
                <w:sz w:val="17"/>
              </w:rPr>
            </w:r>
            <w:r>
              <w:rPr>
                <w:rFonts w:ascii="Aptos" w:hAnsi="Aptos"/>
                <w:b w:val="0"/>
                <w:sz w:val="15"/>
              </w:rPr>
              <w:t>Il sistema migliora davvero accesso, sicurezza, qualità o esiti, o aggiunge complessità?</w:t>
            </w:r>
          </w:p>
        </w:tc>
      </w:tr>
    </w:tbl>
    <w:p/>
    <w:p>
      <w:pPr>
        <w:pStyle w:val="Heading1"/>
      </w:pPr>
      <w:r>
        <w:t>15. Matrice di rischio clinico</w:t>
      </w:r>
    </w:p>
    <w:p>
      <w:r>
        <w:t>Una matrice semplice può aiutare i servizi a evitare discussioni astratte. L’asse orizzontale distingue clinician-facing e patient-facing; l’asse verticale distingue basso e alto rischio. La stessa tecnologia può cambiare quadrante se cambia uso previsto.</w:t>
      </w:r>
    </w:p>
    <w:p>
      <w:r>
        <w:rPr>
          <w:rFonts w:ascii="Aptos" w:hAnsi="Aptos"/>
          <w:b/>
          <w:sz w:val="19"/>
        </w:rPr>
        <w:t>Tabella 12. Matrice operativa di rischio clinico</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3389"/>
            <w:vAlign w:val="top"/>
            <w:shd w:fill="D9EAD3"/>
            <w:tcMar>
              <w:top w:w="60" w:type="dxa"/>
              <w:left w:w="60" w:type="dxa"/>
              <w:bottom w:w="60" w:type="dxa"/>
              <w:right w:w="60" w:type="dxa"/>
            </w:tcMar>
          </w:tcPr>
          <w:p>
            <w:pPr>
              <w:jc w:val="left"/>
            </w:pPr>
            <w:r>
              <w:rPr>
                <w:sz w:val="17"/>
              </w:rPr>
            </w:r>
            <w:r>
              <w:rPr>
                <w:rFonts w:ascii="Aptos" w:hAnsi="Aptos"/>
                <w:b/>
                <w:sz w:val="16"/>
              </w:rPr>
              <w:t>Quadrante</w:t>
            </w:r>
          </w:p>
        </w:tc>
        <w:tc>
          <w:tcPr>
            <w:tcW w:type="dxa" w:w="3389"/>
            <w:vAlign w:val="top"/>
            <w:shd w:fill="D9EAD3"/>
            <w:tcMar>
              <w:top w:w="60" w:type="dxa"/>
              <w:left w:w="60" w:type="dxa"/>
              <w:bottom w:w="60" w:type="dxa"/>
              <w:right w:w="60" w:type="dxa"/>
            </w:tcMar>
          </w:tcPr>
          <w:p>
            <w:pPr>
              <w:jc w:val="left"/>
            </w:pPr>
            <w:r>
              <w:rPr>
                <w:sz w:val="17"/>
              </w:rPr>
            </w:r>
            <w:r>
              <w:rPr>
                <w:rFonts w:ascii="Aptos" w:hAnsi="Aptos"/>
                <w:b/>
                <w:sz w:val="16"/>
              </w:rPr>
              <w:t>Esempi</w:t>
            </w:r>
          </w:p>
        </w:tc>
        <w:tc>
          <w:tcPr>
            <w:tcW w:type="dxa" w:w="3389"/>
            <w:vAlign w:val="top"/>
            <w:shd w:fill="D9EAD3"/>
            <w:tcMar>
              <w:top w:w="60" w:type="dxa"/>
              <w:left w:w="60" w:type="dxa"/>
              <w:bottom w:w="60" w:type="dxa"/>
              <w:right w:w="60" w:type="dxa"/>
            </w:tcMar>
          </w:tcPr>
          <w:p>
            <w:pPr>
              <w:jc w:val="left"/>
            </w:pPr>
            <w:r>
              <w:rPr>
                <w:sz w:val="17"/>
              </w:rPr>
            </w:r>
            <w:r>
              <w:rPr>
                <w:rFonts w:ascii="Aptos" w:hAnsi="Aptos"/>
                <w:b/>
                <w:sz w:val="16"/>
              </w:rPr>
              <w:t>Rischio principale</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Basso rischio / clinician-facing</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Sintesi documentale revisionata, bozze di lettere, ricerca in cartella, reminder amministrativi.</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Rischio principale: errori documentali, privacy, over-reliance.</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Alto rischio / clinician-facing</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Predizione suicidaria, rischio ricaduta, triage prioritario, decision support diagnostico.</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Rischio principale: bias, falsi negativi, trasformare probabilità in destino clinico.</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Basso-medio rischio / patient-facing</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Psicoeducazione validata, esercizi strutturati, reminder, materiali prescritti e supervisionati.</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Rischio principale: interpretazione impropria, mancata aderenza, confusione tra supporto e terapia.</w:t>
            </w:r>
          </w:p>
        </w:tc>
      </w:tr>
      <w:tr>
        <w:trPr>
          <w:cantSplit/>
        </w:trPr>
        <w:tc>
          <w:tcPr>
            <w:tcW w:type="dxa" w:w="3389"/>
            <w:vAlign w:val="top"/>
            <w:tcMar>
              <w:top w:w="60" w:type="dxa"/>
              <w:left w:w="60" w:type="dxa"/>
              <w:bottom w:w="60" w:type="dxa"/>
              <w:right w:w="60" w:type="dxa"/>
            </w:tcMar>
          </w:tcPr>
          <w:p>
            <w:pPr>
              <w:jc w:val="left"/>
            </w:pPr>
            <w:r>
              <w:rPr>
                <w:b/>
                <w:sz w:val="17"/>
              </w:rPr>
            </w:r>
            <w:r>
              <w:rPr>
                <w:rFonts w:ascii="Aptos" w:hAnsi="Aptos"/>
                <w:b w:val="0"/>
                <w:sz w:val="16"/>
              </w:rPr>
              <w:t>Alto rischio / patient-facing</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Chatbot in crisi suicidaria, psicosi, minori, terapia autonoma, consigli su farmaci o diagnosi.</w:t>
            </w:r>
          </w:p>
        </w:tc>
        <w:tc>
          <w:tcPr>
            <w:tcW w:type="dxa" w:w="3389"/>
            <w:vAlign w:val="top"/>
            <w:tcMar>
              <w:top w:w="60" w:type="dxa"/>
              <w:left w:w="60" w:type="dxa"/>
              <w:bottom w:w="60" w:type="dxa"/>
              <w:right w:w="60" w:type="dxa"/>
            </w:tcMar>
          </w:tcPr>
          <w:p>
            <w:pPr>
              <w:jc w:val="left"/>
            </w:pPr>
            <w:r>
              <w:rPr>
                <w:sz w:val="17"/>
              </w:rPr>
            </w:r>
            <w:r>
              <w:rPr>
                <w:rFonts w:ascii="Aptos" w:hAnsi="Aptos"/>
                <w:b w:val="0"/>
                <w:sz w:val="16"/>
              </w:rPr>
              <w:t>Rischio principale: allucinazioni, falsa empatia, rinforzo di delirio/evitamento, mancata escalation.</w:t>
            </w:r>
          </w:p>
        </w:tc>
      </w:tr>
    </w:tbl>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0F2"/>
            <w:vAlign w:val="top"/>
          </w:tcPr>
          <w:p>
            <w:r>
              <w:rPr>
                <w:rFonts w:ascii="Aptos" w:hAnsi="Aptos"/>
                <w:b/>
                <w:sz w:val="17"/>
              </w:rPr>
              <w:t>Regola pratica</w:t>
            </w:r>
          </w:p>
          <w:p>
            <w:r>
              <w:rPr>
                <w:rFonts w:ascii="Aptos" w:hAnsi="Aptos"/>
                <w:sz w:val="17"/>
              </w:rPr>
              <w:t>Più l’IA parla direttamente al paziente vulnerabile, più deve essere regolata, validata, supervisionata e dotata di procedure di escalation. Più resta strumento revisionato dal clinico, più può essere introdotta come supporto al workflow, pur con controlli di privacy e qualità.</w:t>
            </w:r>
          </w:p>
        </w:tc>
      </w:tr>
    </w:tbl>
    <w:p/>
    <w:p>
      <w:pPr>
        <w:pStyle w:val="Heading1"/>
      </w:pPr>
      <w:r>
        <w:t>16. Discussione: cosa la psicopatologia può imparare dal ML clinico in medicina</w:t>
      </w:r>
    </w:p>
    <w:p>
      <w:r>
        <w:t>La salute mentale non deve imitare meccanicamente la radiologia, né assumere che il modello dell’immagine sia l’unico riferimento. Deve invece imparare la lezione metodologica del ML clinico maturo in medicina: definire un uso previsto, delimitare il compito, usare dati adeguati e rappresentativi, validare su dati esterni, misurare outcome reali, inserire l’IA nel workflow, mantenere human-in-the-loop, auditare gli errori e aggiornare il modello dentro un ciclo di vita controllato. Il punto non è avere un algoritmo brillante; è avere un uso clinicamente situato.</w:t>
      </w:r>
    </w:p>
    <w:p>
      <w:r>
        <w:t>L’oggetto della psicopatologia richiede però una cornice aggiuntiva: l’output non è solo informativo, ma performativo. Dire a una persona “potresti avere un disturbo borderline”, “sei depresso”, “la tua famiglia è tossica”, “dovresti lasciare il partner” o “non è grave” può modificare comportamento, identità e relazione. Quando l’IA conversa, non misura soltanto: interviene.</w:t>
      </w:r>
    </w:p>
    <w:p>
      <w:r>
        <w:t>L’agenda 2026-2030 dovrebbe quindi privilegiare usi aumentativi e non sostitutivi: co-piloti clinici integrati nella cartella; monitoraggio ecologico supervisionato; modelli multimodali con consenso forte e data minimization; pazienti simulati per training; triage e accesso con trasparenza; strumenti di psicoeducazione prescritti e monitorati; percorsi ibridi servizio-paziente-IA dentro PDTA espliciti.</w:t>
      </w:r>
    </w:p>
    <w:p>
      <w:pPr>
        <w:pStyle w:val="Heading2"/>
      </w:pPr>
      <w:r>
        <w:t>16.1 Domande aperte per la ricerca</w:t>
      </w:r>
    </w:p>
    <w:p>
      <w:pPr>
        <w:pStyle w:val="ListBullet"/>
      </w:pPr>
      <w:r>
        <w:t>Se un chatbot riduce la solitudine, è già terapia o solo supporto relazionale?</w:t>
      </w:r>
    </w:p>
    <w:p>
      <w:pPr>
        <w:pStyle w:val="ListBullet"/>
      </w:pPr>
      <w:r>
        <w:t>Se un sistema sembra più empatico del clinico, è anche più sicuro?</w:t>
      </w:r>
    </w:p>
    <w:p>
      <w:pPr>
        <w:pStyle w:val="ListBullet"/>
      </w:pPr>
      <w:r>
        <w:t>Il digital phenotyping è prevenzione o sorveglianza?</w:t>
      </w:r>
    </w:p>
    <w:p>
      <w:pPr>
        <w:pStyle w:val="ListBullet"/>
      </w:pPr>
      <w:r>
        <w:t>Qual è il ground truth di una diagnosi psicopatologica quando l’oggetto è longitudinale e relazionale?</w:t>
      </w:r>
    </w:p>
    <w:p>
      <w:pPr>
        <w:pStyle w:val="ListBullet"/>
      </w:pPr>
      <w:r>
        <w:t>Dobbiamo prescrivere strumenti di IA validati e scoraggiare quelli generalisti?</w:t>
      </w:r>
    </w:p>
    <w:p>
      <w:pPr>
        <w:pStyle w:val="ListBullet"/>
      </w:pPr>
      <w:r>
        <w:t>Come proteggere adolescenti, pazienti psicotici e persone in crisi dall’uso improprio di chatbot?</w:t>
      </w:r>
    </w:p>
    <w:p>
      <w:pPr>
        <w:pStyle w:val="ListBullet"/>
      </w:pPr>
      <w:r>
        <w:t>Quali outcome dovrebbero contare: sintomi, accesso, funzionamento, alleanza, sicurezza, drop-out, qualità di vita?</w:t>
      </w:r>
    </w:p>
    <w:p>
      <w:pPr>
        <w:pStyle w:val="Heading1"/>
      </w:pPr>
      <w:r>
        <w:t>17. Conclusioni</w:t>
      </w:r>
    </w:p>
    <w:p>
      <w:r>
        <w:t>L’IA è già presente nella salute mentale, ma la sua maturità clinica è disomogenea. In medicina il ML risulta più maturo quando il compito è delimitato, il dato è visuale, fisiologico o strutturato, il target è verificabile e l’impatto può essere misurato nel workflow: retinopatia diabetica, mammografia, colonoscopia, patologia digitale, ECG, allerta sepsi e predizione del danno renale acuto ne sono esempi diversi. In psicopatologia, invece, l’oggetto è esperienza vissuta, linguaggio, relazione e traiettoria temporale. La qualità dell’IA non può quindi essere misurata solo con accuratezza, AUC o F1 score, ma deve includere sicurezza, utilità clinica, validità esterna, impatto relazionale e responsabilità.</w:t>
      </w:r>
    </w:p>
    <w:p>
      <w:r>
        <w:t>In psicopatologia, l’IA può diventare uno strumento prezioso se aiuta a osservare prima, seguire meglio, documentare con meno carico, formare i clinici, intercettare segnali di rischio e ampliare l’accesso. Diventa pericolosa se viene presentata come terapeuta autonomo, diagnosta generalista o confidente senza limiti per pazienti vulnerabili.</w:t>
      </w:r>
    </w:p>
    <w:p>
      <w:r>
        <w:t>La formula conclusiva è semplice: l’intelligenza artificiale sarà davvero al servizio della psicopatologia solo se resterà al servizio della complessità clinica. Non per sostituire l’incontro, ma per aumentare la capacità dei servizi e dei professionisti di comprendere, accompagnare e proteggere la sofferenza mentale.</w:t>
      </w:r>
    </w:p>
    <w:p>
      <w:pPr>
        <w:pStyle w:val="Heading1"/>
      </w:pPr>
      <w:r>
        <w:t>Appendice A. Frasi guida e possibili titoli</w:t>
      </w:r>
    </w:p>
    <w:p>
      <w:pPr>
        <w:pStyle w:val="ListBullet"/>
      </w:pPr>
      <w:r>
        <w:t>Predire non significa comprendere.</w:t>
      </w:r>
    </w:p>
    <w:p>
      <w:pPr>
        <w:pStyle w:val="ListBullet"/>
      </w:pPr>
      <w:r>
        <w:t>Una mammografia è un’immagine; un ECG è un segnale; una sepsi è una traiettoria fisiologica; un delirio è un’esperienza vissuta.</w:t>
      </w:r>
    </w:p>
    <w:p>
      <w:pPr>
        <w:pStyle w:val="ListBullet"/>
      </w:pPr>
      <w:r>
        <w:t>Il linguaggio non è solo un segnale: è anche una relazione.</w:t>
      </w:r>
    </w:p>
    <w:p>
      <w:pPr>
        <w:pStyle w:val="ListBullet"/>
      </w:pPr>
      <w:r>
        <w:t>Il dato digitale diventa clinico solo dentro un patto di cura.</w:t>
      </w:r>
    </w:p>
    <w:p>
      <w:pPr>
        <w:pStyle w:val="ListBullet"/>
      </w:pPr>
      <w:r>
        <w:t>Sembrare empatici non significa curare.</w:t>
      </w:r>
    </w:p>
    <w:p>
      <w:pPr>
        <w:pStyle w:val="ListBullet"/>
      </w:pPr>
      <w:r>
        <w:t>Un tumore non si offende. Un paziente sì.</w:t>
      </w:r>
    </w:p>
    <w:p>
      <w:pPr>
        <w:pStyle w:val="ListBullet"/>
      </w:pPr>
      <w:r>
        <w:t>Il problema non è scegliere se usare o non usare l’IA; è decidere quale IA, per quale funzione, con quale paziente, dentro quale responsabilità clinica.</w:t>
      </w:r>
    </w:p>
    <w:p>
      <w:pPr>
        <w:pStyle w:val="ListBullet"/>
      </w:pPr>
      <w:r>
        <w:t>Il punto non è rendere artificiale la cura, ma rendere più intelligente il modo in cui osserviamo, accompagniamo e proteggiamo la sofferenza mentale.</w:t>
      </w:r>
    </w:p>
    <w:p>
      <w:pPr>
        <w:pStyle w:val="Heading1"/>
      </w:pPr>
      <w:r>
        <w:t>Appendice B. Abstract alternativo breve</w:t>
      </w:r>
    </w:p>
    <w:p>
      <w:r>
        <w:t>L’intelligenza artificiale sta trasformando la salute mentale attraverso modelli predittivi, digital phenotyping, NLP e LLM. Questo lavoro propone una cornice critica per distinguere gli usi dell’IA come supporto al clinico dagli usi patient-facing, più rischiosi e relazionalmente densi. Il confronto con diversi ambiti della medicina - diagnostica per immagini, ECG, endoscopia, patologia digitale, sistemi di allerta clinica e modelli su EHR - mostra che il machine learning performa meglio quando il compito è delimitato, il dato è standardizzato, il ground truth è verificabile e l’output può essere integrato in un workflow supervisionato. La psicopatologia, invece, riguarda esperienze vissute, linguaggio, contesto e relazione. L’IA può quindi servire la clinica se aumenta osservazione, monitoraggio, documentazione, formazione e accesso, ma non se sostituisce giudizio clinico, setting e responsabilità. Gli LLM rendono il problema ancora più complesso perché non si limitano a classificare: parlano, validano, rassicurano e possono diventare oggetti relazionali. Una psichiatria digitale responsabile richiede validazione rigorosa, governance, supervisione umana, anamnesi digitale ampliata e distinzione esplicita tra supporto, diagnosi e terapia.</w:t>
      </w:r>
    </w:p>
    <w:p>
      <w:pPr>
        <w:pStyle w:val="Heading1"/>
      </w:pPr>
      <w:r>
        <w:t>Bibliografia e fonti</w:t>
      </w:r>
    </w:p>
    <w:p>
      <w:r>
        <w:t>Nota: le voci sono organizzate per tipo di fonte. Prima della submission verificare formato bibliografico, DOI, anno, pagine e status di pubblicazione. Le fonti commerciali e giornalistiche non vanno usate come prova primaria di efficacia.</w:t>
      </w:r>
    </w:p>
    <w:p>
      <w:pPr>
        <w:pStyle w:val="Heading2"/>
      </w:pPr>
      <w:r>
        <w:t>Fonti istituzionali e regolatorie</w:t>
      </w:r>
    </w:p>
    <w:p>
      <w:pPr>
        <w:pStyle w:val="ListBullet"/>
      </w:pPr>
      <w:r>
        <w:t>U.S. Food and Drug Administration. Artificial Intelligence-Enabled Medical Devices. FDA Digital Health Center of Excellence. URL: https://www.fda.gov/medical-devices/software-medical-device-samd/artificial-intelligence-enabled-medical-devices</w:t>
      </w:r>
    </w:p>
    <w:p>
      <w:pPr>
        <w:pStyle w:val="ListBullet"/>
      </w:pPr>
      <w:r>
        <w:t>U.S. Food and Drug Administration. Digital Health Advisory Committee, Executive Summary: Generative AI-Enabled Digital Mental Health Medical Devices. 2025. URL: https://www.fda.gov/media/189391/download</w:t>
      </w:r>
    </w:p>
    <w:p>
      <w:pPr>
        <w:pStyle w:val="ListBullet"/>
      </w:pPr>
      <w:r>
        <w:t>U.S. Food and Drug Administration. De Novo Classification Request for IDx-DR, DEN180001. URL: https://www.accessdata.fda.gov/cdrh_docs/reviews/DEN180001.pdf</w:t>
      </w:r>
    </w:p>
    <w:p>
      <w:pPr>
        <w:pStyle w:val="ListBullet"/>
      </w:pPr>
      <w:r>
        <w:t>U.S. Food and Drug Administration. De Novo Classification Request for GI Genius, DEN200055. URL: https://www.accessdata.fda.gov/cdrh_docs/reviews/DEN200055.pdf</w:t>
      </w:r>
    </w:p>
    <w:p>
      <w:pPr>
        <w:pStyle w:val="ListBullet"/>
      </w:pPr>
      <w:r>
        <w:t>U.S. Food and Drug Administration. De Novo Classification Request for Paige Prostate Detect, DEN200080. URL: https://www.accessdata.fda.gov/cdrh_docs/reviews/DEN200080.pdf</w:t>
      </w:r>
    </w:p>
    <w:p>
      <w:pPr>
        <w:pStyle w:val="ListBullet"/>
      </w:pPr>
      <w:r>
        <w:t>U.S. Food and Drug Administration. De Novo Classification Request for Cognoa ASD Diagnosis Aid, DEN200069. URL: https://www.accessdata.fda.gov/cdrh_docs/reviews/DEN200069.pdf</w:t>
      </w:r>
    </w:p>
    <w:p>
      <w:pPr>
        <w:pStyle w:val="ListBullet"/>
      </w:pPr>
      <w:r>
        <w:t>World Health Organization. Ethics and governance of artificial intelligence for health: guidance on large multi-modal models. WHO, 2024. URL: https://www.who.int/publications/i/item/9789240084759</w:t>
      </w:r>
    </w:p>
    <w:p>
      <w:pPr>
        <w:pStyle w:val="ListBullet"/>
      </w:pPr>
      <w:r>
        <w:t>American Psychiatric Association. Applications of Artificial Intelligence in Mental Health Care. APA resource page. URL: https://www.psychiatry.org/psychiatrists/practice/artificial-intelligence/applications</w:t>
      </w:r>
    </w:p>
    <w:p>
      <w:pPr>
        <w:pStyle w:val="ListBullet"/>
      </w:pPr>
      <w:r>
        <w:t>European Commission. Artificial Intelligence Act and AI in healthcare resources. URL: https://digital-strategy.ec.europa.eu/en/policies/regulatory-framework-ai</w:t>
      </w:r>
    </w:p>
    <w:p>
      <w:pPr>
        <w:pStyle w:val="ListBullet"/>
      </w:pPr>
      <w:r>
        <w:t>European Commission. Artificial Intelligence in healthcare. URL: https://health.ec.europa.eu/ehealth-digital-health-and-care/artificial-intelligence-healthcare_en</w:t>
      </w:r>
    </w:p>
    <w:p>
      <w:pPr>
        <w:pStyle w:val="Heading2"/>
      </w:pPr>
      <w:r>
        <w:t>AI/ML in medicina e diagnostica</w:t>
      </w:r>
    </w:p>
    <w:p>
      <w:pPr>
        <w:pStyle w:val="ListBullet"/>
      </w:pPr>
      <w:r>
        <w:t>Lång K, Josefsson V, Larsson AM, et al. Artificial intelligence-supported screen reading versus standard double reading in the Mammography Screening with Artificial Intelligence trial (MASAI). Lancet Oncology. 2023. DOI: 10.1016/S1470-2045(23)00298-X.</w:t>
      </w:r>
    </w:p>
    <w:p>
      <w:pPr>
        <w:pStyle w:val="ListBullet"/>
      </w:pPr>
      <w:r>
        <w:t>Ribeiro AH, Ribeiro MH, Paixão GMM, et al. Automatic diagnosis of the 12-lead ECG using a deep neural network. Nature Communications. 2020;11:1760.</w:t>
      </w:r>
    </w:p>
    <w:p>
      <w:pPr>
        <w:pStyle w:val="ListBullet"/>
      </w:pPr>
      <w:r>
        <w:t>Topol EJ. High-performance medicine: the convergence of human and artificial intelligence. Nature Medicine. 2019;25:44-56.</w:t>
      </w:r>
    </w:p>
    <w:p>
      <w:pPr>
        <w:pStyle w:val="ListBullet"/>
      </w:pPr>
      <w:r>
        <w:t>Yao X, Rushlow DR, Inselman JW, et al. Artificial intelligence-enabled electrocardiograms for identification of patients with low ejection fraction: a pragmatic, randomized clinical trial. Nature Medicine. 2021;27:815-819. doi:10.1038/s41591-021-01335-4.</w:t>
      </w:r>
    </w:p>
    <w:p>
      <w:pPr>
        <w:pStyle w:val="ListBullet"/>
      </w:pPr>
      <w:r>
        <w:t>Tomašev N, Glorot X, Rae JW, et al. A clinically applicable approach to continuous prediction of future acute kidney injury. Nature. 2019;572:116-119. doi:10.1038/s41586-019-1390-1.</w:t>
      </w:r>
    </w:p>
    <w:p>
      <w:pPr>
        <w:pStyle w:val="ListBullet"/>
      </w:pPr>
      <w:r>
        <w:t>Adams R, Henry KE, Sridharan A, et al. Prospective, multi-site study of patient outcomes after implementation of the TREWS machine learning-based early warning system for sepsis. Nature Medicine. 2022;28:1455-1460. doi:10.1038/s41591-022-01894-0.</w:t>
      </w:r>
    </w:p>
    <w:p>
      <w:pPr>
        <w:pStyle w:val="ListBullet"/>
      </w:pPr>
      <w:r>
        <w:t>Wong A, Otles E, Donnelly JP, et al. External validation of a widely implemented proprietary sepsis prediction model in hospitalized patients. JAMA Internal Medicine. 2021;181(8):1065-1070. doi:10.1001/jamainternmed.2021.2626.</w:t>
      </w:r>
    </w:p>
    <w:p>
      <w:pPr>
        <w:pStyle w:val="ListBullet"/>
      </w:pPr>
      <w:r>
        <w:t>Abràmoff MD, Lavin PT, Birch M, Shah N, Folk JC. Pivotal trial of an autonomous AI-based diagnostic system for detection of diabetic retinopathy in primary care offices. npj Digital Medicine. 2018;1:39.</w:t>
      </w:r>
    </w:p>
    <w:p>
      <w:pPr>
        <w:pStyle w:val="ListBullet"/>
      </w:pPr>
      <w:r>
        <w:t>Repici A, Badalamenti M, Maselli R, et al. Efficacy of real-time computer-aided detection of colorectal neoplasia in a randomized trial. Gastroenterology. 2020. [Verificare dettagli bibliografici e rapporto con GI Genius FDA summary].</w:t>
      </w:r>
    </w:p>
    <w:p>
      <w:pPr>
        <w:pStyle w:val="ListBullet"/>
      </w:pPr>
      <w:r>
        <w:t>Katalinic A, et al. Real-world evaluation of AI-supported mammography screening. Nature Medicine, 2025. [Verificare citazione completa prima della submission].</w:t>
      </w:r>
    </w:p>
    <w:p>
      <w:pPr>
        <w:pStyle w:val="Heading2"/>
      </w:pPr>
      <w:r>
        <w:t>IA, LLM e salute mentale</w:t>
      </w:r>
    </w:p>
    <w:p>
      <w:pPr>
        <w:pStyle w:val="ListBullet"/>
      </w:pPr>
      <w:r>
        <w:t>Hua Y, et al. Large Language Models in Mental Health Care: a Scoping Review. 2024. Preprint arXiv. [Usare come fonte preliminare, verificare pubblicazione peer-reviewed].</w:t>
      </w:r>
    </w:p>
    <w:p>
      <w:pPr>
        <w:pStyle w:val="ListBullet"/>
      </w:pPr>
      <w:r>
        <w:t>Guo Z, et al. Large Language Model for Mental Health: A Systematic Review. 2024. Preprint arXiv. [Usare con cautela].</w:t>
      </w:r>
    </w:p>
    <w:p>
      <w:pPr>
        <w:pStyle w:val="ListBullet"/>
      </w:pPr>
      <w:r>
        <w:t>Lee P, et al. Large Language Models Produce Responses Perceived to be Empathic. 2024. Preprint arXiv. [Usare con cautela].</w:t>
      </w:r>
    </w:p>
    <w:p>
      <w:pPr>
        <w:pStyle w:val="ListBullet"/>
      </w:pPr>
      <w:r>
        <w:t>Welivita A, Pu P. Are Large Language Models More Empathetic than Humans? 2024. Preprint arXiv. [Usare con cautela].</w:t>
      </w:r>
    </w:p>
    <w:p>
      <w:pPr>
        <w:pStyle w:val="ListBullet"/>
      </w:pPr>
      <w:r>
        <w:t>Grabb D, et al. Risks from Language Models for Automated Mental Healthcare. 2024. Preprint arXiv. [Usare con cautela].</w:t>
      </w:r>
    </w:p>
    <w:p>
      <w:pPr>
        <w:pStyle w:val="ListBullet"/>
      </w:pPr>
      <w:r>
        <w:t>Dohnány J, et al. Technological folie à deux. 2025. Preprint arXiv. [Utile come spunto concettuale, non come evidenza clinica definitiva].</w:t>
      </w:r>
    </w:p>
    <w:p>
      <w:pPr>
        <w:pStyle w:val="ListBullet"/>
      </w:pPr>
      <w:r>
        <w:t>Fitzpatrick KK, Darcy A, Vierhile M. Delivering Cognitive Behavior Therapy to Young Adults With Symptoms of Depression and Anxiety Using a Fully Automated Conversational Agent (Woebot): A Randomized Controlled Trial. JMIR Mental Health. 2017;4(2):e19.</w:t>
      </w:r>
    </w:p>
    <w:p>
      <w:pPr>
        <w:pStyle w:val="ListBullet"/>
      </w:pPr>
      <w:r>
        <w:t>Inkster B, Sarda S, Subramanian V. An empathy-driven, conversational artificial intelligence agent (Wysa) for digital mental well-being. JMIR mHealth and uHealth. 2018. [Verificare citazione completa].</w:t>
      </w:r>
    </w:p>
    <w:p>
      <w:pPr>
        <w:pStyle w:val="ListBullet"/>
      </w:pPr>
      <w:r>
        <w:t>Holderried F, et al. A GPT-Powered Chatbot as a Simulated Patient to Practice History Taking. JMIR Medical Education. 2024. DOI: 10.2196/53961.</w:t>
      </w:r>
    </w:p>
    <w:p>
      <w:pPr>
        <w:pStyle w:val="ListBullet"/>
      </w:pPr>
      <w:r>
        <w:t>Ni Y, Jia F. A Scoping Review of AI-Driven Digital Interventions in Mental Health Care. 2026. Preprint arXiv. [Aggiornamento recente, da verificare].</w:t>
      </w:r>
    </w:p>
    <w:p>
      <w:pPr>
        <w:pStyle w:val="Heading2"/>
      </w:pPr>
      <w:r>
        <w:t>Digital phenotyping, NLP e modelli diagnostici in salute mentale</w:t>
      </w:r>
    </w:p>
    <w:p>
      <w:pPr>
        <w:pStyle w:val="ListBullet"/>
      </w:pPr>
      <w:r>
        <w:t>Onnela JP, Rauch SL. Harnessing smartphone-based digital phenotyping to enhance behavioral and mental health. Neuropsychopharmacology. 2016;41:1691-1696.</w:t>
      </w:r>
    </w:p>
    <w:p>
      <w:pPr>
        <w:pStyle w:val="ListBullet"/>
      </w:pPr>
      <w:r>
        <w:t>Torous J, Onnela JP, Keshavan M. New dimensions and new tools to realize the potential of RDoC: digital phenotyping via smartphones and connected devices. Translational Psychiatry. 2017. [Verificare citazione completa].</w:t>
      </w:r>
    </w:p>
    <w:p>
      <w:pPr>
        <w:pStyle w:val="ListBullet"/>
      </w:pPr>
      <w:r>
        <w:t>Koutsouleris N, et al. Multimodal machine learning workflows for prediction/prognosis in psychosis risk. [Verificare paper specifici PRONIA e distinguere predizione da diagnosi].</w:t>
      </w:r>
    </w:p>
    <w:p>
      <w:pPr>
        <w:pStyle w:val="ListBullet"/>
      </w:pPr>
      <w:r>
        <w:t>Review su social media e depressione detection, 2024. Preprint arXiv. [Usare solo per limiti metodologici: sampling bias, lingua inglese, auto-etichettatura, negazione/ironia].</w:t>
      </w:r>
    </w:p>
    <w:p>
      <w:pPr>
        <w:pStyle w:val="ListBullet"/>
      </w:pPr>
      <w:r>
        <w:t>Review su EEG e depressione diagnosis, 2025. Preprint arXiv. [Usare con cautela e verificare studi peer-reviewed inclusi].</w:t>
      </w:r>
    </w:p>
    <w:p>
      <w:pPr>
        <w:pStyle w:val="ListBullet"/>
      </w:pPr>
      <w:r>
        <w:t>Review su EEG e schizofrenia, 2023/2024. Preprint arXiv. [Usare con cautela].</w:t>
      </w:r>
    </w:p>
    <w:p>
      <w:pPr>
        <w:pStyle w:val="Heading2"/>
      </w:pPr>
      <w:r>
        <w:t>Soluzioni commerciali e fonti di mercato da verificare</w:t>
      </w:r>
    </w:p>
    <w:p>
      <w:pPr>
        <w:pStyle w:val="ListBullet"/>
      </w:pPr>
      <w:r>
        <w:t>FDA. De Novo Classification Request for Cognoa ASD Diagnosis Aid, DEN200069. URL: https://www.accessdata.fda.gov/cdrh_docs/reviews/DEN200069.pdf</w:t>
      </w:r>
    </w:p>
    <w:p>
      <w:pPr>
        <w:pStyle w:val="ListBullet"/>
      </w:pPr>
      <w:r>
        <w:t>FDA. Executive Summary for the Digital Health Advisory Committee Meeting: Generative Artificial Intelligence-Enabled Digital Mental Health Medical Devices. November 6, 2025. URL: https://www.fda.gov/media/189391/download</w:t>
      </w:r>
    </w:p>
    <w:p>
      <w:pPr>
        <w:pStyle w:val="ListBullet"/>
      </w:pPr>
      <w:r>
        <w:t>Limbic. Limbic Access: the clinical AI assistant for intake and assessment. Official product page. URL: https://limbic.ai/access</w:t>
      </w:r>
    </w:p>
    <w:p>
      <w:pPr>
        <w:pStyle w:val="ListBullet"/>
      </w:pPr>
      <w:r>
        <w:t>Wysa. Everyday Mental Health; Gateway, Navigator, Copilot, AI Self-Help. Official product page. URL: https://www.wysa.com/</w:t>
      </w:r>
    </w:p>
    <w:p>
      <w:pPr>
        <w:pStyle w:val="ListBullet"/>
      </w:pPr>
      <w:r>
        <w:t>Woebot Health. Technically advanced. Responsible AI. Official technology/safety page. URL: https://woebothealth.com/technology-overview/</w:t>
      </w:r>
    </w:p>
    <w:p>
      <w:pPr>
        <w:pStyle w:val="ListBullet"/>
      </w:pPr>
      <w:r>
        <w:t>Eleos Health. The System of Action for Community-Based Care. Official product page. URL: https://eleos.health/</w:t>
      </w:r>
    </w:p>
    <w:p>
      <w:pPr>
        <w:pStyle w:val="ListBullet"/>
      </w:pPr>
      <w:r>
        <w:t>Lyssn. Training &amp; Quality Improvement AI Solutions for HHS. Official product page. URL: https://www.lyssn.io/</w:t>
      </w:r>
    </w:p>
    <w:p>
      <w:pPr>
        <w:pStyle w:val="ListBullet"/>
      </w:pPr>
      <w:r>
        <w:t>NeuroFlow. Behavioral Health Data Analytics. Official product page. URL: https://www.neuroflow.com/</w:t>
      </w:r>
    </w:p>
    <w:p>
      <w:pPr>
        <w:pStyle w:val="ListBullet"/>
      </w:pPr>
      <w:r>
        <w:t>Aiberry. AI-Powered Mental Health Screening Platform. Official product page. URL: https://www.aiberry.com/</w:t>
      </w:r>
    </w:p>
    <w:p>
      <w:pPr>
        <w:pStyle w:val="ListBullet"/>
      </w:pPr>
      <w:r>
        <w:t>Ellipsis Health. Sage AI Care Manager. Official product page. URL: https://ellipsishealth.com/</w:t>
      </w:r>
    </w:p>
    <w:p>
      <w:pPr>
        <w:pStyle w:val="ListBullet"/>
      </w:pPr>
      <w:r>
        <w:t>Fitzpatrick KK, Darcy A, Vierhile M. Delivering Cognitive Behavior Therapy to Young Adults With Symptoms of Depression and Anxiety Using a Fully Automated Conversational Agent (Woebot): A Randomized Controlled Trial. JMIR Mental Health. 2017;4(2):e19. doi:10.2196/mental.7785.</w:t>
      </w:r>
    </w:p>
    <w:p>
      <w:pPr>
        <w:pStyle w:val="ListBullet"/>
      </w:pPr>
      <w:r>
        <w:t>Inkster B, Sarda S, Subramanian V. An Empathy-Driven, Conversational Artificial Intelligence Agent (Wysa) for Digital Mental Well-Being: Real-World Data Evaluation Mixed-Methods Study. JMIR mHealth and uHealth. 2018;6(11):e12106. doi:10.2196/12106.</w:t>
      </w:r>
    </w:p>
    <w:p>
      <w:pPr>
        <w:pStyle w:val="ListBullet"/>
      </w:pPr>
      <w:r>
        <w:t>Li H, Zhang R, Lee YC, Kraut RE, Mohr DC. Systematic review and meta-analysis of AI-based conversational agents for promoting mental health and well-being. npj Digital Medicine. 2023;6:236.</w:t>
      </w:r>
    </w:p>
    <w:p>
      <w:pPr>
        <w:pStyle w:val="ListBullet"/>
      </w:pPr>
      <w:r>
        <w:t>Heinz MV, Mackin DM, Trudeau BM, Bhattacharya S, Wang Y. Randomized Trial of a Generative AI Chatbot for Mental Health Treatment. NEJM AI. 2025. doi:10.1056/AIoa2400802.</w:t>
      </w:r>
    </w:p>
    <w:p>
      <w:pPr>
        <w:pStyle w:val="ListBullet"/>
      </w:pPr>
      <w:r>
        <w:t>The Verge. It’s not easy to get depression-detecting AI through the FDA: Kintsugi shut down after failing to secure FDA clearance in time. 2026. [News/aneddoto critico; usare con cautela].</w:t>
      </w:r>
    </w:p>
    <w:p>
      <w:pPr>
        <w:pStyle w:val="ListBullet"/>
      </w:pPr>
      <w:r>
        <w:t>Associated Press. AI chatbots are here to help with your mental health, despite limited evidence they work. 2024. [News/sintesi critica; usare con cautela].</w:t>
      </w:r>
    </w:p>
    <w:p>
      <w:pPr>
        <w:pStyle w:val="ListBullet"/>
      </w:pPr>
      <w:r>
        <w:t>Le Monde. Generative AI, psychiatry and the risks of self-service therapy. 2026. [News/sintesi critica; usare con cautela].</w:t>
      </w:r>
    </w:p>
    <w:p>
      <w:pPr>
        <w:pStyle w:val="Heading2"/>
      </w:pPr>
      <w:r>
        <w:t>Notizie e fonti da usare solo come spunti di discussione</w:t>
      </w:r>
    </w:p>
    <w:p>
      <w:pPr>
        <w:pStyle w:val="ListBullet"/>
      </w:pPr>
      <w:r>
        <w:t>Le Monde. Generative AI, psychiatry and the risks of self-service therapy. 2026. [Usare come segnalazione di controversie pubbliche, non come prova primaria].</w:t>
      </w:r>
    </w:p>
    <w:p>
      <w:pPr>
        <w:pStyle w:val="ListBullet"/>
      </w:pPr>
      <w:r>
        <w:t>The Guardian. Can AI chatbot therapists do better than the real thing? 2024. [Usare come aneddotica e per percezione pubblica].</w:t>
      </w:r>
    </w:p>
    <w:p>
      <w:pPr>
        <w:pStyle w:val="ListBullet"/>
      </w:pPr>
      <w:r>
        <w:t>The Verge. Critiche al termine “clinical-grade AI” e al marketing di chatbot per salute mentale. 2025/2026. [Usare come discussione su claims commerciali].</w:t>
      </w:r>
    </w:p>
    <w:p>
      <w:pPr>
        <w:pStyle w:val="ListBullet"/>
      </w:pPr>
      <w:r>
        <w:t>Report giornalistici su MASAI follow-up e AI mammography real-world. Verificare sempre la fonte peer-reviewed originale prima di inserire dati in un manoscritto scientifico.</w:t>
      </w:r>
    </w:p>
    <w:p>
      <w:pPr>
        <w:pStyle w:val="Heading1"/>
      </w:pPr>
      <w:r>
        <w:t>Checklist finale per trasformare il documento in paper</w:t>
      </w:r>
    </w:p>
    <w:p>
      <w:pPr>
        <w:pStyle w:val="ListBullet"/>
      </w:pPr>
      <w:r>
        <w:t>Scegliere il genere del paper: narrative review, perspective, viewpoint, scoping review o paper concettuale.</w:t>
      </w:r>
    </w:p>
    <w:p>
      <w:pPr>
        <w:pStyle w:val="ListBullet"/>
      </w:pPr>
      <w:r>
        <w:t>Definire la domanda principale: ad esempio “Perché l’IA diagnostica in psicopatologia richiede standard diversi dall’imaging medico?”.</w:t>
      </w:r>
    </w:p>
    <w:p>
      <w:pPr>
        <w:pStyle w:val="ListBullet"/>
      </w:pPr>
      <w:r>
        <w:t>Aggiornare la ricerca bibliografica su PubMed, Scopus, PsycINFO e IEEE Xplore.</w:t>
      </w:r>
    </w:p>
    <w:p>
      <w:pPr>
        <w:pStyle w:val="ListBullet"/>
      </w:pPr>
      <w:r>
        <w:t>Separare studi peer-reviewed, preprint, regolatorio, pagine commerciali e news.</w:t>
      </w:r>
    </w:p>
    <w:p>
      <w:pPr>
        <w:pStyle w:val="ListBullet"/>
      </w:pPr>
      <w:r>
        <w:t>Eliminare o ridurre claim aziendali non indipendenti.</w:t>
      </w:r>
    </w:p>
    <w:p>
      <w:pPr>
        <w:pStyle w:val="ListBullet"/>
      </w:pPr>
      <w:r>
        <w:t>Verificare tutte le metriche numeriche su fonti primarie.</w:t>
      </w:r>
    </w:p>
    <w:p>
      <w:pPr>
        <w:pStyle w:val="ListBullet"/>
      </w:pPr>
      <w:r>
        <w:t>Aggiungere una sezione su conflitti d’interesse se il paper include DIPPS/LLMPatients o strumenti sviluppati dall’autore.</w:t>
      </w:r>
    </w:p>
    <w:p>
      <w:pPr>
        <w:pStyle w:val="ListBullet"/>
      </w:pPr>
      <w:r>
        <w:t>Adottare uno stile citazionale richiesto dalla rivista target.</w:t>
      </w:r>
    </w:p>
    <w:p>
      <w:pPr>
        <w:pStyle w:val="ListBullet"/>
      </w:pPr>
      <w:r>
        <w:t>Costruire una figura concettuale: “dal segnale al significato”.</w:t>
      </w:r>
    </w:p>
    <w:p>
      <w:pPr>
        <w:pStyle w:val="ListBullet"/>
      </w:pPr>
      <w:r>
        <w:t>Costruire una tabella finale: “quale IA, per quale uso, con quale rischio e quale evidenza richiesta”.</w:t>
      </w:r>
    </w:p>
    <w:sectPr w:rsidR="00FC693F" w:rsidRPr="0006063C" w:rsidSect="00034616">
      <w:headerReference w:type="default" r:id="rId9"/>
      <w:footerReference w:type="default" r:id="rId10"/>
      <w:pgSz w:w="12240" w:h="15840"/>
      <w:pgMar w:top="1008" w:right="1037" w:bottom="1008"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Documento preparatorio per paper scientifico - verificare dati e citazioni prima della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IA al servizio della psicopatologia - manoscritto di lavoro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eastAsia="Aptos"/>
      <w:b/>
      <w:bCs/>
      <w:color w:val="8A153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w:hAnsi="Aptos" w:eastAsia="Aptos"/>
      <w:b/>
      <w:bCs/>
      <w:i/>
      <w:iCs/>
      <w:color w:val="3333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8A153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spacing w:after="60"/>
      <w:contextualSpacing/>
    </w:pPr>
    <w:rPr>
      <w:rFonts w:ascii="Aptos" w:hAnsi="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Updated with critical analysis of commercial AI tools in mental health.</dc:description>
  <cp:lastModifiedBy/>
  <cp:revision>1</cp:revision>
  <dcterms:created xsi:type="dcterms:W3CDTF">2013-12-23T23:15:00Z</dcterms:created>
  <dcterms:modified xsi:type="dcterms:W3CDTF">2013-12-23T23:15:00Z</dcterms:modified>
  <cp:category/>
</cp:coreProperties>
</file>